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B89" w:rsidRDefault="00E44B89" w:rsidP="00E44B89">
      <w:pPr>
        <w:pStyle w:val="Bezriadkovania"/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P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O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Z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N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Á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M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K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Y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k účtovnej závierke 2023 ( malá účtovná jednotka)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sz w:val="24"/>
          <w:szCs w:val="24"/>
          <w:lang w:eastAsia="sk-SK"/>
        </w:rPr>
      </w:pPr>
    </w:p>
    <w:p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Sú zostavené podľa Opatrenia č. </w:t>
      </w:r>
      <w:hyperlink r:id="rId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MF/23378/2014-74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(FS č.12/2014), ktorým sa ustanovujú podrobnosti o individuálnej účtovnej závierke a rozsahu údajov určených z individuálnej účtovnej závierky na zverejnenie </w:t>
      </w:r>
      <w:r w:rsidRPr="00E44B89">
        <w:rPr>
          <w:rFonts w:ascii="Times New Roman" w:hAnsi="Times New Roman" w:cs="Times New Roman"/>
          <w:b/>
          <w:bCs/>
          <w:lang w:eastAsia="sk-SK"/>
        </w:rPr>
        <w:t>pre malé účtovné jednotky</w:t>
      </w:r>
      <w:r w:rsidRPr="00E44B89">
        <w:rPr>
          <w:rFonts w:ascii="Times New Roman" w:hAnsi="Times New Roman" w:cs="Times New Roman"/>
          <w:lang w:eastAsia="sk-SK"/>
        </w:rPr>
        <w:t xml:space="preserve"> v znení Opatrenia č. </w:t>
      </w:r>
      <w:hyperlink r:id="rId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MF/19927/2015-74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(FS č.12/2015) a opatrenia č. </w:t>
      </w:r>
      <w:hyperlink r:id="rId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MF/14774/20</w:t>
        </w:r>
      </w:hyperlink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sz w:val="27"/>
          <w:szCs w:val="27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</w:t>
      </w:r>
      <w:r w:rsidRPr="00E44B8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Všeobecné informácie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1) Základné informácie o účtovnej jednotke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5434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Obchodné meno:</w:t>
            </w:r>
          </w:p>
        </w:tc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STILLA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a.s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Sídlo: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Palugyayho 1/787, Liptovský Mikuláš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Právna forma: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Akciová spoločnosť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IČO / DIČ: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36410021</w:t>
            </w:r>
            <w:r w:rsidRPr="00E44B89">
              <w:rPr>
                <w:rFonts w:ascii="Times New Roman" w:hAnsi="Times New Roman" w:cs="Times New Roman"/>
                <w:lang w:eastAsia="sk-SK"/>
              </w:rPr>
              <w:t xml:space="preserve"> / </w:t>
            </w:r>
            <w:r>
              <w:rPr>
                <w:rFonts w:ascii="Times New Roman" w:hAnsi="Times New Roman" w:cs="Times New Roman"/>
                <w:lang w:eastAsia="sk-SK"/>
              </w:rPr>
              <w:t>20201325382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Dátum vzniku: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 xml:space="preserve">Zápis do obchodného registra: </w:t>
            </w:r>
            <w:r>
              <w:rPr>
                <w:rFonts w:ascii="Times New Roman" w:hAnsi="Times New Roman" w:cs="Times New Roman"/>
                <w:lang w:eastAsia="sk-SK"/>
              </w:rPr>
              <w:t>10. 03. 2002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Hlavný predmet podnikania: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 xml:space="preserve">SK NACE: </w:t>
            </w:r>
            <w:r>
              <w:rPr>
                <w:rFonts w:ascii="Times New Roman" w:hAnsi="Times New Roman" w:cs="Times New Roman"/>
                <w:lang w:eastAsia="sk-SK"/>
              </w:rPr>
              <w:t>25</w:t>
            </w:r>
            <w:r w:rsidRPr="00E44B89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61</w:t>
            </w:r>
            <w:r w:rsidRPr="00E44B89">
              <w:rPr>
                <w:rFonts w:ascii="Times New Roman" w:hAnsi="Times New Roman" w:cs="Times New Roman"/>
                <w:lang w:eastAsia="sk-SK"/>
              </w:rPr>
              <w:t xml:space="preserve">.0 – </w:t>
            </w:r>
            <w:r>
              <w:rPr>
                <w:rFonts w:ascii="Times New Roman" w:hAnsi="Times New Roman" w:cs="Times New Roman"/>
                <w:lang w:eastAsia="sk-SK"/>
              </w:rPr>
              <w:t>Opracovanie a povrchová úprava kovov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Subjekt verejného záujmu: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Spoločnosť nie je subjektom verejného záujmu (</w:t>
            </w:r>
            <w:hyperlink r:id="rId8" w:history="1">
              <w:r w:rsidRPr="00E44B89">
                <w:rPr>
                  <w:rFonts w:ascii="Times New Roman" w:hAnsi="Times New Roman" w:cs="Times New Roman"/>
                  <w:color w:val="0000FF"/>
                  <w:u w:val="single"/>
                  <w:lang w:eastAsia="sk-SK"/>
                </w:rPr>
                <w:t xml:space="preserve">§ 2 ods. 14 </w:t>
              </w:r>
              <w:proofErr w:type="spellStart"/>
              <w:r w:rsidRPr="00E44B89">
                <w:rPr>
                  <w:rFonts w:ascii="Times New Roman" w:hAnsi="Times New Roman" w:cs="Times New Roman"/>
                  <w:color w:val="0000FF"/>
                  <w:u w:val="single"/>
                  <w:lang w:eastAsia="sk-SK"/>
                </w:rPr>
                <w:t>ZoU</w:t>
              </w:r>
              <w:proofErr w:type="spellEnd"/>
            </w:hyperlink>
            <w:r w:rsidRPr="00E44B89">
              <w:rPr>
                <w:rFonts w:ascii="Times New Roman" w:hAnsi="Times New Roman" w:cs="Times New Roman"/>
                <w:lang w:eastAsia="sk-SK"/>
              </w:rPr>
              <w:t>).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Účtovné obdobie: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Kalendárny rok 2023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Do veľkostnej skupiny mala účtovná jednotka patrí taká, ktorá k prvému dňu účtovného obdobia 2023 spĺňa za dve po sebe bezprostredne predchádzajúce účtovné obdobia aspoň dve z troch podmienok – suma netto aktív presiahla 350 000 eur, ale nepresiahla 4 000 000 eur, čistý obrat presiahol 700 000 eur, ale nepresiahol 8 000 000 eur a priemerný prepočítaný počet zamestnancov počas účtovného obdobia presiahol 10, ale nepresiahol 50.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 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3"/>
        <w:gridCol w:w="1811"/>
        <w:gridCol w:w="1811"/>
        <w:gridCol w:w="1811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Rok 2021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Rok 2022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áno/nie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Netto aktíva celkom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1 531 488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1 406 607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Čistý obrat celkom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1 039 180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1 255 494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Počet zamestnancov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 xml:space="preserve"> 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Účtovná jednotka spĺňa veľkostné podmienky na zatriedenie do veľkostnej skupiny – </w:t>
      </w:r>
      <w:r w:rsidRPr="00E44B89">
        <w:rPr>
          <w:rFonts w:ascii="Times New Roman" w:hAnsi="Times New Roman" w:cs="Times New Roman"/>
          <w:b/>
          <w:bCs/>
          <w:lang w:eastAsia="sk-SK"/>
        </w:rPr>
        <w:t>malá účtovná jednotka,</w:t>
      </w:r>
      <w:r w:rsidRPr="00E44B89">
        <w:rPr>
          <w:rFonts w:ascii="Times New Roman" w:hAnsi="Times New Roman" w:cs="Times New Roman"/>
          <w:lang w:eastAsia="sk-SK"/>
        </w:rPr>
        <w:t xml:space="preserve"> preto zostavuje účtovnú závierku podľa metodiky pre túto veľkostnú skupinu (Opatrenie č. MF/23378/2014-74 v znení neskorších predpisov).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Dátum schválenia účtovnej závierky</w:t>
      </w:r>
      <w:r w:rsidRPr="00E44B89">
        <w:rPr>
          <w:rFonts w:ascii="Times New Roman" w:hAnsi="Times New Roman" w:cs="Times New Roman"/>
          <w:lang w:eastAsia="sk-SK"/>
        </w:rPr>
        <w:t xml:space="preserve"> za bezprostredne predchádzajúce účtovné obdobie príslušným orgánom účtovnej jednotky: </w:t>
      </w:r>
      <w:r w:rsidRPr="00E44B89">
        <w:rPr>
          <w:rFonts w:ascii="Times New Roman" w:hAnsi="Times New Roman" w:cs="Times New Roman"/>
          <w:b/>
          <w:lang w:eastAsia="sk-SK"/>
        </w:rPr>
        <w:t>03</w:t>
      </w:r>
      <w:r w:rsidRPr="00E44B89">
        <w:rPr>
          <w:rFonts w:ascii="Times New Roman" w:hAnsi="Times New Roman" w:cs="Times New Roman"/>
          <w:b/>
          <w:bCs/>
          <w:lang w:eastAsia="sk-SK"/>
        </w:rPr>
        <w:t xml:space="preserve">. </w:t>
      </w:r>
      <w:r>
        <w:rPr>
          <w:rFonts w:ascii="Times New Roman" w:hAnsi="Times New Roman" w:cs="Times New Roman"/>
          <w:b/>
          <w:bCs/>
          <w:lang w:eastAsia="sk-SK"/>
        </w:rPr>
        <w:t>0</w:t>
      </w:r>
      <w:r w:rsidRPr="00E44B89">
        <w:rPr>
          <w:rFonts w:ascii="Times New Roman" w:hAnsi="Times New Roman" w:cs="Times New Roman"/>
          <w:b/>
          <w:bCs/>
          <w:lang w:eastAsia="sk-SK"/>
        </w:rPr>
        <w:t>5. 2023.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Právny dôvod</w:t>
      </w:r>
      <w:r w:rsidRPr="00E44B89">
        <w:rPr>
          <w:rFonts w:ascii="Times New Roman" w:hAnsi="Times New Roman" w:cs="Times New Roman"/>
          <w:lang w:eastAsia="sk-SK"/>
        </w:rPr>
        <w:t xml:space="preserve"> na zostavenie účtovnej závierky: Účtovným obdobím je kalendárny rok 2023; účtovná závierka bola zostavená ako riadna účtovná závierka podľa </w:t>
      </w:r>
      <w:hyperlink r:id="rId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6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k poslednému dňu účtovného obdobia.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Údaje o skupine</w:t>
      </w:r>
      <w:r w:rsidRPr="00E44B89">
        <w:rPr>
          <w:rFonts w:ascii="Times New Roman" w:hAnsi="Times New Roman" w:cs="Times New Roman"/>
          <w:lang w:eastAsia="sk-SK"/>
        </w:rPr>
        <w:t xml:space="preserve"> účtovných jednotiek v súvislosti s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konsolidáciou: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Obchodné meno a sídlo účtovnej jednotky, ktorá zostavuje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za najväčšiu skupinu, ktorej súčasťou je účtovná jednotka ako dcérska účtovná jednotka (najvyšší stupeň konsolidácie):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Obchodné meno a sídlo účtovnej jednotky, ktorá zostavuje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za najmenšiu skupinu, ktorej súčasťou je účtovná jednotka ako dcérska účtovná jednotka (bezprostredne vyšší stupeň konsolidácie) a ktorá je tiež začlenená do skupiny účtovných jednotiek na najvyššom stupni konsolidácie: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Adresa, kde sa môže vyžiadať kópia vyššie uvedených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konsolidovaných účtovných závierok: 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Údaj, či účtovná jednotka je materskou účtovnou jednotkou, a údaj, či je oslobodená od povinnosti zostaviť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a konsolidovanú výročnú správu podľa </w:t>
      </w:r>
      <w:hyperlink r:id="rId1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pričom sa uvádzajú - pri oslobodení podľa </w:t>
      </w:r>
      <w:hyperlink r:id="rId1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 8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obchodné meno a sídlo materskej účtovnej jednotky zostavujúcej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podľa </w:t>
      </w:r>
      <w:r w:rsidRPr="00E44B89">
        <w:rPr>
          <w:rFonts w:ascii="Times New Roman" w:hAnsi="Times New Roman" w:cs="Times New Roman"/>
          <w:lang w:eastAsia="sk-SK"/>
        </w:rPr>
        <w:lastRenderedPageBreak/>
        <w:t xml:space="preserve">osobitných predpisov (IFRS/EÚ); pri oslobodení podľa </w:t>
      </w:r>
      <w:hyperlink r:id="rId1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 10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a </w:t>
      </w:r>
      <w:hyperlink r:id="rId1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12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obchodné meno a sídlo dcérskych účtovných jednotiek: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2) Priemerný prepočítaný počet zamestnancov účtovnej jednotky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3"/>
        <w:gridCol w:w="1811"/>
        <w:gridCol w:w="3622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Bežné </w:t>
            </w: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br/>
              <w:t>účtovné obdobie</w:t>
            </w:r>
          </w:p>
        </w:tc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Priemerný prepočítaný počet počas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C22E5F" w:rsidP="00C22E5F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C22E5F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12</w:t>
            </w:r>
          </w:p>
        </w:tc>
      </w:tr>
    </w:tbl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orgánoch spoločnosti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v členení na jednotlivé orgány účtovnej jednotky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Orgány účtovnej jednotky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Štatutárny orgán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Dozorný orgán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Iný orgán účtovnej jednotky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prijatých postupoch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Informácia, či je účtovná závierka zostavená pri splnení predpokladu, že účtovná jednotka bude nepretržite pokračovať vo svojej činnosti minimálne 12 mesiacov po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závierkovom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dni v zmysle </w:t>
      </w:r>
      <w:hyperlink r:id="rId1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7 ods. 4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. Ak by tento predpoklad nebol splnený, uvedie sa aj dosah do účtovnej závierky (napr. zrušenie dlhodobých rezerv): </w:t>
      </w:r>
      <w:r w:rsidRPr="00E44B89">
        <w:rPr>
          <w:rFonts w:ascii="Times New Roman" w:hAnsi="Times New Roman" w:cs="Times New Roman"/>
          <w:b/>
          <w:bCs/>
          <w:lang w:eastAsia="sk-SK"/>
        </w:rPr>
        <w:t>Účtovná závierka bola zostavená za predpokladu nepretržitého pokračovania účtovnej jednotky vo svojej činnosti.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Informácia o aplikácii účtovných zásad a účtovných metód, ktoré sú dôležité na posúdenie majetku, záväzkov, finančnej situácie a výsledku hospodárenia. Informácia o </w:t>
      </w:r>
      <w:r w:rsidRPr="00E44B89">
        <w:rPr>
          <w:rFonts w:ascii="Times New Roman" w:hAnsi="Times New Roman" w:cs="Times New Roman"/>
          <w:b/>
          <w:bCs/>
          <w:lang w:eastAsia="sk-SK"/>
        </w:rPr>
        <w:t>zmenách účtovných zásad a zmenách účtovných metód</w:t>
      </w:r>
      <w:r w:rsidR="00DC0DAA">
        <w:rPr>
          <w:rFonts w:ascii="Times New Roman" w:hAnsi="Times New Roman" w:cs="Times New Roman"/>
          <w:b/>
          <w:bCs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charaktere a účele </w:t>
      </w:r>
      <w:r w:rsidRPr="00E44B89">
        <w:rPr>
          <w:rFonts w:ascii="Times New Roman" w:hAnsi="Times New Roman" w:cs="Times New Roman"/>
          <w:b/>
          <w:bCs/>
          <w:lang w:eastAsia="sk-SK"/>
        </w:rPr>
        <w:t>transakcií, ktoré sa neuvádzajú v súvahe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Spôsob a určenie oceňovania majetku a záväzkov (vrátane rozhodujúcich odhadov):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Spôsob oceňovania majetku a záväzkov (</w:t>
      </w:r>
      <w:hyperlink r:id="rId15" w:history="1">
        <w:r w:rsidRPr="00E44B89">
          <w:rPr>
            <w:rFonts w:ascii="Times New Roman" w:hAnsi="Times New Roman" w:cs="Times New Roman"/>
            <w:b/>
            <w:bCs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b/>
            <w:bCs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b/>
          <w:bCs/>
          <w:lang w:eastAsia="sk-SK"/>
        </w:rPr>
        <w:t>)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"/>
        <w:gridCol w:w="5434"/>
        <w:gridCol w:w="2717"/>
      </w:tblGrid>
      <w:tr w:rsidR="00E44B89" w:rsidRPr="00E44B89" w:rsidTr="00E44B89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1.</w:t>
            </w:r>
          </w:p>
        </w:tc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externe kúpený: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interne vytvorený: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obstaraný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externe kúpený: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interne vytvorený: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obstaraný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finančný majetok: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obstarané kúpou: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vytvorené vlastnou činnosťou: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obstarané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Zákazková výroba a zákazková výstavba nehnuteľnosti určenej na predaj: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12.1.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pohľadávky: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12.2.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Kúpené pohľadávky: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Krátkodobý finančný majetok: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Časové rozlíšenie na strane aktív súvahy: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Záväzky, vrátane rezerv, dlhopisov, pôžičiek a úverov: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Časové rozlíšenie na strane pasív súvahy: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Deriváty: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lastRenderedPageBreak/>
              <w:t>18.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Majetok a záväzky zabezpečené derivátmi: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Prenajatý majetok a majetok obstaraný na základe zmluvy o kúpe prenajatej veci: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Splatná daň z príjmov a odložená daň z príjmov: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Trvalé zníženie hodnoty majetku nebolo účtované. Prechodné zníženie hodnoty majetku je zaúčtované formou opravnej položky, stanovené odborným odhadom bonity klienta.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Záväzky účtovná jednotka ocenila menovitou hodnotou záväzkov. Rezervy účtovná jednotka ocenila odborným odhadom budúcej menovitej hodnoty potrebnej na ich úhradu.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alebo majetku, ktorý nie je finančným nástrojom pri oceňovaní reálnou hodnotou: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pri oceňovaní reálnou hodnotou: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pri oceňovaní obstarávacou cenou alebo vlastnými nákladmi: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Ocenenie metódou vlastného imania: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oceňovaniu majetku a záväzkov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Finančné nástroje</w:t>
      </w:r>
      <w:r w:rsidRPr="00E44B89">
        <w:rPr>
          <w:rFonts w:ascii="Times New Roman" w:hAnsi="Times New Roman" w:cs="Times New Roman"/>
          <w:lang w:eastAsia="sk-SK"/>
        </w:rPr>
        <w:t xml:space="preserve"> definuje </w:t>
      </w:r>
      <w:hyperlink r:id="rId1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 zákona č. 566/2001 Z. z.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sú to napr. cenné papiere (akcie, dlhopisy, dočasné listy), deriváty (opcie, </w:t>
      </w:r>
      <w:proofErr w:type="spellStart"/>
      <w:r w:rsidRPr="00E44B89">
        <w:rPr>
          <w:rFonts w:ascii="Times New Roman" w:hAnsi="Times New Roman" w:cs="Times New Roman"/>
          <w:lang w:eastAsia="sk-SK"/>
        </w:rPr>
        <w:t>futures</w:t>
      </w:r>
      <w:proofErr w:type="spellEnd"/>
      <w:r w:rsidRPr="00E44B89">
        <w:rPr>
          <w:rFonts w:ascii="Times New Roman" w:hAnsi="Times New Roman" w:cs="Times New Roman"/>
          <w:lang w:eastAsia="sk-SK"/>
        </w:rPr>
        <w:t>, swapy, forwardy), nástroje peňažného trhu (pokladničné poukážky, vkladové listy).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Opravné položky</w:t>
      </w:r>
      <w:r w:rsidRPr="00E44B89">
        <w:rPr>
          <w:rFonts w:ascii="Times New Roman" w:hAnsi="Times New Roman" w:cs="Times New Roman"/>
          <w:lang w:eastAsia="sk-SK"/>
        </w:rPr>
        <w:t xml:space="preserve"> k majetku, okrem dlhodobej pohľadávky a dlhodobej pôžičky, stanovila účtovná jednotka odborným odhadom bonity príslušného majetku.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Opravnú položku k dlhodobej pohľadávke a opravnú položku k dlhodobej pôžičke ÚJ stanovila metódou </w:t>
      </w:r>
      <w:proofErr w:type="spellStart"/>
      <w:r w:rsidRPr="00E44B89">
        <w:rPr>
          <w:rFonts w:ascii="Times New Roman" w:hAnsi="Times New Roman" w:cs="Times New Roman"/>
          <w:lang w:eastAsia="sk-SK"/>
        </w:rPr>
        <w:t>odúročenia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na súčasnú hodnotu (</w:t>
      </w:r>
      <w:hyperlink r:id="rId1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18 ods. 8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1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Rezervy</w:t>
      </w:r>
      <w:r w:rsidRPr="00E44B89">
        <w:rPr>
          <w:rFonts w:ascii="Times New Roman" w:hAnsi="Times New Roman" w:cs="Times New Roman"/>
          <w:lang w:eastAsia="sk-SK"/>
        </w:rPr>
        <w:t xml:space="preserve"> ocenila účtovná jednotka kalkulačnou metódou kvalifikovaného odhadu ich menovitej hodnoty na pokrytie budúcich záväzkov.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počas účtovného obdobia (</w:t>
      </w:r>
      <w:hyperlink r:id="rId1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 ani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(</w:t>
      </w:r>
      <w:hyperlink r:id="rId2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 nepoužila ocenenie reálnou hodnotou – lebo nemala k tomu vecnú náplň.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úbytku rovnakého druhu zásob a cenných papierov vážený aritmetický priemer (</w:t>
      </w:r>
      <w:hyperlink r:id="rId2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ods. 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2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ods.1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prírastku cudzej meny v hotovosti alebo na bankový účet zmenárenský kurz konkrétnej banky (</w:t>
      </w:r>
      <w:hyperlink r:id="rId2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24 ods. 3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úbytku cudzej meny v hotovosti alebo z bankového účtu základné pravidlo (D–1), teda kurz zo dňa predchádzajúceho dňu účtovného prípadu.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nepoužila dobrovoľné oceňovanie obchodných podielov metódou vlastného imania (</w:t>
      </w:r>
      <w:hyperlink r:id="rId2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ods. 9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B65303" w:rsidRDefault="00B65303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Tvorba odpisového plánu pre dlhodobý majetok (Uvádza sa doba odpisovania, sadzby odpisov a odpisové metódy pre účtovné odpisy)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906"/>
        <w:gridCol w:w="2264"/>
        <w:gridCol w:w="2264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Dlhodobý hmotný</w:t>
            </w: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br/>
              <w:t>a nehmotný odpisovaný majetok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číslo účtu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doba odpisovania (počet rokov)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odpisová sadzba (%)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Softvér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25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Ostatný DNM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Stavby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Počítače s príslušenstvom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022.A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20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Ostatné stroje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022.A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14,3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Ostatný dlhodobý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odpisovej politike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Účtovná jednotka požíva </w:t>
      </w:r>
      <w:r w:rsidRPr="00E44B89">
        <w:rPr>
          <w:rFonts w:ascii="Times New Roman" w:hAnsi="Times New Roman" w:cs="Times New Roman"/>
          <w:b/>
          <w:bCs/>
          <w:lang w:eastAsia="sk-SK"/>
        </w:rPr>
        <w:t>účtovné odpisy nezávisle od daňových odpisov.</w:t>
      </w:r>
      <w:r w:rsidRPr="00E44B89">
        <w:rPr>
          <w:rFonts w:ascii="Times New Roman" w:hAnsi="Times New Roman" w:cs="Times New Roman"/>
          <w:lang w:eastAsia="sk-SK"/>
        </w:rPr>
        <w:t xml:space="preserve"> Majetok sa začína odpisovať v mesiaci, kedy bol </w:t>
      </w:r>
      <w:r w:rsidRPr="00E44B89">
        <w:rPr>
          <w:rFonts w:ascii="Times New Roman" w:hAnsi="Times New Roman" w:cs="Times New Roman"/>
          <w:b/>
          <w:bCs/>
          <w:lang w:eastAsia="sk-SK"/>
        </w:rPr>
        <w:t>zaradený do užívania.</w:t>
      </w:r>
      <w:r w:rsidRPr="00E44B89">
        <w:rPr>
          <w:rFonts w:ascii="Times New Roman" w:hAnsi="Times New Roman" w:cs="Times New Roman"/>
          <w:lang w:eastAsia="sk-SK"/>
        </w:rPr>
        <w:t xml:space="preserve"> Účtovné odpisy vychádzajú z predpokladanej doby používania majetku. Dlhodobý nehmotný majetok sa odpisuje počas 4 rokov od jeho obstarania.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lastRenderedPageBreak/>
        <w:t xml:space="preserve">Účtovná jednotka používa </w:t>
      </w:r>
      <w:r w:rsidRPr="00E44B89">
        <w:rPr>
          <w:rFonts w:ascii="Times New Roman" w:hAnsi="Times New Roman" w:cs="Times New Roman"/>
          <w:b/>
          <w:bCs/>
          <w:lang w:eastAsia="sk-SK"/>
        </w:rPr>
        <w:t>rovnomerné odpisovanie</w:t>
      </w:r>
      <w:r w:rsidRPr="00E44B89">
        <w:rPr>
          <w:rFonts w:ascii="Times New Roman" w:hAnsi="Times New Roman" w:cs="Times New Roman"/>
          <w:lang w:eastAsia="sk-SK"/>
        </w:rPr>
        <w:t xml:space="preserve"> dlhodobého hmotného majetku a dlhodobého nehmotného majetku. Podrobný účtovný odpisový plán po položkách sa vedie v podsystéme Majetok s podporou softvéru </w:t>
      </w:r>
      <w:r w:rsidR="000E7123">
        <w:rPr>
          <w:rFonts w:ascii="Times New Roman" w:hAnsi="Times New Roman" w:cs="Times New Roman"/>
          <w:lang w:eastAsia="sk-SK"/>
        </w:rPr>
        <w:t>QI</w:t>
      </w:r>
      <w:r w:rsidRPr="00E44B89">
        <w:rPr>
          <w:rFonts w:ascii="Times New Roman" w:hAnsi="Times New Roman" w:cs="Times New Roman"/>
          <w:lang w:eastAsia="sk-SK"/>
        </w:rPr>
        <w:t xml:space="preserve"> (taktiež daňové odpisy podľa </w:t>
      </w:r>
      <w:hyperlink r:id="rId2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zákona o dani z príjmov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odpisuje jednotlivé veci alebo relevantné súbory hnuteľných vecí (napr. počítačová sieť, nábytková zostava). Účtovná jednotka nepoužila jednorazový odpis dlhodobého majetku z dôvodu jednorazového trvalého zníženia hodnoty majetku (</w:t>
      </w:r>
      <w:hyperlink r:id="rId2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5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nepoužíva dobrovoľné účtovanie podlimitného technického zhodnotenia do odpisovaného dlhodobého majetku – technické zhodnotenie pod 1 700 eur za účtovné obdobie (</w:t>
      </w:r>
      <w:hyperlink r:id="rId2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3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2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29 ods. 2 ZDP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ÚJ nepoužíva dobrovoľnú kapitalizáciu úrokov do obstarávacej ceny odpisovaného dlhodobého hmotného majetku alebo dlhodobého nehmotného majetku [</w:t>
      </w:r>
      <w:hyperlink r:id="rId2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34 ods. 1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3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35 ods. 2 písm. h)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].</w:t>
      </w:r>
    </w:p>
    <w:p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Informácia o poskytnutých dotáciách</w:t>
      </w:r>
      <w:r w:rsidRPr="00E44B89">
        <w:rPr>
          <w:rFonts w:ascii="Times New Roman" w:hAnsi="Times New Roman" w:cs="Times New Roman"/>
          <w:lang w:eastAsia="sk-SK"/>
        </w:rPr>
        <w:t xml:space="preserve"> a pri dotáciách na obstaranie majetku sa uvedú zložky majetku a ich ocenenie: </w:t>
      </w:r>
    </w:p>
    <w:p w:rsidR="00E44B89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Prijaté dotácie zo štátneho rozpočtu sa účtujú ako úhrada pohľadávky spoločnosti ku dňu prijatia. Dotácia na DHIM bola poskytnutá v roku 2010.  Výnosy z hospodárskej činnosti sa účtujú v časovej a vecnej súvislosti k účtovným a daňovým odpisom DHIM. </w:t>
      </w:r>
    </w:p>
    <w:p w:rsidR="00DC0DAA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51429C" w:rsidRDefault="0051429C" w:rsidP="00E44B89">
      <w:pPr>
        <w:pStyle w:val="Bezriadkovania"/>
        <w:pBdr>
          <w:bottom w:val="single" w:sz="6" w:space="1" w:color="auto"/>
        </w:pBdr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Dotácia </w:t>
      </w:r>
      <w:r w:rsidR="00DC0DAA">
        <w:rPr>
          <w:rFonts w:ascii="Times New Roman" w:hAnsi="Times New Roman" w:cs="Times New Roman"/>
          <w:lang w:eastAsia="sk-SK"/>
        </w:rPr>
        <w:t>/</w:t>
      </w:r>
      <w:r>
        <w:rPr>
          <w:rFonts w:ascii="Times New Roman" w:hAnsi="Times New Roman" w:cs="Times New Roman"/>
          <w:lang w:eastAsia="sk-SK"/>
        </w:rPr>
        <w:t xml:space="preserve"> majetok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Ocenenie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Výška dotácie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Zariadenie a potlač etikiet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27 600,00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13 800,00 Eur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HW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26 630,00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13 315,00 Eur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Zariadenia pre </w:t>
      </w:r>
      <w:proofErr w:type="spellStart"/>
      <w:r>
        <w:rPr>
          <w:rFonts w:ascii="Times New Roman" w:hAnsi="Times New Roman" w:cs="Times New Roman"/>
          <w:lang w:eastAsia="sk-SK"/>
        </w:rPr>
        <w:t>pr</w:t>
      </w:r>
      <w:proofErr w:type="spellEnd"/>
      <w:r>
        <w:rPr>
          <w:rFonts w:ascii="Times New Roman" w:hAnsi="Times New Roman" w:cs="Times New Roman"/>
          <w:lang w:eastAsia="sk-SK"/>
        </w:rPr>
        <w:t xml:space="preserve">. Profilov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 w:rsidR="000E7123">
        <w:rPr>
          <w:rFonts w:ascii="Times New Roman" w:hAnsi="Times New Roman" w:cs="Times New Roman"/>
          <w:lang w:eastAsia="sk-SK"/>
        </w:rPr>
        <w:t xml:space="preserve">  9 550</w:t>
      </w:r>
      <w:r>
        <w:rPr>
          <w:rFonts w:ascii="Times New Roman" w:hAnsi="Times New Roman" w:cs="Times New Roman"/>
          <w:lang w:eastAsia="sk-SK"/>
        </w:rPr>
        <w:t xml:space="preserve">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 w:rsidR="000E7123">
        <w:rPr>
          <w:rFonts w:ascii="Times New Roman" w:hAnsi="Times New Roman" w:cs="Times New Roman"/>
          <w:lang w:eastAsia="sk-SK"/>
        </w:rPr>
        <w:t xml:space="preserve">  4 775,00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Vysokozdvižná plošina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15 700,00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7 850,00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Regálový zakladač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66 170,00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33 085,00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proofErr w:type="spellStart"/>
      <w:r>
        <w:rPr>
          <w:rFonts w:ascii="Times New Roman" w:hAnsi="Times New Roman" w:cs="Times New Roman"/>
          <w:lang w:eastAsia="sk-SK"/>
        </w:rPr>
        <w:t>Vysekávací</w:t>
      </w:r>
      <w:proofErr w:type="spellEnd"/>
      <w:r>
        <w:rPr>
          <w:rFonts w:ascii="Times New Roman" w:hAnsi="Times New Roman" w:cs="Times New Roman"/>
          <w:lang w:eastAsia="sk-SK"/>
        </w:rPr>
        <w:t xml:space="preserve"> nástroj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8 320,00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4 160,00 Eur</w:t>
      </w:r>
      <w:r>
        <w:rPr>
          <w:rFonts w:ascii="Times New Roman" w:hAnsi="Times New Roman" w:cs="Times New Roman"/>
          <w:lang w:eastAsia="sk-SK"/>
        </w:rPr>
        <w:tab/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proofErr w:type="spellStart"/>
      <w:r>
        <w:rPr>
          <w:rFonts w:ascii="Times New Roman" w:hAnsi="Times New Roman" w:cs="Times New Roman"/>
          <w:lang w:eastAsia="sk-SK"/>
        </w:rPr>
        <w:t>Vysekávací</w:t>
      </w:r>
      <w:proofErr w:type="spellEnd"/>
      <w:r>
        <w:rPr>
          <w:rFonts w:ascii="Times New Roman" w:hAnsi="Times New Roman" w:cs="Times New Roman"/>
          <w:lang w:eastAsia="sk-SK"/>
        </w:rPr>
        <w:t xml:space="preserve"> nástroj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8 320,00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4 160,00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Automatický podávač profilov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22 300,00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11 150,00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Technológia lepenia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         128 465,00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64 232,00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Technológia pre rezanie fólií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30 406,00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15 203,00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Jednoúčelový stroj na vrátanie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25 700,00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12 850,00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Manipulačné dopravníky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71 300,00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35 650,00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DC0DAA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Dotácie zo štátneho rozpočtu na elektrickú energiu: </w:t>
      </w:r>
    </w:p>
    <w:p w:rsidR="00DC0DAA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Výška poskytnutej dotácie v roku 2023 :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14 201,00 Eur</w:t>
      </w:r>
    </w:p>
    <w:p w:rsidR="00DC0DAA" w:rsidRPr="00E44B89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o oprave významných chýb</w:t>
      </w:r>
      <w:r w:rsidRPr="00E44B89">
        <w:rPr>
          <w:rFonts w:ascii="Times New Roman" w:hAnsi="Times New Roman" w:cs="Times New Roman"/>
          <w:lang w:eastAsia="sk-SK"/>
        </w:rPr>
        <w:t xml:space="preserve"> minulých účt</w:t>
      </w:r>
      <w:bookmarkStart w:id="0" w:name="_GoBack"/>
      <w:bookmarkEnd w:id="0"/>
      <w:r w:rsidRPr="00E44B89">
        <w:rPr>
          <w:rFonts w:ascii="Times New Roman" w:hAnsi="Times New Roman" w:cs="Times New Roman"/>
          <w:lang w:eastAsia="sk-SK"/>
        </w:rPr>
        <w:t>ovných období účtovaných v bežnom účtovnom období s uvedením sumy vplyvu na nerozdelený zisk minulých rokov alebo na neuhradenú stratu minulých rokov.</w:t>
      </w:r>
      <w:r w:rsidR="0051429C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17"/>
        <w:gridCol w:w="902"/>
        <w:gridCol w:w="923"/>
        <w:gridCol w:w="1807"/>
        <w:gridCol w:w="180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Opis účtovného prípadu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MD/DAL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výsledok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vlastné imanie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oprave chýb minulých účtovných období: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Po schválení účtovnej závierky na valnom zhromaždení už nemožno otvárať účtovné knihy minulých účtovných období a prípadné opravy sa vykonajú v bežnom účtovnom období (</w:t>
      </w:r>
      <w:hyperlink r:id="rId3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ods. 10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3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11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Opravy nevýznamných nákladov a nevýznamných výnosov minulých účtovných období sa účtujú ako výsledkové účtovné prípady bežného účtovného obdobia (</w:t>
      </w:r>
      <w:hyperlink r:id="rId3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 ods. 1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Významné opravy chýb minulých účtovných období sa účtujú (</w:t>
      </w:r>
      <w:hyperlink r:id="rId3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59 ods. 13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 voči minulým výsledkom hospodárenia (voči vlastnému imaniu na účet 428 alebo 429).</w:t>
      </w:r>
    </w:p>
    <w:p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Hranicu významnosti si účtovná jednotka stanoví individuálne v internej účtovnej smernici</w:t>
      </w:r>
      <w:r w:rsidR="0051429C">
        <w:rPr>
          <w:rFonts w:ascii="Times New Roman" w:hAnsi="Times New Roman" w:cs="Times New Roman"/>
          <w:lang w:eastAsia="sk-SK"/>
        </w:rPr>
        <w:t>.</w:t>
      </w:r>
    </w:p>
    <w:p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Opravy chýb minulých účtovných období sa daňovo vyrovnajú podľa pravidiel v zákone o dani z príjmov (</w:t>
      </w:r>
      <w:hyperlink r:id="rId3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15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3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29 ZDP</w:t>
        </w:r>
      </w:hyperlink>
      <w:r w:rsidRPr="00E44B89">
        <w:rPr>
          <w:rFonts w:ascii="Times New Roman" w:hAnsi="Times New Roman" w:cs="Times New Roman"/>
          <w:lang w:eastAsia="sk-SK"/>
        </w:rPr>
        <w:t>) a pravidiel v daňovom poriadku (§ 16).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lastRenderedPageBreak/>
        <w:t>Článok IV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Informácie, ktoré vysvetľujú a dopĺňajú súvahu a výkaz ziskov a strát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Dlhodobý nehmotný majetok, ktorým je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alebo záporný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bCs/>
          <w:lang w:eastAsia="sk-SK"/>
        </w:rPr>
        <w:t>–</w:t>
      </w:r>
      <w:r w:rsidRPr="00E44B89">
        <w:rPr>
          <w:rFonts w:ascii="Times New Roman" w:hAnsi="Times New Roman" w:cs="Times New Roman"/>
          <w:lang w:eastAsia="sk-SK"/>
        </w:rPr>
        <w:t xml:space="preserve"> dôvod jeho vzniku, spôsob výpočtu a prehodnotenie opodstatnenosti jeho výšky a odpisu jeho hodnoty: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Záporný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sa účtovne odpíše do výnosov (075/551) jednorazovo v roku jeho vzniku (</w:t>
      </w:r>
      <w:hyperlink r:id="rId3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37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). Daňovo sa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z podnikových kombinácií spravidla odpisuje najdlhšie počas 7 rokov podľa pravidiel v zákone o dani z príjmov (</w:t>
      </w:r>
      <w:hyperlink r:id="rId3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11 ZDP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3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17a – § 17e ZDP</w:t>
        </w:r>
      </w:hyperlink>
      <w:r w:rsidRPr="00E44B89">
        <w:rPr>
          <w:rFonts w:ascii="Times New Roman" w:hAnsi="Times New Roman" w:cs="Times New Roman"/>
          <w:lang w:eastAsia="sk-SK"/>
        </w:rPr>
        <w:t>)]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Informácie o významných položkách derivátov, majetku a záväzkoch zabezpečených derivátmi (</w:t>
      </w:r>
      <w:hyperlink r:id="rId4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17"/>
        <w:gridCol w:w="902"/>
        <w:gridCol w:w="923"/>
        <w:gridCol w:w="1807"/>
        <w:gridCol w:w="180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 derivátov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MD/DAL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výsledok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imanie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Prvotné ocenenie reálnou hodnotou (</w:t>
      </w:r>
      <w:hyperlink r:id="rId4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 počas účtovného obdobia účtovná jednotka nepoužila. Reálnou hodnotou – sa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oceňujú, okrem iného, aj deriváty a majetok a záväzky zabezpečené derivátmi (</w:t>
      </w:r>
      <w:hyperlink r:id="rId4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ods. 1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); precenenie na reálnu hodnotu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sa účtuje (</w:t>
      </w:r>
      <w:hyperlink r:id="rId4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 – výsledkovo (účty 56x, 66x) alebo súvahovo (účet 414)].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Celková suma záväzkov so zostatkovou dobou splatnosti dlhšou ako 5 rokov: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so zostatkovou dobou splatnosti nad 5 rokov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Zostatková doba splatnosti záväzku alebo jeho časti – je rozdiel medzi dohodnutou dobou splatnosti záväzkov a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závierkovým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dňom (</w:t>
      </w:r>
      <w:hyperlink r:id="rId4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12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Celková suma zabezpečených záväzkov – opis a spôsob zabezpečenia záväzkov: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Zabezpečené záväzky</w:t>
            </w:r>
          </w:p>
        </w:tc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Spôsob zabezpečenia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Hodnota záväzkov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zabezpečené záložným právom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zabezpečené iným spôsobom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Celková suma zabezpečených záväzkov: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</w:tbl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vlastných akciách: </w:t>
      </w:r>
    </w:p>
    <w:p w:rsidR="005C325E" w:rsidRDefault="005C325E" w:rsidP="00E44B89">
      <w:pPr>
        <w:pStyle w:val="Bezriadkovania"/>
        <w:rPr>
          <w:rFonts w:ascii="Times New Roman" w:hAnsi="Times New Roman" w:cs="Times New Roman"/>
          <w:bCs/>
          <w:lang w:eastAsia="sk-SK"/>
        </w:rPr>
      </w:pPr>
      <w:r>
        <w:rPr>
          <w:rFonts w:ascii="Times New Roman" w:hAnsi="Times New Roman" w:cs="Times New Roman"/>
          <w:bCs/>
          <w:lang w:eastAsia="sk-SK"/>
        </w:rPr>
        <w:t xml:space="preserve">Základné imanie tvoria akcie na meno. </w:t>
      </w:r>
    </w:p>
    <w:p w:rsidR="005C325E" w:rsidRDefault="005C325E" w:rsidP="00E44B89">
      <w:pPr>
        <w:pStyle w:val="Bezriadkovania"/>
        <w:rPr>
          <w:rFonts w:ascii="Times New Roman" w:hAnsi="Times New Roman" w:cs="Times New Roman"/>
          <w:bCs/>
          <w:lang w:eastAsia="sk-SK"/>
        </w:rPr>
      </w:pPr>
      <w:r>
        <w:rPr>
          <w:rFonts w:ascii="Times New Roman" w:hAnsi="Times New Roman" w:cs="Times New Roman"/>
          <w:bCs/>
          <w:lang w:eastAsia="sk-SK"/>
        </w:rPr>
        <w:t>400 kmeňové 66 388,00 Eur menovitá hodnota 165,97 Eur</w:t>
      </w:r>
    </w:p>
    <w:p w:rsidR="005C325E" w:rsidRPr="005C325E" w:rsidRDefault="005C325E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bCs/>
          <w:lang w:eastAsia="sk-SK"/>
        </w:rPr>
        <w:t xml:space="preserve">100 kmeňové 33 500,00 Eur menovitá hodnota 335,00 Eur – zvýšenie základného imania. </w:t>
      </w:r>
    </w:p>
    <w:p w:rsidR="0051429C" w:rsidRDefault="005C325E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V účtovnom období 2023 spoločnosť ne</w:t>
      </w:r>
      <w:r w:rsidR="00E44B89" w:rsidRPr="00E44B89">
        <w:rPr>
          <w:rFonts w:ascii="Times New Roman" w:hAnsi="Times New Roman" w:cs="Times New Roman"/>
          <w:lang w:eastAsia="sk-SK"/>
        </w:rPr>
        <w:t>nadobud</w:t>
      </w:r>
      <w:r>
        <w:rPr>
          <w:rFonts w:ascii="Times New Roman" w:hAnsi="Times New Roman" w:cs="Times New Roman"/>
          <w:lang w:eastAsia="sk-SK"/>
        </w:rPr>
        <w:t>la, nepreviedla</w:t>
      </w:r>
      <w:r w:rsidR="00E44B89" w:rsidRPr="00E44B89">
        <w:rPr>
          <w:rFonts w:ascii="Times New Roman" w:hAnsi="Times New Roman" w:cs="Times New Roman"/>
          <w:lang w:eastAsia="sk-SK"/>
        </w:rPr>
        <w:t xml:space="preserve"> vlastn</w:t>
      </w:r>
      <w:r>
        <w:rPr>
          <w:rFonts w:ascii="Times New Roman" w:hAnsi="Times New Roman" w:cs="Times New Roman"/>
          <w:lang w:eastAsia="sk-SK"/>
        </w:rPr>
        <w:t>é</w:t>
      </w:r>
      <w:r w:rsidR="00E44B89" w:rsidRPr="00E44B89">
        <w:rPr>
          <w:rFonts w:ascii="Times New Roman" w:hAnsi="Times New Roman" w:cs="Times New Roman"/>
          <w:lang w:eastAsia="sk-SK"/>
        </w:rPr>
        <w:t xml:space="preserve"> akci</w:t>
      </w:r>
      <w:r>
        <w:rPr>
          <w:rFonts w:ascii="Times New Roman" w:hAnsi="Times New Roman" w:cs="Times New Roman"/>
          <w:lang w:eastAsia="sk-SK"/>
        </w:rPr>
        <w:t xml:space="preserve">e. 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 vlastnému imaniu</w:t>
      </w:r>
      <w:r w:rsidRPr="00E44B89">
        <w:rPr>
          <w:rFonts w:ascii="Times New Roman" w:hAnsi="Times New Roman" w:cs="Times New Roman"/>
          <w:lang w:eastAsia="sk-SK"/>
        </w:rPr>
        <w:t xml:space="preserve"> sa uvádza informácia, či účtovná jednotka tvorila kapitálový fond z príspevkov podľa </w:t>
      </w:r>
      <w:hyperlink r:id="rId4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123 ods. 2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alebo </w:t>
      </w:r>
      <w:hyperlink r:id="rId4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217a Obchodného zákonníka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v znení neskorších predpisov: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o sume</w:t>
      </w:r>
      <w:r w:rsidRPr="00E44B89">
        <w:rPr>
          <w:rFonts w:ascii="Times New Roman" w:hAnsi="Times New Roman" w:cs="Times New Roman"/>
          <w:lang w:eastAsia="sk-SK"/>
        </w:rPr>
        <w:t xml:space="preserve"> a dôvodoch vzniku jednotlivých položiek </w:t>
      </w:r>
      <w:r w:rsidRPr="00E44B89">
        <w:rPr>
          <w:rFonts w:ascii="Times New Roman" w:hAnsi="Times New Roman" w:cs="Times New Roman"/>
          <w:b/>
          <w:bCs/>
          <w:lang w:eastAsia="sk-SK"/>
        </w:rPr>
        <w:t>nákladov alebo výnosov,</w:t>
      </w:r>
      <w:r w:rsidRPr="00E44B89">
        <w:rPr>
          <w:rFonts w:ascii="Times New Roman" w:hAnsi="Times New Roman" w:cs="Times New Roman"/>
          <w:lang w:eastAsia="sk-SK"/>
        </w:rPr>
        <w:t xml:space="preserve"> ktoré majú výnimočný rozsah alebo výskyt (napr. výnosy z predaja podniku alebo jeho časti, náklady z dôvodu predaja podniku alebo jeho časti, škody z dôvodu živelných pohrôm):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7"/>
          <w:szCs w:val="27"/>
          <w:lang w:eastAsia="sk-SK"/>
        </w:rPr>
        <w:br/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iných aktívach a iných pasívach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 iným aktívam a iným pasívam sa uvádzajú tieto informácie: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Podmienený majetok</w:t>
      </w:r>
      <w:r w:rsidRPr="00E44B89">
        <w:rPr>
          <w:rFonts w:ascii="Times New Roman" w:hAnsi="Times New Roman" w:cs="Times New Roman"/>
          <w:lang w:eastAsia="sk-SK"/>
        </w:rPr>
        <w:t xml:space="preserve"> –: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Podmienené záväzky</w:t>
      </w:r>
      <w:r w:rsidRPr="00E44B89">
        <w:rPr>
          <w:rFonts w:ascii="Times New Roman" w:hAnsi="Times New Roman" w:cs="Times New Roman"/>
          <w:lang w:eastAsia="sk-SK"/>
        </w:rPr>
        <w:t xml:space="preserve"> –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Ostatné finančné povinnosti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DC0DAA" w:rsidRPr="00E44B89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Podsúvahové účty</w:t>
      </w:r>
      <w:r w:rsidRPr="00E44B89">
        <w:rPr>
          <w:rFonts w:ascii="Times New Roman" w:hAnsi="Times New Roman" w:cs="Times New Roman"/>
          <w:lang w:eastAsia="sk-SK"/>
        </w:rPr>
        <w:t xml:space="preserve"> – uvádzajú sa informácie o významných položkách sledovaných na podsúvahových účtoch (</w:t>
      </w:r>
      <w:hyperlink r:id="rId4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85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): 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podsúvahovej položky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Majetok prijatý do úschovy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Komisionálny sklad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33 843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37 663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Ochranná známka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65 000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65 000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Zaniknuté záväzky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12 029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12 029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7B05E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Drobný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256 856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253 778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7"/>
          <w:szCs w:val="27"/>
          <w:lang w:eastAsia="sk-SK"/>
        </w:rPr>
        <w:br/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 xml:space="preserve">Udalosti, ktoré nastali po </w:t>
      </w:r>
      <w:proofErr w:type="spellStart"/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závierkovom</w:t>
      </w:r>
      <w:proofErr w:type="spellEnd"/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dni</w:t>
      </w:r>
      <w:r w:rsidR="007B05E1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:</w:t>
      </w:r>
      <w:r w:rsidR="00DC0DAA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Dôvody pre zmenu výšky rezerv a opravných položiek, ktoré nastali v dôsledku udalostí po dni, ku ktorému sa zostavuje účtovná závierka, do dňa zostavenia účtovnej závierky: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Zmena spoločníkov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Prijaté rozhodnutia o predaji účtovnej jednotky alebo jej časti: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Zmeny významných položiek dlhodobého finančného majetku: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Začatie alebo ukončenie činnosti časti účtovnej jednotky, napríklad odštepného závodu, organizačnej zložky, prevádzkarne: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Vydané dlhopisy a iné cenné papiere: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Zlúčenie, splynutie, rozdelenie a zmena právnej formy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Mimoriadne udalosti, ak majú vplyv na hospodárenie účtovnej jednotky, napr. živelná pohroma: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Získanie alebo odobratie licencií alebo iných povolení významných pre činnosť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Následná udalosť – udalosť, ktorá </w:t>
      </w:r>
      <w:r w:rsidR="007B05E1">
        <w:rPr>
          <w:rFonts w:ascii="Times New Roman" w:hAnsi="Times New Roman" w:cs="Times New Roman"/>
          <w:lang w:eastAsia="sk-SK"/>
        </w:rPr>
        <w:t xml:space="preserve">by </w:t>
      </w:r>
      <w:r w:rsidRPr="00E44B89">
        <w:rPr>
          <w:rFonts w:ascii="Times New Roman" w:hAnsi="Times New Roman" w:cs="Times New Roman"/>
          <w:lang w:eastAsia="sk-SK"/>
        </w:rPr>
        <w:t xml:space="preserve">sa stala následne po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závierkovom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dni do dňa podpísania výkazov – uvádza sa v poznámkach.</w:t>
      </w:r>
      <w:r w:rsidR="00DC0DAA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Upravujúci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závierkový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účtovný prípad – </w:t>
      </w:r>
      <w:r w:rsidR="007B05E1">
        <w:rPr>
          <w:rFonts w:ascii="Times New Roman" w:hAnsi="Times New Roman" w:cs="Times New Roman"/>
          <w:lang w:eastAsia="sk-SK"/>
        </w:rPr>
        <w:t xml:space="preserve">ktorý by sa </w:t>
      </w:r>
      <w:r w:rsidRPr="00E44B89">
        <w:rPr>
          <w:rFonts w:ascii="Times New Roman" w:hAnsi="Times New Roman" w:cs="Times New Roman"/>
          <w:lang w:eastAsia="sk-SK"/>
        </w:rPr>
        <w:t xml:space="preserve">stal do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závierkového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dňa, len bol zistený do dňa podpísania výkazov – riadne sa účtuje do hlavnej knihy a riadne sa vykazuje vo výkazoch (</w:t>
      </w:r>
      <w:hyperlink r:id="rId4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17 ods. 8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4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2a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18 ods. 9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19 ods. 6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48 ods. 3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50 ods. 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C22E5F" w:rsidRDefault="007B05E1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Po 31. 12. 2023 nenastali žiadne také udalosti, ktoré by vyžadovali, zverejnenie v účtovnej závierke za rok 2023. </w:t>
      </w:r>
    </w:p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Ostatné informácie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výlučnom práve poskytovať služby vo verejnom záujme: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osobitnej kategórii priemyselnej výroby: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finančných vzťahoch s orgánmi verejnej moci: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C22E5F" w:rsidRDefault="00C22E5F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</w:p>
    <w:p w:rsidR="00C22E5F" w:rsidRPr="00B65303" w:rsidRDefault="00C22E5F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B65303">
        <w:rPr>
          <w:rFonts w:ascii="Times New Roman" w:hAnsi="Times New Roman" w:cs="Times New Roman"/>
          <w:bCs/>
          <w:lang w:eastAsia="sk-SK"/>
        </w:rPr>
        <w:t xml:space="preserve">V Liptovskom Mikuláš 8. apríl 2024 </w:t>
      </w:r>
    </w:p>
    <w:p w:rsidR="003507A8" w:rsidRPr="00B65303" w:rsidRDefault="003507A8" w:rsidP="00E44B89">
      <w:pPr>
        <w:pStyle w:val="Bezriadkovania"/>
        <w:rPr>
          <w:rFonts w:ascii="Times New Roman" w:hAnsi="Times New Roman" w:cs="Times New Roman"/>
        </w:rPr>
      </w:pPr>
    </w:p>
    <w:sectPr w:rsidR="003507A8" w:rsidRPr="00B653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422F7"/>
    <w:multiLevelType w:val="multilevel"/>
    <w:tmpl w:val="2046A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4E682E"/>
    <w:multiLevelType w:val="multilevel"/>
    <w:tmpl w:val="14AC47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664042"/>
    <w:multiLevelType w:val="multilevel"/>
    <w:tmpl w:val="AA064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CE42D6"/>
    <w:multiLevelType w:val="multilevel"/>
    <w:tmpl w:val="9176C9F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7A65E0"/>
    <w:multiLevelType w:val="multilevel"/>
    <w:tmpl w:val="1096C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7C50DA"/>
    <w:multiLevelType w:val="multilevel"/>
    <w:tmpl w:val="23083E9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9AA42F0"/>
    <w:multiLevelType w:val="multilevel"/>
    <w:tmpl w:val="8522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E387A70"/>
    <w:multiLevelType w:val="multilevel"/>
    <w:tmpl w:val="F530BB4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A8C737D"/>
    <w:multiLevelType w:val="multilevel"/>
    <w:tmpl w:val="A0FC6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D7B0D83"/>
    <w:multiLevelType w:val="multilevel"/>
    <w:tmpl w:val="324AB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DE864F4"/>
    <w:multiLevelType w:val="multilevel"/>
    <w:tmpl w:val="87205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1A11C0A"/>
    <w:multiLevelType w:val="multilevel"/>
    <w:tmpl w:val="C652F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27205B5"/>
    <w:multiLevelType w:val="multilevel"/>
    <w:tmpl w:val="4A6C6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4BA7EB0"/>
    <w:multiLevelType w:val="multilevel"/>
    <w:tmpl w:val="FD042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07E742E"/>
    <w:multiLevelType w:val="multilevel"/>
    <w:tmpl w:val="8F9AAE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8"/>
  </w:num>
  <w:num w:numId="3">
    <w:abstractNumId w:val="5"/>
  </w:num>
  <w:num w:numId="4">
    <w:abstractNumId w:val="3"/>
  </w:num>
  <w:num w:numId="5">
    <w:abstractNumId w:val="7"/>
  </w:num>
  <w:num w:numId="6">
    <w:abstractNumId w:val="13"/>
  </w:num>
  <w:num w:numId="7">
    <w:abstractNumId w:val="4"/>
  </w:num>
  <w:num w:numId="8">
    <w:abstractNumId w:val="11"/>
  </w:num>
  <w:num w:numId="9">
    <w:abstractNumId w:val="2"/>
  </w:num>
  <w:num w:numId="10">
    <w:abstractNumId w:val="0"/>
  </w:num>
  <w:num w:numId="11">
    <w:abstractNumId w:val="12"/>
  </w:num>
  <w:num w:numId="12">
    <w:abstractNumId w:val="9"/>
  </w:num>
  <w:num w:numId="13">
    <w:abstractNumId w:val="1"/>
  </w:num>
  <w:num w:numId="14">
    <w:abstractNumId w:val="14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B89"/>
    <w:rsid w:val="000E7123"/>
    <w:rsid w:val="003507A8"/>
    <w:rsid w:val="0051429C"/>
    <w:rsid w:val="005C325E"/>
    <w:rsid w:val="007B05E1"/>
    <w:rsid w:val="00B23A02"/>
    <w:rsid w:val="00B65303"/>
    <w:rsid w:val="00C22E5F"/>
    <w:rsid w:val="00DC0DAA"/>
    <w:rsid w:val="00E44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7BD04"/>
  <w15:chartTrackingRefBased/>
  <w15:docId w15:val="{49214BAE-35C6-474A-AD36-EAA4BC67D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E44B8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E44B8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E44B8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E44B8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E44B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E44B89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E44B89"/>
    <w:rPr>
      <w:b/>
      <w:bCs/>
    </w:rPr>
  </w:style>
  <w:style w:type="paragraph" w:styleId="Bezriadkovania">
    <w:name w:val="No Spacing"/>
    <w:uiPriority w:val="1"/>
    <w:qFormat/>
    <w:rsid w:val="00E44B8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C0D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0D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858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38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5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35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18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4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46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anovecentrum.sk/form/goto.ashx?t=27&amp;p=2802479&amp;f=3" TargetMode="External"/><Relationship Id="rId18" Type="http://schemas.openxmlformats.org/officeDocument/2006/relationships/hyperlink" Target="https://www.danovecentrum.sk/form/goto.ashx?t=27&amp;p=2868741&amp;f=3" TargetMode="External"/><Relationship Id="rId26" Type="http://schemas.openxmlformats.org/officeDocument/2006/relationships/hyperlink" Target="https://www.danovecentrum.sk/form/goto.ashx?t=27&amp;p=2868739&amp;f=3" TargetMode="External"/><Relationship Id="rId39" Type="http://schemas.openxmlformats.org/officeDocument/2006/relationships/hyperlink" Target="https://www.danovecentrum.sk/form/goto.ashx?t=27&amp;p=2970337-2970475&amp;f=3" TargetMode="External"/><Relationship Id="rId21" Type="http://schemas.openxmlformats.org/officeDocument/2006/relationships/hyperlink" Target="https://www.danovecentrum.sk/form/goto.ashx?t=27&amp;p=2802706&amp;f=3" TargetMode="External"/><Relationship Id="rId34" Type="http://schemas.openxmlformats.org/officeDocument/2006/relationships/hyperlink" Target="https://www.danovecentrum.sk/form/goto.ashx?t=27&amp;p=2869593&amp;f=3" TargetMode="External"/><Relationship Id="rId42" Type="http://schemas.openxmlformats.org/officeDocument/2006/relationships/hyperlink" Target="https://www.danovecentrum.sk/form/goto.ashx?t=27&amp;p=2802741&amp;f=3" TargetMode="External"/><Relationship Id="rId47" Type="http://schemas.openxmlformats.org/officeDocument/2006/relationships/hyperlink" Target="https://www.danovecentrum.sk/form/goto.ashx?t=27&amp;p=2869821&amp;f=3" TargetMode="External"/><Relationship Id="rId50" Type="http://schemas.openxmlformats.org/officeDocument/2006/relationships/hyperlink" Target="https://www.danovecentrum.sk/form/goto.ashx?t=27&amp;p=2868627&amp;f=2" TargetMode="External"/><Relationship Id="rId55" Type="http://schemas.openxmlformats.org/officeDocument/2006/relationships/theme" Target="theme/theme1.xml"/><Relationship Id="rId7" Type="http://schemas.openxmlformats.org/officeDocument/2006/relationships/hyperlink" Target="https://www.danovecentrum.sk/form/goto.ashx?t=40&amp;p=11343477" TargetMode="External"/><Relationship Id="rId12" Type="http://schemas.openxmlformats.org/officeDocument/2006/relationships/hyperlink" Target="https://www.danovecentrum.sk/form/goto.ashx?t=27&amp;p=2802464&amp;f=3" TargetMode="External"/><Relationship Id="rId17" Type="http://schemas.openxmlformats.org/officeDocument/2006/relationships/hyperlink" Target="https://www.danovecentrum.sk/form/goto.ashx?t=27&amp;p=2868625&amp;f=3" TargetMode="External"/><Relationship Id="rId25" Type="http://schemas.openxmlformats.org/officeDocument/2006/relationships/hyperlink" Target="https://www.danovecentrum.sk/form/goto.ashx?t=26&amp;p=1021243&amp;f=3" TargetMode="External"/><Relationship Id="rId33" Type="http://schemas.openxmlformats.org/officeDocument/2006/relationships/hyperlink" Target="https://www.danovecentrum.sk/form/goto.ashx?t=27&amp;p=2868227&amp;f=3" TargetMode="External"/><Relationship Id="rId38" Type="http://schemas.openxmlformats.org/officeDocument/2006/relationships/hyperlink" Target="https://www.danovecentrum.sk/form/goto.ashx?t=27&amp;p=2970228&amp;f=3" TargetMode="External"/><Relationship Id="rId46" Type="http://schemas.openxmlformats.org/officeDocument/2006/relationships/hyperlink" Target="https://www.danovecentrum.sk/form/goto.ashx?t=27&amp;p=4755077&amp;f=3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danovecentrum.sk/form/goto.ashx?t=27&amp;p=2699546&amp;f=3" TargetMode="External"/><Relationship Id="rId20" Type="http://schemas.openxmlformats.org/officeDocument/2006/relationships/hyperlink" Target="https://www.danovecentrum.sk/form/goto.ashx?t=27&amp;p=2802740&amp;f=3" TargetMode="External"/><Relationship Id="rId29" Type="http://schemas.openxmlformats.org/officeDocument/2006/relationships/hyperlink" Target="https://www.danovecentrum.sk/form/goto.ashx?t=27&amp;p=2869081&amp;f=2" TargetMode="External"/><Relationship Id="rId41" Type="http://schemas.openxmlformats.org/officeDocument/2006/relationships/hyperlink" Target="https://www.danovecentrum.sk/form/goto.ashx?t=27&amp;p=2802647&amp;f=3" TargetMode="Externa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40&amp;p=5746332" TargetMode="External"/><Relationship Id="rId11" Type="http://schemas.openxmlformats.org/officeDocument/2006/relationships/hyperlink" Target="https://www.danovecentrum.sk/form/goto.ashx?t=27&amp;p=2802451&amp;f=3" TargetMode="External"/><Relationship Id="rId24" Type="http://schemas.openxmlformats.org/officeDocument/2006/relationships/hyperlink" Target="https://www.danovecentrum.sk/form/goto.ashx?t=27&amp;p=2802786&amp;f=3" TargetMode="External"/><Relationship Id="rId32" Type="http://schemas.openxmlformats.org/officeDocument/2006/relationships/hyperlink" Target="https://www.danovecentrum.sk/form/goto.ashx?t=27&amp;p=2802156&amp;f=3" TargetMode="External"/><Relationship Id="rId37" Type="http://schemas.openxmlformats.org/officeDocument/2006/relationships/hyperlink" Target="https://www.danovecentrum.sk/form/goto.ashx?t=27&amp;p=2869128&amp;f=3" TargetMode="External"/><Relationship Id="rId40" Type="http://schemas.openxmlformats.org/officeDocument/2006/relationships/hyperlink" Target="https://www.danovecentrum.sk/form/goto.ashx?t=27&amp;p=2868451&amp;f=3" TargetMode="External"/><Relationship Id="rId45" Type="http://schemas.openxmlformats.org/officeDocument/2006/relationships/hyperlink" Target="https://www.danovecentrum.sk/form/goto.ashx?t=27&amp;p=2011043&amp;f=3" TargetMode="External"/><Relationship Id="rId53" Type="http://schemas.openxmlformats.org/officeDocument/2006/relationships/hyperlink" Target="https://www.danovecentrum.sk/form/goto.ashx?t=27&amp;p=2869380&amp;f=3" TargetMode="External"/><Relationship Id="rId5" Type="http://schemas.openxmlformats.org/officeDocument/2006/relationships/hyperlink" Target="https://www.danovecentrum.sk/form/goto.ashx?t=26&amp;p=4273900&amp;f=2" TargetMode="External"/><Relationship Id="rId15" Type="http://schemas.openxmlformats.org/officeDocument/2006/relationships/hyperlink" Target="https://www.danovecentrum.sk/form/goto.ashx?t=27&amp;p=2802647&amp;f=3" TargetMode="External"/><Relationship Id="rId23" Type="http://schemas.openxmlformats.org/officeDocument/2006/relationships/hyperlink" Target="https://www.danovecentrum.sk/form/goto.ashx?t=27&amp;p=2802627&amp;f=3" TargetMode="External"/><Relationship Id="rId28" Type="http://schemas.openxmlformats.org/officeDocument/2006/relationships/hyperlink" Target="https://www.danovecentrum.sk/form/goto.ashx?t=27&amp;p=2971032&amp;f=3" TargetMode="External"/><Relationship Id="rId36" Type="http://schemas.openxmlformats.org/officeDocument/2006/relationships/hyperlink" Target="https://www.danovecentrum.sk/form/goto.ashx?t=27&amp;p=2970327&amp;f=3" TargetMode="External"/><Relationship Id="rId49" Type="http://schemas.openxmlformats.org/officeDocument/2006/relationships/hyperlink" Target="https://www.danovecentrum.sk/form/goto.ashx?t=27&amp;p=2868189-2868193&amp;f=2" TargetMode="External"/><Relationship Id="rId10" Type="http://schemas.openxmlformats.org/officeDocument/2006/relationships/hyperlink" Target="https://www.danovecentrum.sk/form/goto.ashx?t=27&amp;p=2802420&amp;f=3" TargetMode="External"/><Relationship Id="rId19" Type="http://schemas.openxmlformats.org/officeDocument/2006/relationships/hyperlink" Target="https://www.danovecentrum.sk/form/goto.ashx?t=27&amp;p=2802647&amp;f=3" TargetMode="External"/><Relationship Id="rId31" Type="http://schemas.openxmlformats.org/officeDocument/2006/relationships/hyperlink" Target="https://www.danovecentrum.sk/form/goto.ashx?t=27&amp;p=2802154&amp;f=3" TargetMode="External"/><Relationship Id="rId44" Type="http://schemas.openxmlformats.org/officeDocument/2006/relationships/hyperlink" Target="https://www.danovecentrum.sk/form/goto.ashx?t=27&amp;p=2868358&amp;f=3" TargetMode="External"/><Relationship Id="rId52" Type="http://schemas.openxmlformats.org/officeDocument/2006/relationships/hyperlink" Target="https://www.danovecentrum.sk/form/goto.ashx?t=27&amp;p=2869359&amp;f=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anovecentrum.sk/form/goto.ashx?t=27&amp;p=2802187&amp;f=3" TargetMode="External"/><Relationship Id="rId14" Type="http://schemas.openxmlformats.org/officeDocument/2006/relationships/hyperlink" Target="https://www.danovecentrum.sk/form/goto.ashx?t=27&amp;p=2801994&amp;f=3" TargetMode="External"/><Relationship Id="rId22" Type="http://schemas.openxmlformats.org/officeDocument/2006/relationships/hyperlink" Target="https://www.danovecentrum.sk/form/goto.ashx?t=27&amp;p=2868747&amp;f=3" TargetMode="External"/><Relationship Id="rId27" Type="http://schemas.openxmlformats.org/officeDocument/2006/relationships/hyperlink" Target="https://www.danovecentrum.sk/form/goto.ashx?t=27&amp;p=2868731&amp;f=3" TargetMode="External"/><Relationship Id="rId30" Type="http://schemas.openxmlformats.org/officeDocument/2006/relationships/hyperlink" Target="https://www.danovecentrum.sk/form/goto.ashx?t=27&amp;p=2869104&amp;f=3" TargetMode="External"/><Relationship Id="rId35" Type="http://schemas.openxmlformats.org/officeDocument/2006/relationships/hyperlink" Target="https://www.danovecentrum.sk/form/goto.ashx?t=27&amp;p=2970257&amp;f=3" TargetMode="External"/><Relationship Id="rId43" Type="http://schemas.openxmlformats.org/officeDocument/2006/relationships/hyperlink" Target="https://www.danovecentrum.sk/form/goto.ashx?t=27&amp;p=2868451&amp;f=3" TargetMode="External"/><Relationship Id="rId48" Type="http://schemas.openxmlformats.org/officeDocument/2006/relationships/hyperlink" Target="https://www.danovecentrum.sk/form/goto.ashx?t=27&amp;p=2802201&amp;f=3" TargetMode="External"/><Relationship Id="rId8" Type="http://schemas.openxmlformats.org/officeDocument/2006/relationships/hyperlink" Target="https://www.danovecentrum.sk/form/goto.ashx?t=27&amp;p=4267571&amp;f=3" TargetMode="External"/><Relationship Id="rId51" Type="http://schemas.openxmlformats.org/officeDocument/2006/relationships/hyperlink" Target="https://www.danovecentrum.sk/form/goto.ashx?t=27&amp;p=2868659&amp;f=2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6</Pages>
  <Words>3179</Words>
  <Characters>18125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Jancekova</dc:creator>
  <cp:keywords/>
  <dc:description/>
  <cp:lastModifiedBy>Silvia Jancekova</cp:lastModifiedBy>
  <cp:revision>3</cp:revision>
  <cp:lastPrinted>2024-04-08T11:05:00Z</cp:lastPrinted>
  <dcterms:created xsi:type="dcterms:W3CDTF">2024-04-08T09:55:00Z</dcterms:created>
  <dcterms:modified xsi:type="dcterms:W3CDTF">2024-04-08T11:20:00Z</dcterms:modified>
</cp:coreProperties>
</file>