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tblGridChange w:id="0">
          <w:tblGrid>
            <w:gridCol w:w="3061"/>
            <w:gridCol w:w="2665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Poznámky (Úč  NUJ 3 – 01)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IČO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Všeobecné informácie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(1) Meno a priezvisko fyzickej osoby alebo názov právnickej osoby, ktorá je zakladateľom alebo zriaďovateľom účtovnej jednotky, dátum založenia alebo zriadenia účtovnej jednotky.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Zakladatelia: Ing. Igor Holéczy, Mgr. Juraj Salcman, Ing. Jozef Obselka, Ing. Lukáš Bašnák, Ing. Roman Strážovec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Dátum vzniku: 25.08.2023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Štatutárny orgán: Ing. Roman Strážovec – prezident od 25.08.2023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(3) Opis činnosti, na účel ktorej bola účtovná jednotka zriadená a opis druhu podnikateľskej činnosti, ak ju účtovná jednotka vykonáva.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  <w:u w:val="single"/>
        </w:rPr>
      </w:pPr>
      <w:r w:rsidDel="00000000" w:rsidR="00000000" w:rsidRPr="00000000">
        <w:rPr>
          <w:b w:val="1"/>
          <w:smallCaps w:val="0"/>
          <w:sz w:val="22"/>
          <w:szCs w:val="22"/>
          <w:u w:val="single"/>
          <w:rtl w:val="0"/>
        </w:rPr>
        <w:t xml:space="preserve">Činnosť, na účel ktorej bola účtovná jednotka zriadená: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podpora a rozvoj ľadového hokeja v regióne Trnava a jeho okolí.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zabezpečovanie všestranných podmienok pre účasť členov združenia, sympatizantov združenia a iných tretích osôb na telovýchovných, verejnoprospešných alebo športových podujatiach na všetkých úrovniach (tréningy, súťaže, turnaje, kurzy, školenia, sústredenia, semináre a pod.) v Slovenskej republike a v zahraničí.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vytváranie vhodných podmienok pre udržanie mládežníckeho ľadového hokeja v regióne Trnava a podpora športu a špecializovanej výchovy športovcov, detí a mládeže.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vyhľadávanie talentov a práca s nimi.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vytváranie ekonomických, materiálno-technických, personálnych, administratívnych, sociálnych a ekologických, bezpečnostných a iných podmienok na činnosť združenia ako celku i jej členov.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podpora, usmerňovanie a kontrola rešpektovania zásady „fair play“ a športovej etiky.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vytváranie podmienok pre rast športovej výkonnosti detí, upevňovanie ich zdravia, zvyšovanie ich telesnej a duševnej výkonnosti, ako aj ochrana záujmov združenia a spoločných záujmov členov združenia, aby sa mohli slobodne venovať svojim aktivitám v rámci činnosti združenia.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zastupovanie záujmov členov a ich reprezentácia vo vzťahu so štátnymi a neštátnymi orgánmi, organizáciami a zväzmi, ako aj zastupovanie členov a ich reprezentácia v medzinárodných organizáciách pôsobiacich predovšetkým v oblasti športu.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propagácia a rozvoj detského a mládežníckeho ľadového hokeja v Trnave a okolí, najmä, avšak nie výlučne, organizovanie tréningového procesu, súťaží, turnajov a iných aktivít.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podieľanie sa na vytváraní podmienok organizovania športových podujatí pre členov združenia a verejnosť, a to najmä v oblasti uvedenej pod písm. b) a g).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vytváranie vhodných tréningových podmienok pre talentované deti a mládež.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organizovanie športových súťaží v ľadovom hokeji pre všetky vekové kategórie.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formovanie a vytváranie zdravých návykov vedúcich k zmysluplnému a užitočnému využívaniu voľného času a zabezpečovanie výchovnej funkcie športovej činnosti.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vykonávanie aktivít vedúcich k ochrane a podpore zdravia členov združenia i verejnosti.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vykonávanie osvetovej a vzdelávacej činnosti v oblasti športu, najmä ľadového hokeja.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rozvoj spolupráce s inými subjektami zameranými na organizovanie športových podujatí alebo iných voľnočasových aktivít.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propagácia činnosti združenia na verejnosti a poskytovanie informácií o aktivitách združenia.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organizovanie kultúrnych, spoločenských, vzdelávacích, športových podujatí a akcií na podnet členov združenia.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vyvíjanie edičnej, metodickej, propagačnej a publikačnej činnosti.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zabezpečovanie evidencie členskej základne, registrácie hráčov a iných vzťahov a záväzkov voči Slovenskému zväzu ľadového hokeja.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iné aktivity slúžiace rozvoju činnosti združenia.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  <w:u w:val="single"/>
        </w:rPr>
      </w:pPr>
      <w:r w:rsidDel="00000000" w:rsidR="00000000" w:rsidRPr="00000000">
        <w:rPr>
          <w:b w:val="1"/>
          <w:smallCaps w:val="0"/>
          <w:sz w:val="22"/>
          <w:szCs w:val="22"/>
          <w:u w:val="single"/>
          <w:rtl w:val="0"/>
        </w:rPr>
        <w:t xml:space="preserve">Podnikateľská činnosť: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Účtovná jednotka (ďalej „ÚJ“) nevykonávala podnikateľskú činnosť.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Style w:val="Table2"/>
        <w:tblW w:w="96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7"/>
        <w:gridCol w:w="1842.9999999999995"/>
        <w:gridCol w:w="2267.9999999999995"/>
        <w:tblGridChange w:id="0">
          <w:tblGrid>
            <w:gridCol w:w="5557"/>
            <w:gridCol w:w="1842.9999999999995"/>
            <w:gridCol w:w="2267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Bežné účtovné obdobie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Počet hodín vykonávania dobrovoľníckej činnosti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 toho  počet vedúcich zamestnancov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 dobrovoľníkov vyslaných účtovnou jednotkou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 dobrovoľníkov, ktorí vykonávali dobrovoľnícku činnosť pre účtovnú jednotku počas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</w:t>
            </w:r>
          </w:p>
        </w:tc>
      </w:tr>
    </w:tbl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(5) Organizačná štruktúra účtovnej jednotky.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Prezídium – vrcholný výkonný orgán združenia (kolektívny orgán) – zloženie: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prezident (štatutárny orgán): Ing. Roman Strážovec, PhD., Eur. Ing.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viceprezident: Ing. Mgr. Igor Holéczy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členovia prezídia: Mgr. Juraj Salcman, Ing. Jozef Obselka, Ing. Lukáš Bašnák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(6) Informácia o organizáciách v zriaďovateľskej pôsobnosti účtovnej jednotky. 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4C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II</w:t>
      </w:r>
    </w:p>
    <w:p w:rsidR="00000000" w:rsidDel="00000000" w:rsidP="00000000" w:rsidRDefault="00000000" w:rsidRPr="00000000" w14:paraId="0000004D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Informácie o účtovných zásadách a účtovných metódach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(1) Informácia, či je účtovná závierka zostavená za splnenia predpokladu, že účtovná jednotka bude nepretržite pokračovať vo svojej činnosti. 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Účtovná závierka k 31.12.2023 bola zostavená za predpokladu nepretržitého pokračovania vo svojej činnosti.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(3) Spôsoby ocenenia jednotlivých položiek majetku a záväzkov.</w:t>
      </w:r>
    </w:p>
    <w:tbl>
      <w:tblPr>
        <w:tblStyle w:val="Table3"/>
        <w:tblW w:w="986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7"/>
        <w:gridCol w:w="5840"/>
        <w:gridCol w:w="3585"/>
        <w:tblGridChange w:id="0">
          <w:tblGrid>
            <w:gridCol w:w="437"/>
            <w:gridCol w:w="5840"/>
            <w:gridCol w:w="35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Položka majetku alebo záväzkov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Spôsob ocenenia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nehmotný majetok obstaraný kúpou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b)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nehmotný majetok obstaraný vlastnou činnosťou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nehmotný majetok obstaraný iným spôsobom (darom)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reálna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hmotný majetok obstaraný kúpou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e)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hmotný majetok obstaraný vlastnou činnosťou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f)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hmotný majetok obstaraný iným spôsobom (darom)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reálna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g)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dlhodobý finančný majetok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h)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zásoby obstarané kúpou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i)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zásoby vytvorené vlastnou činnosťou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j)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zásoby obstarané iným spôsobom (darom)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reálna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k)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pohľadávky vlastné / pohľadávky kúpené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 / 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l)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krátkodobý finančný majetok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časové rozlíšenie na strane aktív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n)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záväzky vrátane rezerv, dlhopisov, pôžičiek a úverov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časové rozlíšenie na strane pasív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deriváty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r)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majetok a záväzky zabezpečené derivátmi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Table4"/>
        <w:tblW w:w="1019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8"/>
        <w:gridCol w:w="2548"/>
        <w:gridCol w:w="2549"/>
        <w:gridCol w:w="2549"/>
        <w:tblGridChange w:id="0">
          <w:tblGrid>
            <w:gridCol w:w="2548"/>
            <w:gridCol w:w="2548"/>
            <w:gridCol w:w="2549"/>
            <w:gridCol w:w="254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dlhodobého majetku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Doba odpisovania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Sadzba odpisov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Odpisová metóda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(5) Zásady pre zohľadnenie zníženia hodnoty majetku. Uvádza sa, či účtovná jednotka uplatňuje opravné položky a rezervy.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vytvorila 100% opravnú položku k pohľadávke z titulu pôžičky v sume 13.305 €. Dôvod: pohľadávka po splatnosti, vymáhanie riešené právnou kanceláriou.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A1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III</w:t>
      </w:r>
    </w:p>
    <w:p w:rsidR="00000000" w:rsidDel="00000000" w:rsidP="00000000" w:rsidRDefault="00000000" w:rsidRPr="00000000" w14:paraId="000000A2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Informácie, ktoré dopĺňajú a vysvetľujú údaje v súvahe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Významné sumy prírastkov a úbytkov dlhodobého nehmotného majetku a dlhodobého hmotného majetku.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dlhodobého majetku, na ktorý je zriadené záložné právo a prehľad dlhodobého majetku, pri ktorom má účtovná jednotka obmedzené právo s ním nakladať.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Údaje o štruktúre dlhodobého finančného majetku za bežné účtovné obdobie a jeho umiestnenie v členení podľa položiek súvahy v riadkoch 022 a 023.</w:t>
      </w:r>
    </w:p>
    <w:tbl>
      <w:tblPr>
        <w:tblStyle w:val="Table5"/>
        <w:tblW w:w="1002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19"/>
        <w:gridCol w:w="2409"/>
        <w:gridCol w:w="2694"/>
        <w:tblGridChange w:id="0">
          <w:tblGrid>
            <w:gridCol w:w="4919"/>
            <w:gridCol w:w="2409"/>
            <w:gridCol w:w="269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Názov účtovnej jednotky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Podiel na základnom imaní (v %)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Podiel účtovnej jednotky na hlasovacích právach</w:t>
            </w:r>
          </w:p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(v 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Údaje o štruktúre dlhodobého finančného majetku a krátkodobého finančného majetku v členení podľa položiek súvahy v riadkoch 024, 026 a 055.</w:t>
      </w:r>
    </w:p>
    <w:tbl>
      <w:tblPr>
        <w:tblStyle w:val="Table6"/>
        <w:tblW w:w="1005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55"/>
        <w:gridCol w:w="3351"/>
        <w:gridCol w:w="3351"/>
        <w:tblGridChange w:id="0">
          <w:tblGrid>
            <w:gridCol w:w="3355"/>
            <w:gridCol w:w="3351"/>
            <w:gridCol w:w="33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Opis druhu finančného majetku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Údaje o štruktúre dlhodobých pôžičiek.</w:t>
      </w:r>
    </w:p>
    <w:tbl>
      <w:tblPr>
        <w:tblStyle w:val="Table7"/>
        <w:tblW w:w="1005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50"/>
        <w:gridCol w:w="3351"/>
        <w:gridCol w:w="3351"/>
        <w:tblGridChange w:id="0">
          <w:tblGrid>
            <w:gridCol w:w="3350"/>
            <w:gridCol w:w="3351"/>
            <w:gridCol w:w="33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Poskytnuté dlhodobé pôžičky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0D0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Prehľad  o vývoji významných súm opravných položiek podľa jednotlivých druhov majetku.</w:t>
      </w:r>
    </w:p>
    <w:tbl>
      <w:tblPr>
        <w:tblStyle w:val="Table8"/>
        <w:tblW w:w="10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7"/>
        <w:gridCol w:w="1984.0000000000005"/>
        <w:gridCol w:w="1843.0000000000007"/>
        <w:gridCol w:w="1983.9999999999998"/>
        <w:gridCol w:w="2126.999999999999"/>
        <w:tblGridChange w:id="0">
          <w:tblGrid>
            <w:gridCol w:w="2197"/>
            <w:gridCol w:w="1984.0000000000005"/>
            <w:gridCol w:w="1843.0000000000007"/>
            <w:gridCol w:w="1983.9999999999998"/>
            <w:gridCol w:w="2126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majetku, ku ktorému sa tvorí opravná položka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opravnej položky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Tvorba opravnej položky (zvýšenie)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Zúčtovanie opravnej položky</w:t>
            </w:r>
          </w:p>
          <w:p w:rsidR="00000000" w:rsidDel="00000000" w:rsidP="00000000" w:rsidRDefault="00000000" w:rsidRPr="00000000" w14:paraId="000000D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(použitie, zrušenie)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opravnej položky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Pohľadávka (pôžička – účet 378))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13 305,00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13 305,00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Opis významných súm pohľadávok</w:t>
      </w: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v nadväznosti na položky súvahy, v členení na pohľadávky za hlavnú nezdaňovanú činnosť a zdaňovanú činnosť za bežné účtovné obdobie.</w:t>
      </w:r>
    </w:p>
    <w:tbl>
      <w:tblPr>
        <w:tblStyle w:val="Table9"/>
        <w:tblW w:w="97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68"/>
        <w:gridCol w:w="2977"/>
        <w:gridCol w:w="2692.9999999999995"/>
        <w:tblGridChange w:id="0">
          <w:tblGrid>
            <w:gridCol w:w="4068"/>
            <w:gridCol w:w="2977"/>
            <w:gridCol w:w="2692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 opis významných položiek pohľadávok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Hlavná nezdaňovaná činnosť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Zdaňovaná činnosť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Pôžička (účet 378) – suma brutto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13 305,00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Prehľad pohľadávok do uplynutia lehoty splatnosti a po uplynutí lehoty splatnosti.</w:t>
      </w:r>
    </w:p>
    <w:tbl>
      <w:tblPr>
        <w:tblStyle w:val="Table10"/>
        <w:tblW w:w="977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9"/>
        <w:gridCol w:w="3588.000000000001"/>
        <w:gridCol w:w="3499"/>
        <w:tblGridChange w:id="0">
          <w:tblGrid>
            <w:gridCol w:w="2689"/>
            <w:gridCol w:w="3588.000000000001"/>
            <w:gridCol w:w="34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Pohľadávky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do uplynutia lehoty splatnosti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2 300,00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po uplynutí lehoty splatnosti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13 305,00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15 605,00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o významných položkách časového rozlíšenia nákladov budúcich období a príjmov budúcich období.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Náklady budúcich období (účet 381) – zostatok k 31.12.2023 v sume 1 750,00 €: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 - štartovné (3.splátka) platené Slovenskému zväzu ľadového hokeja na obdobie 1,2/2024.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Príjmy budúcich období (účet 385) – zostatok k 31.12.2023 v sume 1.900,00 €: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 - finančný príspevok Slovenského zväzu ľadového hokeja na náklady na trénerov za 12/2023 (1 500,00 €)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- výnosy za tréningový proces v období 9-12/2023 (400,00 €) uhrádzané iným hokejovým klubom v súvislosti s prestupom hráča.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Opis a výška zmien vlastného imania v priebehu bežného účtovného obdobia podľa položiek súvahy.</w:t>
      </w:r>
    </w:p>
    <w:tbl>
      <w:tblPr>
        <w:tblStyle w:val="Table11"/>
        <w:tblW w:w="1001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02"/>
        <w:gridCol w:w="2025.9999999999995"/>
        <w:gridCol w:w="1431.0000000000002"/>
        <w:gridCol w:w="1272.9999999999995"/>
        <w:gridCol w:w="1396.0000000000002"/>
        <w:gridCol w:w="1886.0000000000002"/>
        <w:tblGridChange w:id="0">
          <w:tblGrid>
            <w:gridCol w:w="2002"/>
            <w:gridCol w:w="2025.9999999999995"/>
            <w:gridCol w:w="1431.0000000000002"/>
            <w:gridCol w:w="1272.9999999999995"/>
            <w:gridCol w:w="1396.0000000000002"/>
            <w:gridCol w:w="1886.00000000000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začiatku bežného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1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(+)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1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(-)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1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(+, -)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Vlastné imanie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Základné imanie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z toho: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nadačné imanie v nadácii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vklady zakladateľov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prioritný majetok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Fondy tvorené podľa osobitných predpisov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Fond reprodukcie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Oceňovacie rozdiely z precenenia kapitálových účastín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Fondy tvorené zo zisku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Rezervný fond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Fondy tvorené zo zisku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Ostatné fondy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Výsledok hospodárenia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Nevysporiadaný výsledok hospodárenia minulých rokov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Výsledok hospodárenia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19 147,25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-19 147,25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0" w:before="0" w:line="240" w:lineRule="auto"/>
              <w:jc w:val="righ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19 147,25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-19 147,25</w:t>
            </w:r>
          </w:p>
        </w:tc>
      </w:tr>
    </w:tbl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Opis a vyčíslenie jednotlivých druhov fondov tvorených podľa osobitných predpisov.</w:t>
      </w:r>
    </w:p>
    <w:tbl>
      <w:tblPr>
        <w:tblStyle w:val="Table12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6"/>
        <w:gridCol w:w="2365.0000000000005"/>
        <w:gridCol w:w="1463.9999999999998"/>
        <w:gridCol w:w="1857.9999999999995"/>
        <w:gridCol w:w="1922.9999999999995"/>
        <w:tblGridChange w:id="0">
          <w:tblGrid>
            <w:gridCol w:w="2546"/>
            <w:gridCol w:w="2365.0000000000005"/>
            <w:gridCol w:w="1463.9999999999998"/>
            <w:gridCol w:w="1857.9999999999995"/>
            <w:gridCol w:w="1922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Opis fondov tvorených podľa osobitných predpisov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Prírastky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Úbytky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195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Informácia o rozdelení účtovného zisku alebo o vysporiadaní účtovnej straty za bezprostredne predchádzajúce účtovné obdobie.</w:t>
      </w:r>
    </w:p>
    <w:tbl>
      <w:tblPr>
        <w:tblStyle w:val="Table13"/>
        <w:tblW w:w="988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44"/>
        <w:gridCol w:w="5245"/>
        <w:tblGridChange w:id="0">
          <w:tblGrid>
            <w:gridCol w:w="4644"/>
            <w:gridCol w:w="5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2"/>
                <w:szCs w:val="22"/>
                <w:rtl w:val="0"/>
              </w:rPr>
              <w:t xml:space="preserve">Účtovný zisk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2"/>
                <w:szCs w:val="22"/>
                <w:rtl w:val="0"/>
              </w:rPr>
              <w:t xml:space="preserve">Rozdelenie účtovného zisku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základného imania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f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ondov tvorených podľa osobitných predpisov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fondu reprodukcie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rezervného fondu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fondov tvorených zo zisku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Prídel do ostatných fondov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Úhrada straty minulých období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Prevod do sociálneho fondu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Prevod  do n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evysporiadaného výsledku hospodárenia minulých rokov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Iné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2"/>
                <w:szCs w:val="22"/>
                <w:rtl w:val="0"/>
              </w:rPr>
              <w:t xml:space="preserve">Účtovná strata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color w:val="000000"/>
                <w:sz w:val="22"/>
                <w:szCs w:val="22"/>
                <w:rtl w:val="0"/>
              </w:rPr>
              <w:t xml:space="preserve">Vysporiadanie účtovnej straty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Zo základného imania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Z rezervného fondu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Z fondov tvorených zo zisku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Z ostatných fondov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Z nerozdeleného zisku minulých rokov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Prevod do n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evysporiadaného výsledku hospodárenia minulých rokov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color w:val="000000"/>
                <w:sz w:val="22"/>
                <w:szCs w:val="22"/>
                <w:rtl w:val="0"/>
              </w:rPr>
              <w:t xml:space="preserve">Iné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Vznikla 25.08.2023.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C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Style w:val="Table14"/>
        <w:tblW w:w="10227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96"/>
        <w:gridCol w:w="1801"/>
        <w:gridCol w:w="1375.9999999999995"/>
        <w:gridCol w:w="1488.9999999999998"/>
        <w:gridCol w:w="1511.9999999999993"/>
        <w:gridCol w:w="1753.9999999999998"/>
        <w:tblGridChange w:id="0">
          <w:tblGrid>
            <w:gridCol w:w="2296"/>
            <w:gridCol w:w="1801"/>
            <w:gridCol w:w="1375.9999999999995"/>
            <w:gridCol w:w="1488.9999999999998"/>
            <w:gridCol w:w="1511.9999999999993"/>
            <w:gridCol w:w="1753.999999999999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rezervy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Tvorba rezerv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Použitie rezerv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Zrušenie rezerv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Zákonné rezervy 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Ostatné rezervy 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Rezervy 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1FA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FB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142" w:hanging="142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Údaje o významných sumách záväzkov v nadväznosti na položky súvahy, v členení na záväzky za hlavnú nezdaňovanú činnosť a zdaňovanú činnosť.</w:t>
      </w:r>
    </w:p>
    <w:tbl>
      <w:tblPr>
        <w:tblStyle w:val="Table15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3"/>
        <w:gridCol w:w="3119.0000000000005"/>
        <w:gridCol w:w="2544"/>
        <w:tblGridChange w:id="0">
          <w:tblGrid>
            <w:gridCol w:w="4493"/>
            <w:gridCol w:w="3119.0000000000005"/>
            <w:gridCol w:w="25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 opis významných položiek záväzkov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Hlavná nezdaňovaná činnosť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Zdaňovaná činnosť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F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321 – Dodávatelia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13 689,50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379 – Iné záväzky – prevzaté záväzky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18 720,00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379  - Iné záväzky – prijaté pôžičky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8 560,00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8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142" w:firstLine="0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záväzkov do uplynutia lehoty splatnosti a po uplynutí lehoty splatnosti.</w:t>
      </w:r>
    </w:p>
    <w:tbl>
      <w:tblPr>
        <w:tblStyle w:val="Table16"/>
        <w:tblW w:w="9914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22"/>
        <w:gridCol w:w="2748.999999999999"/>
        <w:gridCol w:w="3044"/>
        <w:tblGridChange w:id="0">
          <w:tblGrid>
            <w:gridCol w:w="4122"/>
            <w:gridCol w:w="2748.999999999999"/>
            <w:gridCol w:w="30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Záväzky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do uplynutia lehoty splatnosti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41 596,81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- po uplynutí lehoty splatnosti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41 596,81</w:t>
            </w:r>
          </w:p>
        </w:tc>
      </w:tr>
    </w:tbl>
    <w:p w:rsidR="00000000" w:rsidDel="00000000" w:rsidP="00000000" w:rsidRDefault="00000000" w:rsidRPr="00000000" w14:paraId="00000215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142" w:firstLine="0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o začiatočnom stave, tvorbe, čerpaní a konečnom zostatku sociálneho fondu v priebehu bežného účtovného obdobia. </w:t>
      </w:r>
    </w:p>
    <w:tbl>
      <w:tblPr>
        <w:tblStyle w:val="Table17"/>
        <w:tblW w:w="94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40"/>
        <w:gridCol w:w="3686"/>
        <w:tblGridChange w:id="0">
          <w:tblGrid>
            <w:gridCol w:w="5740"/>
            <w:gridCol w:w="368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Sociálny fond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Suma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k prvému dňu bežného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Tvorba na ťarchu nákladov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Tvorba zo zisku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Čerpanie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k poslednému dňu bežného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2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142" w:firstLine="0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o bankových úveroch, pôžičkách a návratných finančných výpomociach s uvedením meny. </w:t>
      </w:r>
    </w:p>
    <w:tbl>
      <w:tblPr>
        <w:tblStyle w:val="Table18"/>
        <w:tblW w:w="94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38"/>
        <w:gridCol w:w="850.9999999999997"/>
        <w:gridCol w:w="1133.9999999999998"/>
        <w:gridCol w:w="1275"/>
        <w:gridCol w:w="1842.9999999999995"/>
        <w:gridCol w:w="1985"/>
        <w:tblGridChange w:id="0">
          <w:tblGrid>
            <w:gridCol w:w="2338"/>
            <w:gridCol w:w="850.9999999999997"/>
            <w:gridCol w:w="1133.9999999999998"/>
            <w:gridCol w:w="1275"/>
            <w:gridCol w:w="1842.9999999999995"/>
            <w:gridCol w:w="1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cudzieho zdroja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Mena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Výška úroku v %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Splatnosť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Forma zabezpečenia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Suma istiny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Krátkodobý bankový úver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Pôžička (účet 379)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EUR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01.09.20204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8 560,00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Návratná finančná výpomoc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Dlhodobý bankový úver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8 560,00</w:t>
            </w:r>
          </w:p>
        </w:tc>
      </w:tr>
    </w:tbl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142" w:firstLine="0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Prehľad o významných položkách časového rozlíšenia </w:t>
      </w:r>
      <w:r w:rsidDel="00000000" w:rsidR="00000000" w:rsidRPr="00000000">
        <w:rPr>
          <w:smallCaps w:val="0"/>
          <w:sz w:val="22"/>
          <w:szCs w:val="22"/>
          <w:u w:val="single"/>
          <w:rtl w:val="0"/>
        </w:rPr>
        <w:t xml:space="preserve">výdavkov budúcich období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4C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ind w:left="142" w:firstLine="0"/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Prehľad </w:t>
      </w:r>
      <w:r w:rsidDel="00000000" w:rsidR="00000000" w:rsidRPr="00000000">
        <w:rPr>
          <w:smallCaps w:val="0"/>
          <w:sz w:val="22"/>
          <w:szCs w:val="22"/>
          <w:u w:val="single"/>
          <w:rtl w:val="0"/>
        </w:rPr>
        <w:t xml:space="preserve">výnosov budúcich období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 v členení podľa jednotlivých druhov a v členení na dlhodobé výnosy budúcich období a krátkodobé výnosy budúcich období.</w:t>
      </w:r>
    </w:p>
    <w:tbl>
      <w:tblPr>
        <w:tblStyle w:val="Table19"/>
        <w:tblW w:w="95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1"/>
        <w:gridCol w:w="2976.999999999999"/>
        <w:gridCol w:w="3117.9999999999995"/>
        <w:tblGridChange w:id="0">
          <w:tblGrid>
            <w:gridCol w:w="3431"/>
            <w:gridCol w:w="2976.999999999999"/>
            <w:gridCol w:w="3117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Položky výnosov budúcich období - dlhodobé z dôvodu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bezodplatne nadobudnutého dlhodobého majetku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dlhodobého majetku obstaraného z verejných zdrojov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dlhodobého majetku obstaraného z finančného daru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dlhodobého majetku obstaraného z podielu zaplatenej dane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dlhodobého majetku obstaraného zo sponzorského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nepoužitého sponzorského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iné – dotácia použitá v roku 2024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firstLine="0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5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1"/>
        <w:gridCol w:w="2976.999999999999"/>
        <w:gridCol w:w="3117.9999999999995"/>
        <w:tblGridChange w:id="0">
          <w:tblGrid>
            <w:gridCol w:w="3431"/>
            <w:gridCol w:w="2976.999999999999"/>
            <w:gridCol w:w="3117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Položky výnosov budúcich období - krátkodobé z dôvodu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dotácie zo štátneho rozpočtu a  z prostriedkov Európskej únie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500,00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dotácie z rozpočtu obce a z rozpočtu vyššieho územného celku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zostatku podielu zaplatenej dane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nepoužitého sponzorského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iné – členské príspevky na nasledujúce účtovné obdobie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Spolu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500,00</w:t>
            </w:r>
          </w:p>
        </w:tc>
      </w:tr>
    </w:tbl>
    <w:p w:rsidR="00000000" w:rsidDel="00000000" w:rsidP="00000000" w:rsidRDefault="00000000" w:rsidRPr="00000000" w14:paraId="00000286">
      <w:pPr>
        <w:keepNext w:val="1"/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142" w:hanging="142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Údaje o druhoch majetku a záväzkoch z lízingových zmlúv.</w:t>
      </w:r>
    </w:p>
    <w:tbl>
      <w:tblPr>
        <w:tblStyle w:val="Table21"/>
        <w:tblW w:w="1001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17"/>
        <w:gridCol w:w="3082"/>
        <w:gridCol w:w="2515"/>
        <w:tblGridChange w:id="0">
          <w:tblGrid>
            <w:gridCol w:w="4417"/>
            <w:gridCol w:w="3082"/>
            <w:gridCol w:w="25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majetku 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Hodnota záväzku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8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98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IV</w:t>
      </w:r>
    </w:p>
    <w:p w:rsidR="00000000" w:rsidDel="00000000" w:rsidP="00000000" w:rsidRDefault="00000000" w:rsidRPr="00000000" w14:paraId="00000299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Informácie, ktoré dopĺňajú a vysvetľujú údaje vo výkaze ziskov a strát</w:t>
      </w:r>
    </w:p>
    <w:p w:rsidR="00000000" w:rsidDel="00000000" w:rsidP="00000000" w:rsidRDefault="00000000" w:rsidRPr="00000000" w14:paraId="0000029A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ind w:left="284" w:hanging="284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Table22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35"/>
        <w:gridCol w:w="3119"/>
        <w:gridCol w:w="2401.999999999999"/>
        <w:tblGridChange w:id="0">
          <w:tblGrid>
            <w:gridCol w:w="4635"/>
            <w:gridCol w:w="3119"/>
            <w:gridCol w:w="2401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 opis tržieb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Hlavná nezdaňovaná činnosť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Zdaňovaná činnosť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9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A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A9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284" w:hanging="284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Table23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2470"/>
        <w:gridCol w:w="2766"/>
        <w:tblGridChange w:id="0">
          <w:tblGrid>
            <w:gridCol w:w="4920"/>
            <w:gridCol w:w="2470"/>
            <w:gridCol w:w="27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 opis významných súm výnosov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647 – Osobitné výnosy (štartovné, výchovné za hráča)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3 800,00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663 – Prijaté dary od FO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651,00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664 – Prijaté členské príspevky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55 222,50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9">
      <w:pPr>
        <w:keepNext w:val="1"/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284" w:hanging="284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Table24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2834"/>
        <w:gridCol w:w="2401.999999999999"/>
        <w:tblGridChange w:id="0">
          <w:tblGrid>
            <w:gridCol w:w="4920"/>
            <w:gridCol w:w="2834"/>
            <w:gridCol w:w="2401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 opis významných súm dotácií a grantov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SZĽH* – dotácia ZOŠ 15%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28 186,00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SZĽH* – fin.príspevok-spolufinancovanie miezd a odmien trénerov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0,00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5 000,00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*SZĽH = Slovenský zväz ľadového hokeja</w:t>
      </w:r>
    </w:p>
    <w:p w:rsidR="00000000" w:rsidDel="00000000" w:rsidP="00000000" w:rsidRDefault="00000000" w:rsidRPr="00000000" w14:paraId="000002C8">
      <w:pPr>
        <w:keepNext w:val="1"/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ind w:left="284" w:hanging="284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Style w:val="Table25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19"/>
        <w:gridCol w:w="2835"/>
        <w:gridCol w:w="2401.999999999999"/>
        <w:tblGridChange w:id="0">
          <w:tblGrid>
            <w:gridCol w:w="4919"/>
            <w:gridCol w:w="2835"/>
            <w:gridCol w:w="2401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 opis významných položiek charitatívnej reklamy a charitatívnej lotérie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D7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Table26"/>
        <w:tblW w:w="1015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44"/>
        <w:gridCol w:w="2410"/>
        <w:gridCol w:w="2401.999999999999"/>
        <w:tblGridChange w:id="0">
          <w:tblGrid>
            <w:gridCol w:w="5344"/>
            <w:gridCol w:w="2410"/>
            <w:gridCol w:w="2401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Druh a opis významných položiek nákladov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bezprostredne 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Stav na konci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501 – Športové potreby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1 402,94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518 – Služby trénerov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58 094,00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518 – Doprava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5 341,92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518 – Prenájom ľadovej plochy, posilňovne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1 466,00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518 – Ubytovanie, stravovanie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4 081,83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E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jc w:val="right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D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Style w:val="Table27"/>
        <w:tblW w:w="1027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69"/>
        <w:gridCol w:w="2239"/>
        <w:gridCol w:w="2267.9999999999995"/>
        <w:tblGridChange w:id="0">
          <w:tblGrid>
            <w:gridCol w:w="5769"/>
            <w:gridCol w:w="2239"/>
            <w:gridCol w:w="2267.9999999999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Účel použitia prijatého podielu zaplatenej dane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Použitá suma zostatku z predchádzajúceho účtovného obdobia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Použitá suma z bežného účtovného obdobia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Zostatok podielu zaplatenej dane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left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2FF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V</w:t>
      </w:r>
    </w:p>
    <w:p w:rsidR="00000000" w:rsidDel="00000000" w:rsidP="00000000" w:rsidRDefault="00000000" w:rsidRPr="00000000" w14:paraId="00000300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Opis údajov na podsúvahových účtoch</w:t>
      </w:r>
    </w:p>
    <w:p w:rsidR="00000000" w:rsidDel="00000000" w:rsidP="00000000" w:rsidRDefault="00000000" w:rsidRPr="00000000" w14:paraId="000003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Významné položky zásob prijatých na komisionálny predaj, prenajatého majetku, majetku prijatého do úschovy, odpísané pohľadávky a prípadné ďalšie položky.</w:t>
      </w:r>
    </w:p>
    <w:p w:rsidR="00000000" w:rsidDel="00000000" w:rsidP="00000000" w:rsidRDefault="00000000" w:rsidRPr="00000000" w14:paraId="000003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3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4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Čl. VI</w:t>
      </w:r>
    </w:p>
    <w:p w:rsidR="00000000" w:rsidDel="00000000" w:rsidP="00000000" w:rsidRDefault="00000000" w:rsidRPr="00000000" w14:paraId="00000305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jc w:val="center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Ďalšie informácie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00000" w:rsidDel="00000000" w:rsidP="00000000" w:rsidRDefault="00000000" w:rsidRPr="00000000" w14:paraId="000003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00000" w:rsidDel="00000000" w:rsidP="00000000" w:rsidRDefault="00000000" w:rsidRPr="00000000" w14:paraId="000003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povinnosť z devízových termínovaných obchodov a iných finančných derivátov,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povinnosť z opčných obchodov,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zákonná povinnosť alebo zmluvná povinnosť odobrať určité produkty alebo služby, napríklad z dodávateľských zmlúv alebo odberateľských zmlúv,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povinnosť z lízingových zmlúv, nájomných zmlúv, servisných zmlúv, poistných zmlúv, koncesionárskych zmlúv, licenčných zmlúv a podobných zmlúv,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iné povinnosti.</w:t>
      </w:r>
    </w:p>
    <w:p w:rsidR="00000000" w:rsidDel="00000000" w:rsidP="00000000" w:rsidRDefault="00000000" w:rsidRPr="00000000" w14:paraId="000003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3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(4) Prehľad nehnuteľných kultúrnych pamiatok, ktoré sú v správe alebo vo vlastníctve účtovnej jednotky, a to názov, adresa a číslo kultúrnej pamiatky v Ústrednom zozname pamiatkového fondu.</w:t>
      </w:r>
    </w:p>
    <w:p w:rsidR="00000000" w:rsidDel="00000000" w:rsidP="00000000" w:rsidRDefault="00000000" w:rsidRPr="00000000" w14:paraId="000003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p w:rsidR="00000000" w:rsidDel="00000000" w:rsidP="00000000" w:rsidRDefault="00000000" w:rsidRPr="00000000" w14:paraId="000003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(5) Informácie o významných skutočnostiach, ktoré nastali medzi dňom, ku ktorému sa zostavuje účtovná závierka a dňom jej zostavenia.</w:t>
      </w:r>
    </w:p>
    <w:p w:rsidR="00000000" w:rsidDel="00000000" w:rsidP="00000000" w:rsidRDefault="00000000" w:rsidRPr="00000000" w14:paraId="000003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smallCaps w:val="0"/>
          <w:sz w:val="22"/>
          <w:szCs w:val="22"/>
        </w:rPr>
      </w:pPr>
      <w:r w:rsidDel="00000000" w:rsidR="00000000" w:rsidRPr="00000000">
        <w:rPr>
          <w:b w:val="1"/>
          <w:smallCaps w:val="0"/>
          <w:sz w:val="22"/>
          <w:szCs w:val="22"/>
          <w:rtl w:val="0"/>
        </w:rPr>
        <w:t xml:space="preserve">ÚJ nemá obsahovú náplň pre tento bod.</w:t>
      </w:r>
    </w:p>
    <w:sectPr>
      <w:footerReference r:id="rId7" w:type="default"/>
      <w:pgSz w:h="16838" w:w="11906" w:orient="portrait"/>
      <w:pgMar w:bottom="851" w:top="851" w:left="993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360" w:lineRule="auto"/>
      <w:ind w:left="0" w:right="0" w:firstLine="0"/>
      <w:jc w:val="righ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102"/>
        <w:tab w:val="right" w:leader="none" w:pos="10204"/>
      </w:tabs>
      <w:spacing w:after="120" w:before="120" w:line="360" w:lineRule="auto"/>
      <w:ind w:left="0" w:right="36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720"/>
      </w:pPr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(%1)"/>
      <w:lvlJc w:val="left"/>
      <w:pPr>
        <w:ind w:left="2629" w:hanging="2629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(%1)"/>
      <w:lvlJc w:val="left"/>
      <w:pPr>
        <w:ind w:left="720" w:hanging="720"/>
      </w:pPr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</w:rPr>
    </w:rPrDefault>
    <w:pPrDefault>
      <w:pPr>
        <w:spacing w:after="120" w:before="12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</w:pPr>
    <w:rPr>
      <w:b w:val="1"/>
      <w:smallCaps w:val="0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Xil6ctCzwlIckU4vJuMe3KBcQ==">CgMxLjA4AXIhMURjUFdyU3J0SnpKa1RnYlRSbGpoaGpsZ3dsRHpPak1M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