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header1.xml" ContentType="application/vnd.openxmlformats-officedocument.wordprocessingml.header+xml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lotextu"/>
        <w:ind w:lef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adpis2"/>
        <w:numPr>
          <w:ilvl w:val="0"/>
          <w:numId w:val="5"/>
        </w:numPr>
        <w:jc w:val="center"/>
        <w:rPr>
          <w:sz w:val="20"/>
        </w:rPr>
      </w:pPr>
      <w:r>
        <w:rPr>
          <w:sz w:val="20"/>
        </w:rPr>
        <w:t>VŠEOBECNÉ ÚDAJE</w:t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Názov spoločnosti a jej sídlo</w:t>
      </w:r>
    </w:p>
    <w:p>
      <w:pPr>
        <w:pStyle w:val="Telotextu"/>
        <w:rPr>
          <w:sz w:val="20"/>
        </w:rPr>
      </w:pPr>
      <w:r>
        <w:rPr>
          <w:sz w:val="20"/>
        </w:rPr>
        <w:t xml:space="preserve">Spoločnosť </w:t>
      </w:r>
      <w:r>
        <w:rPr>
          <w:sz w:val="20"/>
        </w:rPr>
        <w:t>Andra</w:t>
      </w:r>
      <w:r>
        <w:rPr>
          <w:b/>
          <w:sz w:val="20"/>
        </w:rPr>
        <w:t>, s.r.o</w:t>
      </w:r>
      <w:r>
        <w:rPr>
          <w:sz w:val="20"/>
        </w:rPr>
        <w:t>. so sídlom 9</w:t>
      </w:r>
      <w:r>
        <w:rPr>
          <w:sz w:val="20"/>
        </w:rPr>
        <w:t>29</w:t>
      </w:r>
      <w:r>
        <w:rPr>
          <w:sz w:val="20"/>
        </w:rPr>
        <w:t xml:space="preserve"> 0</w:t>
      </w:r>
      <w:r>
        <w:rPr>
          <w:sz w:val="20"/>
        </w:rPr>
        <w:t>1</w:t>
      </w:r>
      <w:r>
        <w:rPr>
          <w:sz w:val="20"/>
        </w:rPr>
        <w:t xml:space="preserve"> </w:t>
      </w:r>
      <w:r>
        <w:rPr>
          <w:sz w:val="20"/>
        </w:rPr>
        <w:t>Dunajská Streda,Rényská 5310/50</w:t>
      </w:r>
      <w:r>
        <w:rPr>
          <w:sz w:val="20"/>
        </w:rPr>
        <w:t xml:space="preserve">  (ďalej len Spoločnosť), bola založená 0</w:t>
      </w:r>
      <w:r>
        <w:rPr>
          <w:sz w:val="20"/>
        </w:rPr>
        <w:t>3</w:t>
      </w:r>
      <w:r>
        <w:rPr>
          <w:sz w:val="20"/>
        </w:rPr>
        <w:t>.</w:t>
      </w:r>
      <w:r>
        <w:rPr>
          <w:sz w:val="20"/>
        </w:rPr>
        <w:t>02</w:t>
      </w:r>
      <w:r>
        <w:rPr>
          <w:sz w:val="20"/>
        </w:rPr>
        <w:t xml:space="preserve"> 2010 a do obchodného registra bola zapísaná 0</w:t>
      </w:r>
      <w:r>
        <w:rPr>
          <w:sz w:val="20"/>
        </w:rPr>
        <w:t>3</w:t>
      </w:r>
      <w:r>
        <w:rPr>
          <w:sz w:val="20"/>
        </w:rPr>
        <w:t>.</w:t>
      </w:r>
      <w:r>
        <w:rPr>
          <w:sz w:val="20"/>
        </w:rPr>
        <w:t>02</w:t>
      </w:r>
      <w:r>
        <w:rPr>
          <w:sz w:val="20"/>
        </w:rPr>
        <w:t xml:space="preserve"> 2010 (Obchodný register Okresného súdu Trnava, oddiel Sro, vložka 25822/T).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 xml:space="preserve">Počet zamestnancov </w:t>
      </w:r>
    </w:p>
    <w:p>
      <w:pPr>
        <w:pStyle w:val="Telotextu"/>
        <w:rPr>
          <w:sz w:val="20"/>
        </w:rPr>
      </w:pPr>
      <w:r>
        <w:rPr>
          <w:sz w:val="20"/>
        </w:rPr>
        <w:t>Údaje o počte zamestnancov za bežné účtovné obdobie a bezprostredne predchádzajúce účtovné obdobie sú uvedené v nasledujúcom prehľade:</w:t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0" w:name="_MON_1394259430"/>
      <w:bookmarkStart w:id="1" w:name="_MON_1394091878"/>
      <w:bookmarkStart w:id="2" w:name="_MON_1393343926"/>
      <w:bookmarkStart w:id="3" w:name="_MON_1391855653"/>
      <w:bookmarkStart w:id="4" w:name="_MON_1394259430"/>
      <w:bookmarkStart w:id="5" w:name="_MON_1394091878"/>
      <w:bookmarkStart w:id="6" w:name="_MON_1393343926"/>
      <w:bookmarkStart w:id="7" w:name="_MON_1391855653"/>
      <w:bookmarkEnd w:id="4"/>
      <w:bookmarkEnd w:id="5"/>
      <w:bookmarkEnd w:id="6"/>
      <w:bookmarkEnd w:id="7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bookmarkStart w:id="8" w:name="_MON_13942594301"/>
      <w:bookmarkStart w:id="9" w:name="_MON_13940918781"/>
      <w:bookmarkStart w:id="10" w:name="_MON_13933439261"/>
      <w:bookmarkStart w:id="11" w:name="_MON_13918556531"/>
      <w:bookmarkEnd w:id="8"/>
      <w:bookmarkEnd w:id="9"/>
      <w:bookmarkEnd w:id="10"/>
      <w:bookmarkEnd w:id="11"/>
      <w:r>
        <w:rPr/>
        <w:object w:dxaOrig="8960" w:dyaOrig="1536"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44.25pt;height:78pt;mso-wrap-distance-right:0pt" filled="f" o:ole="">
            <v:imagedata r:id="rId3" o:title=""/>
          </v:shape>
          <o:OLEObject Type="Embed" ProgID="Excel.Sheet.12" ShapeID="ole_rId2" DrawAspect="Content" ObjectID="_1153485509" r:id="rId2"/>
        </w:object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Údaje o neobmedzenom ručení</w:t>
      </w:r>
    </w:p>
    <w:p>
      <w:pPr>
        <w:pStyle w:val="Normal"/>
        <w:ind w:left="450" w:hanging="0"/>
        <w:jc w:val="both"/>
        <w:rPr/>
      </w:pPr>
      <w:r>
        <w:rPr/>
        <w:t>Spoločnosť nie je neobmedzene ručiacim spoločníkom v iných spoločnostiach podľa § 56 ods. 5 Obchodného zákonníka.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Právny dôvod na zostavenie účtovnej závierky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ab/>
        <w:t>Účtovná závierka Spoločnosti k 31. decembru 2023 je zostavená ako riadna účtovná závierka podľa § 17 ods. 6 zákona NR SR č. 431/2002 Z. z. o účtovníctve za účtovné obdobie od 1. januára 2023 do 31. decembra 2023.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Dátum schválenia účtovnej závierky za predchádzajúce účtovné obdobie</w:t>
      </w:r>
    </w:p>
    <w:p>
      <w:pPr>
        <w:pStyle w:val="Telotextu"/>
        <w:ind w:left="0" w:hanging="0"/>
        <w:rPr/>
      </w:pPr>
      <w:r>
        <w:rPr/>
        <w:tab/>
        <w:t>Účtovná závierka Spoločnosti k 31. decembru 2022, za predchádzajúce účtovné obdobie, bola schválená valným zhromaždením Spoločnosti dňa  2023.</w:t>
      </w:r>
    </w:p>
    <w:p>
      <w:pPr>
        <w:pStyle w:val="Telotextu"/>
        <w:ind w:left="0" w:hanging="0"/>
        <w:rPr/>
      </w:pPr>
      <w:r>
        <w:rPr/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Zverejnenie účtovnej závierky za predchádzajúce účtovné obdobie</w:t>
      </w:r>
    </w:p>
    <w:p>
      <w:pPr>
        <w:pStyle w:val="Telotextu"/>
        <w:rPr/>
      </w:pPr>
      <w:r>
        <w:rPr/>
        <w:t>Účtovná závierka Spoločnosti k 31. decembru 2022 bola zverejnená uložením do registra účtovných závierok.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  <w:t>Informácie o konsolidovanom celku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 xml:space="preserve">Spoločnosť sa nezahŕňa do konsolidovanej účtovnej závierky.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</w:r>
      <w:bookmarkStart w:id="12" w:name="_Toc530739899"/>
      <w:bookmarkStart w:id="13" w:name="_Toc530739899"/>
    </w:p>
    <w:p>
      <w:pPr>
        <w:pStyle w:val="Nadpis1"/>
        <w:numPr>
          <w:ilvl w:val="0"/>
          <w:numId w:val="5"/>
        </w:numPr>
        <w:spacing w:before="120" w:after="60"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Informácie o PRIJATÝCH POSTUPOCH</w:t>
      </w:r>
      <w:bookmarkEnd w:id="1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Východiská pre zostavenie účtovnej závierky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>Účtovná závierka bola zostavená za predpokladu nepretržitého trvania Spoločnosti (going concern).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 xml:space="preserve">Účtovné metódy a všeobecné účtovné zásady boli účtovnou jednotkou konzistentne aplikované. 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Dlhodobý nehmotný majetok a dlhodobý hmotný majetok</w:t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nehmotného majetku nie sú od 1. júla 2010 úroky z cudzích zdrojov, ktoré vznikli do momentu zaradenia dlhodobého nehmotného majetku do 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  <w:t xml:space="preserve"> </w:t>
      </w:r>
    </w:p>
    <w:p>
      <w:pPr>
        <w:pStyle w:val="Telotextu"/>
        <w:rPr>
          <w:sz w:val="20"/>
        </w:rPr>
      </w:pPr>
      <w:r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>
      <w:pPr>
        <w:pStyle w:val="Telotextu"/>
        <w:rPr>
          <w:sz w:val="20"/>
        </w:rPr>
      </w:pPr>
      <w:r>
        <w:rPr>
          <w:sz w:val="20"/>
        </w:rPr>
      </w:r>
    </w:p>
    <w:tbl>
      <w:tblPr>
        <w:tblW w:w="8977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4"/>
        <w:gridCol w:w="428"/>
        <w:gridCol w:w="1558"/>
        <w:gridCol w:w="223"/>
        <w:gridCol w:w="1842"/>
        <w:gridCol w:w="223"/>
        <w:gridCol w:w="1728"/>
      </w:tblGrid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4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</w:t>
              <w:br/>
              <w:t>v rokoch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Aktivované náklady na vývoj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Oceniteľné práva (licencia)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Drobný dlhodobý nehmotný majetok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20-40</w:t>
            </w:r>
          </w:p>
        </w:tc>
        <w:tc>
          <w:tcPr>
            <w:tcW w:w="14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2,5-5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12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8,3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degresívna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Cenné papiere a podiely</w:t>
      </w:r>
    </w:p>
    <w:p>
      <w:pPr>
        <w:pStyle w:val="Telotextu"/>
        <w:rPr>
          <w:sz w:val="20"/>
        </w:rPr>
      </w:pPr>
      <w:r>
        <w:rPr>
          <w:sz w:val="20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 xml:space="preserve">Zásoby </w:t>
      </w:r>
    </w:p>
    <w:p>
      <w:pPr>
        <w:pStyle w:val="Telotextu"/>
        <w:rPr>
          <w:sz w:val="20"/>
        </w:rPr>
      </w:pPr>
      <w:r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>
      <w:pPr>
        <w:pStyle w:val="Telotextu"/>
        <w:rPr>
          <w:sz w:val="20"/>
        </w:rPr>
      </w:pPr>
      <w:r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Zníženie hodnoty zásob sa upravuje vytvorením opravnej položky.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Pohľadávky</w:t>
      </w:r>
    </w:p>
    <w:p>
      <w:pPr>
        <w:pStyle w:val="Telotextu"/>
        <w:rPr>
          <w:sz w:val="20"/>
        </w:rPr>
      </w:pPr>
      <w:r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Peňažné prostriedky a ceniny</w:t>
      </w:r>
    </w:p>
    <w:p>
      <w:pPr>
        <w:pStyle w:val="Telotextu"/>
        <w:rPr>
          <w:sz w:val="20"/>
        </w:rPr>
      </w:pPr>
      <w:r>
        <w:rPr>
          <w:sz w:val="20"/>
        </w:rPr>
        <w:t>Peňažné prostriedky a ceniny sa oceňujú ich menovitou hodnotou. Zníženie ich hodnoty sa vyjadruje opravnou položkou.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Náklady budúcich období a príjmy budúcich období</w:t>
      </w:r>
    </w:p>
    <w:p>
      <w:pPr>
        <w:pStyle w:val="Telotextu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Rezervy</w:t>
      </w:r>
    </w:p>
    <w:p>
      <w:pPr>
        <w:pStyle w:val="Telotextu"/>
        <w:rPr>
          <w:sz w:val="20"/>
        </w:rPr>
      </w:pPr>
      <w:r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Záväzky</w:t>
      </w:r>
    </w:p>
    <w:p>
      <w:pPr>
        <w:pStyle w:val="Telotextu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Odložené dane</w:t>
      </w:r>
    </w:p>
    <w:p>
      <w:pPr>
        <w:pStyle w:val="Telotextu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umorovať daňovú stratu v budúcnosti, ktorou sa rozumie možnosť odpočítať daňovú stratu od základu dane v budúcnosti,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previesť nevyužité daňové odpočty a iné daňové nároky do budúcich období.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Výdavky budúcich období a výnosy budúcich období</w:t>
      </w:r>
    </w:p>
    <w:p>
      <w:pPr>
        <w:pStyle w:val="Telotextu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Cudzia mena</w:t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sa ku dňu, ku ktorému sa zostavuje účtovná závierka, na menu euro už neprepočítavajú.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Výnosy</w:t>
      </w:r>
    </w:p>
    <w:p>
      <w:pPr>
        <w:pStyle w:val="Telotextu"/>
        <w:rPr>
          <w:sz w:val="20"/>
        </w:rPr>
      </w:pPr>
      <w:r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14" w:name="_Toc530739900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ind w:left="426" w:hanging="426"/>
        <w:rPr>
          <w:b w:val="false"/>
          <w:b w:val="false"/>
          <w:sz w:val="20"/>
        </w:rPr>
      </w:pPr>
      <w:r>
        <w:rPr>
          <w:sz w:val="20"/>
        </w:rPr>
        <w:t>Opravy významných chýb minulých období</w:t>
      </w:r>
      <w:bookmarkEnd w:id="14"/>
    </w:p>
    <w:p>
      <w:pPr>
        <w:pStyle w:val="Pismenka"/>
        <w:numPr>
          <w:ilvl w:val="0"/>
          <w:numId w:val="0"/>
        </w:numPr>
        <w:ind w:left="360" w:hanging="360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numPr>
          <w:ilvl w:val="0"/>
          <w:numId w:val="5"/>
        </w:numPr>
        <w:jc w:val="center"/>
        <w:rPr>
          <w:b/>
          <w:b/>
          <w:sz w:val="20"/>
        </w:rPr>
      </w:pPr>
      <w:r>
        <w:rPr>
          <w:b/>
          <w:sz w:val="20"/>
        </w:rPr>
        <w:t>INFORMÁCIE, KTORÉ VYSVETĽUJÚ A DOPĽŇAJÚ SÚVAHU A VÝKAZ ZISKOV A STRÁT</w:t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Pre túto časť Poznámok účtovná jednotka nemá náplň.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15" w:name="_MON_1396423556"/>
      <w:bookmarkStart w:id="16" w:name="_MON_1394182987"/>
      <w:bookmarkStart w:id="17" w:name="_MON_1392367054"/>
      <w:bookmarkStart w:id="18" w:name="_MON_1392366934"/>
      <w:bookmarkStart w:id="19" w:name="_MON_1393348817"/>
      <w:bookmarkStart w:id="20" w:name="_MON_1394182391"/>
      <w:bookmarkStart w:id="21" w:name="_MON_1393345959"/>
      <w:bookmarkStart w:id="22" w:name="_MON_1393346048"/>
      <w:bookmarkStart w:id="23" w:name="_MON_1395817569"/>
      <w:bookmarkStart w:id="24" w:name="_MON_1396423556"/>
      <w:bookmarkStart w:id="25" w:name="_MON_1394182987"/>
      <w:bookmarkStart w:id="26" w:name="_MON_1392367054"/>
      <w:bookmarkStart w:id="27" w:name="_MON_1392366934"/>
      <w:bookmarkStart w:id="28" w:name="_MON_1393348817"/>
      <w:bookmarkStart w:id="29" w:name="_MON_1394182391"/>
      <w:bookmarkStart w:id="30" w:name="_MON_1393345959"/>
      <w:bookmarkStart w:id="31" w:name="_MON_1393346048"/>
      <w:bookmarkStart w:id="32" w:name="_MON_1395817569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>
      <w:pPr>
        <w:pStyle w:val="Nadpis1"/>
        <w:numPr>
          <w:ilvl w:val="0"/>
          <w:numId w:val="0"/>
        </w:numPr>
        <w:spacing w:before="120" w:after="60"/>
        <w:ind w:left="426" w:hanging="0"/>
        <w:rPr>
          <w:sz w:val="20"/>
        </w:rPr>
      </w:pPr>
      <w:bookmarkStart w:id="33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3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b/>
          <w:b/>
          <w:caps/>
          <w:sz w:val="20"/>
        </w:rPr>
      </w:pPr>
      <w:r>
        <w:rPr>
          <w:sz w:val="20"/>
        </w:rPr>
        <w:t>Po 31. decembri 2023 nenastali udalosti majúce významný vplyv na verné zobrazenie skutočností, ktoré sú predmetom účtovníctva.</w:t>
      </w:r>
      <w:bookmarkStart w:id="34" w:name="_Toc530739907"/>
      <w:bookmarkEnd w:id="34"/>
    </w:p>
    <w:sectPr>
      <w:headerReference w:type="default" r:id="rId4"/>
      <w:type w:val="nextPage"/>
      <w:pgSz w:w="11906" w:h="16838"/>
      <w:pgMar w:left="851" w:right="1021" w:gutter="0" w:header="675" w:top="197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1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9"/>
      <w:gridCol w:w="712"/>
      <w:gridCol w:w="346"/>
      <w:gridCol w:w="351"/>
      <w:gridCol w:w="345"/>
      <w:gridCol w:w="342"/>
      <w:gridCol w:w="351"/>
      <w:gridCol w:w="345"/>
      <w:gridCol w:w="347"/>
      <w:gridCol w:w="345"/>
      <w:gridCol w:w="686"/>
      <w:gridCol w:w="339"/>
      <w:gridCol w:w="348"/>
      <w:gridCol w:w="345"/>
      <w:gridCol w:w="341"/>
      <w:gridCol w:w="347"/>
      <w:gridCol w:w="344"/>
      <w:gridCol w:w="345"/>
      <w:gridCol w:w="343"/>
      <w:gridCol w:w="343"/>
      <w:gridCol w:w="334"/>
    </w:tblGrid>
    <w:tr>
      <w:trPr>
        <w:trHeight w:val="330" w:hRule="atLeast"/>
      </w:trPr>
      <w:tc>
        <w:tcPr>
          <w:tcW w:w="2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12" w:type="dxa"/>
          <w:tcBorders>
            <w:left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6" w:type="dxa"/>
          <w:tcBorders>
            <w:lef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3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>
    <w:pPr>
      <w:pStyle w:val="Zhlavie"/>
      <w:tabs>
        <w:tab w:val="clear" w:pos="4536"/>
        <w:tab w:val="clear" w:pos="9072"/>
        <w:tab w:val="center" w:pos="3969" w:leader="none"/>
        <w:tab w:val="right" w:pos="9214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51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qFormat/>
    <w:rsid w:val="00e95128"/>
    <w:pPr>
      <w:keepNext w:val="true"/>
      <w:numPr>
        <w:ilvl w:val="0"/>
        <w:numId w:val="1"/>
      </w:numPr>
      <w:tabs>
        <w:tab w:val="clear" w:pos="708"/>
        <w:tab w:val="left" w:pos="450" w:leader="none"/>
      </w:tabs>
      <w:ind w:left="450" w:hanging="0"/>
      <w:outlineLvl w:val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qFormat/>
    <w:rsid w:val="00e95128"/>
    <w:pPr>
      <w:keepNext w:val="true"/>
      <w:numPr>
        <w:ilvl w:val="0"/>
        <w:numId w:val="4"/>
      </w:numPr>
      <w:outlineLvl w:val="1"/>
    </w:pPr>
    <w:rPr>
      <w:b/>
      <w:sz w:val="18"/>
    </w:rPr>
  </w:style>
  <w:style w:type="paragraph" w:styleId="Nadpis6">
    <w:name w:val="Heading 6"/>
    <w:basedOn w:val="Normal"/>
    <w:next w:val="Normal"/>
    <w:link w:val="Nadpis6Char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3e0fa2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semiHidden/>
    <w:qFormat/>
    <w:rsid w:val="00e95128"/>
    <w:rPr/>
  </w:style>
  <w:style w:type="character" w:styleId="PtaChar" w:customStyle="1">
    <w:name w:val="Päta Char"/>
    <w:basedOn w:val="DefaultParagraphFont"/>
    <w:qFormat/>
    <w:rsid w:val="00e95128"/>
    <w:rPr/>
  </w:style>
  <w:style w:type="character" w:styleId="Pagenumber">
    <w:name w:val="page number"/>
    <w:basedOn w:val="DefaultParagraphFont"/>
    <w:qFormat/>
    <w:rsid w:val="00e95128"/>
    <w:rPr>
      <w:rFonts w:cs="Times New Roman"/>
    </w:rPr>
  </w:style>
  <w:style w:type="character" w:styleId="Nadpis1Char" w:customStyle="1">
    <w:name w:val="Nadpis 1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Nadpis2Char" w:customStyle="1">
    <w:name w:val="Nadpis 2 Char"/>
    <w:basedOn w:val="DefaultParagraphFont"/>
    <w:qFormat/>
    <w:rsid w:val="00e95128"/>
    <w:rPr>
      <w:rFonts w:ascii="Times New Roman" w:hAnsi="Times New Roman" w:eastAsia="Times New Roman" w:cs="Times New Roman"/>
      <w:b/>
      <w:sz w:val="18"/>
      <w:szCs w:val="20"/>
    </w:rPr>
  </w:style>
  <w:style w:type="character" w:styleId="Nadpis6Char" w:customStyle="1">
    <w:name w:val="Nadpis 6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ZkladntextChar" w:customStyle="1">
    <w:name w:val="Základný text Char"/>
    <w:basedOn w:val="DefaultParagraphFont"/>
    <w:qFormat/>
    <w:rsid w:val="00e95128"/>
    <w:rPr>
      <w:rFonts w:ascii="Times New Roman" w:hAnsi="Times New Roman" w:eastAsia="Times New Roman" w:cs="Times New Roman"/>
      <w:sz w:val="18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basedOn w:val="DefaultParagraphFont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basedOn w:val="DefaultParagraphFont"/>
    <w:link w:val="Zif"/>
    <w:qFormat/>
    <w:locked/>
    <w:rsid w:val="00e95128"/>
    <w:rPr>
      <w:rFonts w:ascii="Times" w:hAnsi="Times" w:eastAsia="Times New Roman" w:cs="Times New Roman"/>
      <w:sz w:val="20"/>
      <w:szCs w:val="20"/>
      <w:lang w:val="en-US"/>
    </w:rPr>
  </w:style>
  <w:style w:type="character" w:styleId="Nadpis9Char" w:customStyle="1">
    <w:name w:val="Nadpis 9 Char"/>
    <w:basedOn w:val="DefaultParagraphFont"/>
    <w:semiHidden/>
    <w:qFormat/>
    <w:rsid w:val="003e0fa2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4b69e1"/>
    <w:rPr>
      <w:rFonts w:ascii="Tahoma" w:hAnsi="Tahoma" w:eastAsia="Times New Roman" w:cs="Tahoma"/>
      <w:sz w:val="16"/>
      <w:szCs w:val="16"/>
    </w:rPr>
  </w:style>
  <w:style w:type="character" w:styleId="NzovChar" w:customStyle="1">
    <w:name w:val="Názov Char"/>
    <w:basedOn w:val="DefaultParagraphFont"/>
    <w:uiPriority w:val="99"/>
    <w:qFormat/>
    <w:rsid w:val="00c6200c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Ra" w:customStyle="1">
    <w:name w:val="ra"/>
    <w:basedOn w:val="DefaultParagraphFont"/>
    <w:qFormat/>
    <w:rsid w:val="00437793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qFormat/>
    <w:rsid w:val="00160aaa"/>
    <w:pPr>
      <w:numPr>
        <w:ilvl w:val="0"/>
        <w:numId w:val="2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b69e1"/>
    <w:pPr/>
    <w:rPr>
      <w:rFonts w:ascii="Tahoma" w:hAnsi="Tahoma" w:cs="Tahoma"/>
      <w:sz w:val="16"/>
      <w:szCs w:val="16"/>
    </w:rPr>
  </w:style>
  <w:style w:type="paragraph" w:styleId="Nzov">
    <w:name w:val="Title"/>
    <w:basedOn w:val="Normal"/>
    <w:next w:val="Normal"/>
    <w:link w:val="NzovChar"/>
    <w:uiPriority w:val="99"/>
    <w:qFormat/>
    <w:rsid w:val="00c6200c"/>
    <w:pPr>
      <w:keepNext w:val="true"/>
      <w:spacing w:beforeAutospacing="1" w:after="220"/>
      <w:jc w:val="center"/>
      <w:outlineLvl w:val="0"/>
    </w:pPr>
    <w:rPr>
      <w:rFonts w:ascii="Arial Narrow" w:hAnsi="Arial Narrow"/>
      <w:b/>
      <w:bCs/>
      <w:kern w:val="2"/>
      <w:sz w:val="22"/>
      <w:szCs w:val="32"/>
    </w:rPr>
  </w:style>
  <w:style w:type="paragraph" w:styleId="TopHeader" w:customStyle="1">
    <w:name w:val="Top Header"/>
    <w:basedOn w:val="Normal"/>
    <w:qFormat/>
    <w:rsid w:val="00c6200c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9856-704D-4D87-A06D-12E8FFDB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LibreOffice/7.3.5.2$Windows_X86_64 LibreOffice_project/184fe81b8c8c30d8b5082578aee2fed2ea847c01</Application>
  <AppVersion>15.0000</AppVersion>
  <Pages>4</Pages>
  <Words>1429</Words>
  <Characters>8454</Characters>
  <CharactersWithSpaces>9757</CharactersWithSpaces>
  <Paragraphs>133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2020-02-27T08:18:00Z</dcterms:created>
  <dc:creator>lstankovits</dc:creator>
  <dc:description/>
  <dc:language>sk-SK</dc:language>
  <cp:lastModifiedBy/>
  <cp:lastPrinted>2024-06-07T13:23:46Z</cp:lastPrinted>
  <dcterms:modified xsi:type="dcterms:W3CDTF">2024-06-07T13:23:54Z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