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F66CD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FB37C2">
        <w:rPr>
          <w:sz w:val="24"/>
          <w:szCs w:val="24"/>
        </w:rPr>
        <w:t xml:space="preserve"> ocenený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FB37C2">
        <w:rPr>
          <w:sz w:val="24"/>
          <w:szCs w:val="24"/>
          <w:u w:val="single"/>
        </w:rPr>
        <w:t>rovnomerný, v roku 2021 daňové odpisy neuplatnené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9F66CD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6B35"/>
  <w15:docId w15:val="{5066A444-CDC5-4533-B46D-56749781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6007-2974-4210-82AF-FB3D6FC4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2024-05-01T09:26:00Z</dcterms:created>
  <dcterms:modified xsi:type="dcterms:W3CDTF">2024-05-01T09:26:00Z</dcterms:modified>
</cp:coreProperties>
</file>