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5B0" w:rsidRDefault="001076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spacing w:after="120"/>
        <w:jc w:val="center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POZNÁMKY K ÚČTOVNEJ ÁVIERKE 20</w:t>
      </w:r>
      <w:r w:rsidR="009005CD">
        <w:rPr>
          <w:rFonts w:ascii="Arial Narrow" w:eastAsia="Arial Narrow" w:hAnsi="Arial Narrow" w:cs="Arial Narrow"/>
          <w:b/>
          <w:color w:val="000000"/>
          <w:sz w:val="24"/>
          <w:szCs w:val="24"/>
        </w:rPr>
        <w:t>2</w:t>
      </w:r>
      <w:r w:rsidR="00906696">
        <w:rPr>
          <w:rFonts w:ascii="Arial Narrow" w:eastAsia="Arial Narrow" w:hAnsi="Arial Narrow" w:cs="Arial Narrow"/>
          <w:b/>
          <w:color w:val="000000"/>
          <w:sz w:val="24"/>
          <w:szCs w:val="24"/>
        </w:rPr>
        <w:t>3</w:t>
      </w:r>
    </w:p>
    <w:p w:rsidR="00D015B0" w:rsidRDefault="001076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zostavené podľa Opatrenia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č.MF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D015B0" w:rsidRDefault="001076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pre malé účtovné jednotky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:rsidR="00D015B0" w:rsidRDefault="001076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v znení Opatrenia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č.MF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/19927/2015-74 (FS č.12/2015) a opatrenia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č.MF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/14774/2017-74 (FS č.16/2017)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Článok I – VŠEOBECNÉ INFORMÁCIE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Základné informácie o účtovnej jednotke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2"/>
          <w:szCs w:val="22"/>
        </w:rPr>
      </w:pPr>
    </w:p>
    <w:tbl>
      <w:tblPr>
        <w:tblStyle w:val="a"/>
        <w:tblW w:w="96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36"/>
        <w:gridCol w:w="6969"/>
      </w:tblGrid>
      <w:tr w:rsidR="00D015B0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Obchodné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meno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  <w:r w:rsidR="00774B5A">
              <w:rPr>
                <w:rFonts w:ascii="Arial Narrow" w:eastAsia="Arial Narrow" w:hAnsi="Arial Narrow" w:cs="Arial Narrow"/>
                <w:b/>
                <w:color w:val="000000"/>
              </w:rPr>
              <w:t xml:space="preserve">AGRITECH SLOVAKIA, </w:t>
            </w:r>
            <w:proofErr w:type="spellStart"/>
            <w:r w:rsidR="00774B5A">
              <w:rPr>
                <w:rFonts w:ascii="Arial Narrow" w:eastAsia="Arial Narrow" w:hAnsi="Arial Narrow" w:cs="Arial Narrow"/>
                <w:b/>
                <w:color w:val="000000"/>
              </w:rPr>
              <w:t>spol</w:t>
            </w:r>
            <w:proofErr w:type="spellEnd"/>
            <w:r w:rsidR="00774B5A">
              <w:rPr>
                <w:rFonts w:ascii="Arial Narrow" w:eastAsia="Arial Narrow" w:hAnsi="Arial Narrow" w:cs="Arial Narrow"/>
                <w:b/>
                <w:color w:val="000000"/>
              </w:rPr>
              <w:t xml:space="preserve">.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774B5A">
              <w:rPr>
                <w:rFonts w:ascii="Arial Narrow" w:eastAsia="Arial Narrow" w:hAnsi="Arial Narrow" w:cs="Arial Narrow"/>
                <w:b/>
                <w:color w:val="000000"/>
              </w:rPr>
              <w:t xml:space="preserve">s </w:t>
            </w:r>
            <w:proofErr w:type="spellStart"/>
            <w:r w:rsidR="00774B5A">
              <w:rPr>
                <w:rFonts w:ascii="Arial Narrow" w:eastAsia="Arial Narrow" w:hAnsi="Arial Narrow" w:cs="Arial Narrow"/>
                <w:b/>
                <w:color w:val="000000"/>
              </w:rPr>
              <w:t>r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.o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>.</w:t>
            </w:r>
          </w:p>
        </w:tc>
      </w:tr>
      <w:tr w:rsidR="00D015B0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Sídlo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774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07701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Kráľovslý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Chlmec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Dobranská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2197</w:t>
            </w:r>
          </w:p>
        </w:tc>
      </w:tr>
      <w:tr w:rsidR="00D015B0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Právna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forma: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Spoločnosť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ručením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obmedzeným</w:t>
            </w:r>
            <w:proofErr w:type="spellEnd"/>
          </w:p>
        </w:tc>
      </w:tr>
      <w:tr w:rsidR="00D015B0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Dátum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vzniku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Zápis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obchodného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registra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: </w:t>
            </w:r>
            <w:r w:rsidR="00774B5A">
              <w:rPr>
                <w:rFonts w:ascii="Arial Narrow" w:eastAsia="Arial Narrow" w:hAnsi="Arial Narrow" w:cs="Arial Narrow"/>
                <w:color w:val="000000"/>
              </w:rPr>
              <w:t>18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.7. </w:t>
            </w:r>
            <w:r w:rsidR="00774B5A">
              <w:rPr>
                <w:rFonts w:ascii="Arial Narrow" w:eastAsia="Arial Narrow" w:hAnsi="Arial Narrow" w:cs="Arial Narrow"/>
                <w:color w:val="000000"/>
              </w:rPr>
              <w:t>1996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. </w:t>
            </w:r>
          </w:p>
        </w:tc>
      </w:tr>
      <w:tr w:rsidR="00D015B0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Hlavný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predmet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podnikania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D015B0" w:rsidRDefault="00774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Výroba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kovových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konštrukcií</w:t>
            </w:r>
            <w:proofErr w:type="spellEnd"/>
          </w:p>
        </w:tc>
      </w:tr>
      <w:tr w:rsidR="00D015B0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Subjekt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verejného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záujmu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Spoločnosť</w:t>
            </w:r>
            <w:proofErr w:type="spellEnd"/>
            <w:r w:rsidR="00774B5A">
              <w:rPr>
                <w:rFonts w:ascii="Arial Narrow" w:eastAsia="Arial Narrow" w:hAnsi="Arial Narrow" w:cs="Arial Narrow"/>
                <w:color w:val="000000"/>
              </w:rPr>
              <w:t xml:space="preserve"> AGRITECH SLOVAKIA </w:t>
            </w:r>
            <w:proofErr w:type="spellStart"/>
            <w:r w:rsidR="00774B5A">
              <w:rPr>
                <w:rFonts w:ascii="Arial Narrow" w:eastAsia="Arial Narrow" w:hAnsi="Arial Narrow" w:cs="Arial Narrow"/>
                <w:color w:val="000000"/>
              </w:rPr>
              <w:t>spol</w:t>
            </w:r>
            <w:proofErr w:type="spellEnd"/>
            <w:r w:rsidR="00774B5A">
              <w:rPr>
                <w:rFonts w:ascii="Arial Narrow" w:eastAsia="Arial Narrow" w:hAnsi="Arial Narrow" w:cs="Arial Narrow"/>
                <w:color w:val="000000"/>
              </w:rPr>
              <w:t>.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s.r.o.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je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subjektom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verejného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záujmu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(§ 2/14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).</w:t>
            </w:r>
          </w:p>
        </w:tc>
      </w:tr>
      <w:tr w:rsidR="00D015B0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obdobie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Kalendárny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20</w:t>
            </w:r>
            <w:r w:rsidR="00774B5A">
              <w:rPr>
                <w:rFonts w:ascii="Arial Narrow" w:eastAsia="Arial Narrow" w:hAnsi="Arial Narrow" w:cs="Arial Narrow"/>
                <w:color w:val="000000"/>
              </w:rPr>
              <w:t>2</w:t>
            </w:r>
            <w:r w:rsidR="00906696">
              <w:rPr>
                <w:rFonts w:ascii="Arial Narrow" w:eastAsia="Arial Narrow" w:hAnsi="Arial Narrow" w:cs="Arial Narrow"/>
                <w:color w:val="000000"/>
              </w:rPr>
              <w:t>3</w:t>
            </w:r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)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tbl>
      <w:tblPr>
        <w:tblStyle w:val="a0"/>
        <w:tblW w:w="9568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76"/>
      </w:tblGrid>
      <w:tr w:rsidR="00D015B0">
        <w:tc>
          <w:tcPr>
            <w:tcW w:w="219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položky</w:t>
            </w:r>
            <w:proofErr w:type="spellEnd"/>
          </w:p>
        </w:tc>
        <w:tc>
          <w:tcPr>
            <w:tcW w:w="2835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  <w:tc>
          <w:tcPr>
            <w:tcW w:w="3260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  <w:tc>
          <w:tcPr>
            <w:tcW w:w="1276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Áno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>/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Nie</w:t>
            </w:r>
            <w:proofErr w:type="spellEnd"/>
          </w:p>
        </w:tc>
      </w:tr>
      <w:tr w:rsidR="00D015B0">
        <w:tc>
          <w:tcPr>
            <w:tcW w:w="219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Netto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aktíva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celkom</w:t>
            </w:r>
            <w:proofErr w:type="spellEnd"/>
          </w:p>
        </w:tc>
        <w:tc>
          <w:tcPr>
            <w:tcW w:w="2835" w:type="dxa"/>
          </w:tcPr>
          <w:p w:rsidR="00D015B0" w:rsidRDefault="007E5C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</w:t>
            </w:r>
            <w:r w:rsidR="004401C9">
              <w:rPr>
                <w:rFonts w:ascii="Arial Narrow" w:eastAsia="Arial Narrow" w:hAnsi="Arial Narrow" w:cs="Arial Narrow"/>
                <w:color w:val="000000"/>
              </w:rPr>
              <w:t>173634</w:t>
            </w:r>
          </w:p>
        </w:tc>
        <w:tc>
          <w:tcPr>
            <w:tcW w:w="3260" w:type="dxa"/>
          </w:tcPr>
          <w:p w:rsidR="00D015B0" w:rsidRDefault="004401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1003457</w:t>
            </w:r>
          </w:p>
        </w:tc>
        <w:tc>
          <w:tcPr>
            <w:tcW w:w="1276" w:type="dxa"/>
          </w:tcPr>
          <w:p w:rsidR="00D015B0" w:rsidRDefault="00774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áno</w:t>
            </w:r>
            <w:proofErr w:type="spellEnd"/>
          </w:p>
        </w:tc>
      </w:tr>
      <w:tr w:rsidR="00D015B0">
        <w:tc>
          <w:tcPr>
            <w:tcW w:w="219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Čistý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obrat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celkom</w:t>
            </w:r>
            <w:proofErr w:type="spellEnd"/>
          </w:p>
        </w:tc>
        <w:tc>
          <w:tcPr>
            <w:tcW w:w="2835" w:type="dxa"/>
          </w:tcPr>
          <w:p w:rsidR="00D015B0" w:rsidRDefault="008F5D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</w:t>
            </w:r>
            <w:r w:rsidR="004401C9">
              <w:rPr>
                <w:rFonts w:ascii="Arial Narrow" w:eastAsia="Arial Narrow" w:hAnsi="Arial Narrow" w:cs="Arial Narrow"/>
                <w:color w:val="000000"/>
              </w:rPr>
              <w:t>477688</w:t>
            </w:r>
          </w:p>
        </w:tc>
        <w:tc>
          <w:tcPr>
            <w:tcW w:w="3260" w:type="dxa"/>
          </w:tcPr>
          <w:p w:rsidR="00D015B0" w:rsidRDefault="007E5C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10</w:t>
            </w:r>
            <w:r w:rsidR="004401C9">
              <w:rPr>
                <w:rFonts w:ascii="Arial Narrow" w:eastAsia="Arial Narrow" w:hAnsi="Arial Narrow" w:cs="Arial Narrow"/>
                <w:color w:val="000000"/>
              </w:rPr>
              <w:t>82537</w:t>
            </w:r>
          </w:p>
        </w:tc>
        <w:tc>
          <w:tcPr>
            <w:tcW w:w="1276" w:type="dxa"/>
          </w:tcPr>
          <w:p w:rsidR="00D015B0" w:rsidRDefault="00F253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áno</w:t>
            </w:r>
            <w:proofErr w:type="spellEnd"/>
          </w:p>
        </w:tc>
      </w:tr>
      <w:tr w:rsidR="00D015B0">
        <w:tc>
          <w:tcPr>
            <w:tcW w:w="219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Počet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zamestnancov</w:t>
            </w:r>
            <w:proofErr w:type="spellEnd"/>
          </w:p>
        </w:tc>
        <w:tc>
          <w:tcPr>
            <w:tcW w:w="2835" w:type="dxa"/>
          </w:tcPr>
          <w:p w:rsidR="00D015B0" w:rsidRDefault="00FF72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14</w:t>
            </w:r>
          </w:p>
        </w:tc>
        <w:tc>
          <w:tcPr>
            <w:tcW w:w="3260" w:type="dxa"/>
          </w:tcPr>
          <w:p w:rsidR="00D015B0" w:rsidRDefault="007E5C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18</w:t>
            </w:r>
          </w:p>
        </w:tc>
        <w:tc>
          <w:tcPr>
            <w:tcW w:w="1276" w:type="dxa"/>
          </w:tcPr>
          <w:p w:rsidR="00D015B0" w:rsidRDefault="00F253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áno</w:t>
            </w:r>
            <w:proofErr w:type="spellEnd"/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Komentár: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malá účtovná jednotka,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č.MF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/23378/2014-74 v znení neskorších predpisov).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Dátum schválenia účtovnej závierky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za bezprostredne predchádzajúce účtovné obdobie príslušným orgánom účtovnej jednotky:</w:t>
      </w:r>
      <w:r w:rsidR="00532C20">
        <w:rPr>
          <w:rFonts w:ascii="Arial Narrow" w:eastAsia="Arial Narrow" w:hAnsi="Arial Narrow" w:cs="Arial Narrow"/>
          <w:color w:val="000000"/>
          <w:sz w:val="22"/>
          <w:szCs w:val="22"/>
        </w:rPr>
        <w:t>23</w:t>
      </w:r>
      <w:r w:rsidR="00F253BA">
        <w:rPr>
          <w:rFonts w:ascii="Arial Narrow" w:eastAsia="Arial Narrow" w:hAnsi="Arial Narrow" w:cs="Arial Narrow"/>
          <w:color w:val="000000"/>
          <w:sz w:val="22"/>
          <w:szCs w:val="22"/>
        </w:rPr>
        <w:t>.</w:t>
      </w:r>
      <w:r w:rsidR="00895FEF">
        <w:rPr>
          <w:rFonts w:ascii="Arial Narrow" w:eastAsia="Arial Narrow" w:hAnsi="Arial Narrow" w:cs="Arial Narrow"/>
          <w:color w:val="000000"/>
          <w:sz w:val="22"/>
          <w:szCs w:val="22"/>
        </w:rPr>
        <w:t>06</w:t>
      </w:r>
      <w:r w:rsidR="00F253BA">
        <w:rPr>
          <w:rFonts w:ascii="Arial Narrow" w:eastAsia="Arial Narrow" w:hAnsi="Arial Narrow" w:cs="Arial Narrow"/>
          <w:color w:val="000000"/>
          <w:sz w:val="22"/>
          <w:szCs w:val="22"/>
        </w:rPr>
        <w:t>.202</w:t>
      </w:r>
      <w:r w:rsidR="00532C20">
        <w:rPr>
          <w:rFonts w:ascii="Arial Narrow" w:eastAsia="Arial Narrow" w:hAnsi="Arial Narrow" w:cs="Arial Narrow"/>
          <w:color w:val="000000"/>
          <w:sz w:val="22"/>
          <w:szCs w:val="22"/>
        </w:rPr>
        <w:t>3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Právny dôvod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na zostavenie účtovnej závierky:</w:t>
      </w:r>
      <w:r w:rsidR="00F253BA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Riadna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4)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Údaje o skupine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účtovných jednotiek v súvislosti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s konsolidáciou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  <w:r w:rsidR="00F253BA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 je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a) Obchodné meno a sídlo účtovnej jednotky, ktorá zostavuje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konsolidovanú účtovnú závierku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za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najväčšiu skupinu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, ktorej súčasťou je účtovná jednotka ako dcérska účtovná jednotka (najvyšší stupeň konsolidácie):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b) Obchodné meno a sídlo účtovnej jednotky, ktorá zostavuje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konsolidovanú účtovnú závierku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za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najmenšiu skupinu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c) Adresa, kde sa môže vyžiadať kópia vyššie uvedených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konsolidovaných účtovných závierok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konsolidovanú účtovnú závierku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 konsolidovanú výročnú správu podľa § 22 zákona o účtovníctve, pričom sa uvádzajú: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konsolidovanú účtovnú závierku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podľa osobitných predpisov (IFRS/EÚ):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5)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</w:p>
    <w:tbl>
      <w:tblPr>
        <w:tblStyle w:val="a1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D015B0">
        <w:trPr>
          <w:trHeight w:val="537"/>
        </w:trPr>
        <w:tc>
          <w:tcPr>
            <w:tcW w:w="4857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9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položky</w:t>
            </w:r>
            <w:proofErr w:type="spellEnd"/>
          </w:p>
        </w:tc>
        <w:tc>
          <w:tcPr>
            <w:tcW w:w="2523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  <w:tc>
          <w:tcPr>
            <w:tcW w:w="2367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</w:tr>
      <w:tr w:rsidR="00D015B0">
        <w:trPr>
          <w:trHeight w:val="163"/>
        </w:trPr>
        <w:tc>
          <w:tcPr>
            <w:tcW w:w="485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Priemerný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prepočítaný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počet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počas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účtovného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obdobia</w:t>
            </w:r>
            <w:proofErr w:type="spellEnd"/>
          </w:p>
        </w:tc>
        <w:tc>
          <w:tcPr>
            <w:tcW w:w="252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  <w:r w:rsidR="00532C20">
              <w:rPr>
                <w:rFonts w:ascii="Arial Narrow" w:eastAsia="Arial Narrow" w:hAnsi="Arial Narrow" w:cs="Arial Narrow"/>
                <w:color w:val="000000"/>
              </w:rPr>
              <w:t>14</w:t>
            </w:r>
            <w:bookmarkStart w:id="0" w:name="_GoBack"/>
            <w:bookmarkEnd w:id="0"/>
          </w:p>
        </w:tc>
        <w:tc>
          <w:tcPr>
            <w:tcW w:w="236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  <w:r w:rsidR="00F253BA">
              <w:rPr>
                <w:rFonts w:ascii="Arial Narrow" w:eastAsia="Arial Narrow" w:hAnsi="Arial Narrow" w:cs="Arial Narrow"/>
                <w:color w:val="000000"/>
              </w:rPr>
              <w:t>1</w:t>
            </w:r>
            <w:r w:rsidR="00900DD9">
              <w:rPr>
                <w:rFonts w:ascii="Arial Narrow" w:eastAsia="Arial Narrow" w:hAnsi="Arial Narrow" w:cs="Arial Narrow"/>
                <w:color w:val="000000"/>
              </w:rPr>
              <w:t>8</w:t>
            </w:r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left="928"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Článok II – INFORMÁCIE O ORGÁNOCH SPOLOČNOSTI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Informácie o orgánoch účtovnej jednotky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2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01"/>
      </w:tblGrid>
      <w:tr w:rsidR="00D015B0">
        <w:trPr>
          <w:trHeight w:val="780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Orgány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účtovnej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jednotky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</w:tr>
      <w:tr w:rsidR="00D015B0">
        <w:trPr>
          <w:trHeight w:val="267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Štatutárny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orgán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D015B0">
        <w:trPr>
          <w:trHeight w:val="144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druh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príjmu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výhody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):</w:t>
            </w:r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  <w:proofErr w:type="spellStart"/>
            <w:r w:rsidR="00F253BA">
              <w:rPr>
                <w:rFonts w:ascii="Arial Narrow" w:eastAsia="Arial Narrow" w:hAnsi="Arial Narrow" w:cs="Arial Narrow"/>
                <w:color w:val="000000"/>
              </w:rPr>
              <w:t>žiadne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  <w:proofErr w:type="spellStart"/>
            <w:r w:rsidR="00F253BA">
              <w:rPr>
                <w:rFonts w:ascii="Arial Narrow" w:eastAsia="Arial Narrow" w:hAnsi="Arial Narrow" w:cs="Arial Narrow"/>
                <w:color w:val="000000"/>
              </w:rPr>
              <w:t>žiadne</w:t>
            </w:r>
            <w:proofErr w:type="spellEnd"/>
          </w:p>
        </w:tc>
      </w:tr>
      <w:tr w:rsidR="00D015B0">
        <w:trPr>
          <w:trHeight w:val="161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Dozorný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orgán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D015B0">
        <w:trPr>
          <w:trHeight w:val="161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druh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príjmu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výhody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):</w:t>
            </w:r>
          </w:p>
        </w:tc>
        <w:tc>
          <w:tcPr>
            <w:tcW w:w="1701" w:type="dxa"/>
            <w:vAlign w:val="center"/>
          </w:tcPr>
          <w:p w:rsidR="00D015B0" w:rsidRDefault="00F253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Žiadne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F253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Žiadne</w:t>
            </w:r>
            <w:proofErr w:type="spellEnd"/>
          </w:p>
        </w:tc>
      </w:tr>
      <w:tr w:rsidR="00D015B0">
        <w:trPr>
          <w:trHeight w:val="161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Iný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orgán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účtovnej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jednotky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rPr>
          <w:trHeight w:val="161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druh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príjmu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výhody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):</w:t>
            </w:r>
          </w:p>
        </w:tc>
        <w:tc>
          <w:tcPr>
            <w:tcW w:w="1701" w:type="dxa"/>
            <w:vAlign w:val="center"/>
          </w:tcPr>
          <w:p w:rsidR="00D015B0" w:rsidRDefault="00F253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žiadne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F253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žiadne</w:t>
            </w:r>
            <w:proofErr w:type="spellEnd"/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141"/>
        <w:jc w:val="center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Článok III – INFORMÁCIE O PRIJATÝCH POSTUPOCH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:rsidR="00D015B0" w:rsidRDefault="00F253BA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                              Áno</w:t>
      </w:r>
    </w:p>
    <w:p w:rsidR="00F253BA" w:rsidRDefault="00F253BA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o zmenách účtovných zásad a zmenách účtovných metód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, a to s uvedením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dôvodu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ich uplatnenia a ich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vplyvu na hodnotu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D015B0" w:rsidRDefault="00F253BA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                               Nie</w:t>
      </w:r>
    </w:p>
    <w:p w:rsidR="00F253BA" w:rsidRDefault="00F253BA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Informácie o charaktere a účele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transakcií, ktoré sa neuvádzajú v súvahe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riziká alebo prínosy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 xml:space="preserve">časovo limitované licencie a oprávnenia, podnikové kombinácie, záväzky investovať, dopad legislatívy, celkový pokles v hospodárskom segmente): </w:t>
      </w:r>
      <w:r w:rsidR="00F253BA">
        <w:rPr>
          <w:rFonts w:ascii="Arial Narrow" w:eastAsia="Arial Narrow" w:hAnsi="Arial Narrow" w:cs="Arial Narrow"/>
          <w:color w:val="000000"/>
          <w:sz w:val="22"/>
          <w:szCs w:val="22"/>
        </w:rPr>
        <w:t>žiadne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4)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Spôsob a určenie oceňovania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majetku a záväzkov (vrátane rozhodujúcich odhadov):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):</w:t>
      </w:r>
    </w:p>
    <w:p w:rsidR="00D015B0" w:rsidRDefault="00D015B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3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položky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Spôsob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oceňovania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nehmotný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externe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kúpený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cena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nehmotný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interne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vytvorený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nehmotný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inak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darom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externe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kúpený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cena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interne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vytvorený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nehmotný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inak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darom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finančný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cena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Zásoby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obstarané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kúpou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cena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Zásoby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vytvorené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vlastnou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činnosťou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náklady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Zásoby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obstarané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inak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darom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ZV 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zákazková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výstavba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nehnuteľnosti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určenej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predaj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pohľadávky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hodnota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Kúpené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pohľadávky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Krátkodobý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finančný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cena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Časové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rozlíšenie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strane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aktív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súvahy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hodnota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vrátane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rezerv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dlhopisov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pôžičiek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a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úverov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hodnota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Časové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rozlíšenie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strane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pasív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súvahy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hodnota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Deriváty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18.</w:t>
            </w:r>
          </w:p>
        </w:tc>
        <w:tc>
          <w:tcPr>
            <w:tcW w:w="5300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a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zabezpečené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derivátmi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: </w:t>
            </w:r>
          </w:p>
        </w:tc>
        <w:tc>
          <w:tcPr>
            <w:tcW w:w="3600" w:type="dxa"/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19.</w:t>
            </w:r>
          </w:p>
        </w:tc>
        <w:tc>
          <w:tcPr>
            <w:tcW w:w="5300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Prenajatý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základe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zmluvy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kúpe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prenajatej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veci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cena</w:t>
            </w:r>
            <w:proofErr w:type="spellEnd"/>
          </w:p>
        </w:tc>
      </w:tr>
      <w:tr w:rsidR="00D015B0">
        <w:tc>
          <w:tcPr>
            <w:tcW w:w="706" w:type="dxa"/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20.</w:t>
            </w:r>
          </w:p>
        </w:tc>
        <w:tc>
          <w:tcPr>
            <w:tcW w:w="5300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Splatná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daň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z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príjmov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a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odložená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daň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z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príjmov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hodnota</w:t>
            </w:r>
            <w:proofErr w:type="spellEnd"/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d) Určenie ocenenia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finančných nástrojov alebo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, ktorý nie je finančným nástrojom pri oceňovaní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reálnou hodnotou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e) Určenie ocenenia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finančných nástrojov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pri oceňovaní obstarávacou cenou alebo vlastnými nákladmi: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Komentár k oceňovaniu majetku a záväzkov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Finančné nástroje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Z.z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futures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, swapy, forwardy), nástroje peňažného trhu (pokladničné poukážky, vkladové listy).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Opravné položky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Opravnú položku k dlhodobej pohľadávke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 opravnú položku k dlhodobej pôžičke UJ stanovila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odúročenia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 na súčasnú hodnotu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(§ 18/8 PU; § 21/6 PU).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Rezervy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ocenila UJ kalkulačnou metódou kvalifikovaného odhadu ich menovitej hodnoty na pokrytie budúcich záväzkov.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 xml:space="preserve">UJ počas účtovného obdobia (§ 25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), ani k 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závierkovému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dňu (§ 27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) nepoužila ocenenie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reálnou hodnotou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lebo nemala k tomu vecnú náplň.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vážený aritmetický priemer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(§ 25/5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; § 22/1 PU).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používa pri oceňovaní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prírastku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cudzej meny v hotovosti alebo na bankový účet –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zmenárenský kurz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konkrétnej banky (§ 24/3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používa pri oceňovaní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úbytku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cudzej meny v hotovosti alebo z bankového účtu –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základné pravidlo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).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metódou vlastného imania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(§ 27/9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).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015B0" w:rsidRDefault="001076C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120"/>
        <w:jc w:val="both"/>
        <w:rPr>
          <w:rFonts w:ascii="Arial Narrow" w:eastAsia="Arial Narrow" w:hAnsi="Arial Narrow" w:cs="Arial Narrow"/>
          <w:i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g)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</w:rPr>
        <w:t>Tvorba odpisového plánu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Style w:val="a4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hmotný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nehmotný</w:t>
            </w:r>
            <w:proofErr w:type="spellEnd"/>
          </w:p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odpisovaný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majetok</w:t>
            </w:r>
            <w:proofErr w:type="spellEnd"/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číslo</w:t>
            </w:r>
            <w:proofErr w:type="spellEnd"/>
          </w:p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účtu</w:t>
            </w:r>
            <w:proofErr w:type="spellEnd"/>
          </w:p>
        </w:tc>
        <w:tc>
          <w:tcPr>
            <w:tcW w:w="210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doba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odpisovania</w:t>
            </w:r>
            <w:proofErr w:type="spellEnd"/>
          </w:p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(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počet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rokov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>)</w:t>
            </w:r>
          </w:p>
        </w:tc>
        <w:tc>
          <w:tcPr>
            <w:tcW w:w="226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odpisová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sadzba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</w:p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(%)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Software</w:t>
            </w:r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013</w:t>
            </w:r>
          </w:p>
        </w:tc>
        <w:tc>
          <w:tcPr>
            <w:tcW w:w="210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4</w:t>
            </w:r>
          </w:p>
        </w:tc>
        <w:tc>
          <w:tcPr>
            <w:tcW w:w="226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25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Ostatný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DNM </w:t>
            </w:r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019</w:t>
            </w:r>
          </w:p>
        </w:tc>
        <w:tc>
          <w:tcPr>
            <w:tcW w:w="210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4</w:t>
            </w:r>
          </w:p>
        </w:tc>
        <w:tc>
          <w:tcPr>
            <w:tcW w:w="226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25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Stavby</w:t>
            </w:r>
            <w:proofErr w:type="spellEnd"/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021</w:t>
            </w:r>
          </w:p>
        </w:tc>
        <w:tc>
          <w:tcPr>
            <w:tcW w:w="210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25</w:t>
            </w:r>
          </w:p>
        </w:tc>
        <w:tc>
          <w:tcPr>
            <w:tcW w:w="226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4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Počítače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príslušenstvom</w:t>
            </w:r>
            <w:proofErr w:type="spellEnd"/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022.A</w:t>
            </w:r>
          </w:p>
        </w:tc>
        <w:tc>
          <w:tcPr>
            <w:tcW w:w="210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5</w:t>
            </w:r>
          </w:p>
        </w:tc>
        <w:tc>
          <w:tcPr>
            <w:tcW w:w="226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20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Dopravné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prostriedky</w:t>
            </w:r>
            <w:proofErr w:type="spellEnd"/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023</w:t>
            </w:r>
          </w:p>
        </w:tc>
        <w:tc>
          <w:tcPr>
            <w:tcW w:w="2107" w:type="dxa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4</w:t>
            </w:r>
          </w:p>
        </w:tc>
        <w:tc>
          <w:tcPr>
            <w:tcW w:w="2268" w:type="dxa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25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stroje</w:t>
            </w:r>
            <w:proofErr w:type="spellEnd"/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022.A</w:t>
            </w:r>
          </w:p>
        </w:tc>
        <w:tc>
          <w:tcPr>
            <w:tcW w:w="2107" w:type="dxa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4</w:t>
            </w:r>
          </w:p>
        </w:tc>
        <w:tc>
          <w:tcPr>
            <w:tcW w:w="2268" w:type="dxa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25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Ostatný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029</w:t>
            </w:r>
          </w:p>
        </w:tc>
        <w:tc>
          <w:tcPr>
            <w:tcW w:w="210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5</w:t>
            </w:r>
          </w:p>
        </w:tc>
        <w:tc>
          <w:tcPr>
            <w:tcW w:w="226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20</w:t>
            </w:r>
          </w:p>
        </w:tc>
      </w:tr>
    </w:tbl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Komentár k odpisovému plánu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používa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účtovné odpisy nezávisle na daňových odpisoch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. Majetok sa začína odpisovať v mesiaci, kedy bol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zaradený do užívania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používa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rovnomerné odpisovanie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odpisuje jednotlivé veci alebo relevantné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súbory hnuteľných vecí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nepoužila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jednorazový odpis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dlhodobého majetku z dôvodu jednorazového trvalého zníženia hodnoty majetku (§ 21/5 PU).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- položky pod 2 400 eur jednotkovej ceny so životnosťou nad jeden rok (§ 13/2 PU).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- položky pod 1 700 eur jednotkovej ceny so životnosťou nad jeden rok (§ 13/6 PU).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nepoužíva dobrovoľnú kapitalizáciu úrokov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keepNext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i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lastRenderedPageBreak/>
        <w:t xml:space="preserve">h) Informácia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</w:rPr>
        <w:t>o poskytnutých dotáciách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a pri dotáciách na obstaranie majetku sa uvedú zložky majetku a ich ocenenie: </w:t>
      </w:r>
    </w:p>
    <w:p w:rsidR="00D015B0" w:rsidRDefault="00D015B0">
      <w:pPr>
        <w:keepNext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i/>
          <w:color w:val="000000"/>
          <w:sz w:val="22"/>
          <w:szCs w:val="22"/>
        </w:rPr>
      </w:pPr>
    </w:p>
    <w:p w:rsidR="00D015B0" w:rsidRDefault="001076C0">
      <w:pPr>
        <w:keepNext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b/>
          <w:i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5)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</w:rPr>
        <w:t xml:space="preserve">Informácie o oprave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  <w:u w:val="single"/>
        </w:rPr>
        <w:t>významných chýb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  <w:u w:val="single"/>
        </w:rPr>
        <w:t>s uvedením sumy vplyvu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  <w:u w:val="single"/>
        </w:rPr>
        <w:t>nevýznamných chýb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Style w:val="a5"/>
        <w:tblW w:w="96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19"/>
      </w:tblGrid>
      <w:tr w:rsidR="00D015B0">
        <w:tc>
          <w:tcPr>
            <w:tcW w:w="3075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    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Opis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účtovného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prípadu</w:t>
            </w:r>
            <w:proofErr w:type="spellEnd"/>
          </w:p>
        </w:tc>
        <w:tc>
          <w:tcPr>
            <w:tcW w:w="1040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 Suma</w:t>
            </w:r>
          </w:p>
        </w:tc>
        <w:tc>
          <w:tcPr>
            <w:tcW w:w="1039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MD/DAL</w:t>
            </w:r>
          </w:p>
        </w:tc>
        <w:tc>
          <w:tcPr>
            <w:tcW w:w="192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Vplyv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výsledok</w:t>
            </w:r>
            <w:proofErr w:type="spellEnd"/>
          </w:p>
        </w:tc>
        <w:tc>
          <w:tcPr>
            <w:tcW w:w="2519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Vplyv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imanie</w:t>
            </w:r>
            <w:proofErr w:type="spellEnd"/>
          </w:p>
        </w:tc>
      </w:tr>
      <w:tr w:rsidR="00D015B0">
        <w:tc>
          <w:tcPr>
            <w:tcW w:w="307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040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039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928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519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307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040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039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928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519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Vysvetlivky k oprave chýb minulých účtovných období:</w:t>
      </w:r>
    </w:p>
    <w:p w:rsidR="00D015B0" w:rsidRDefault="001076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).</w:t>
      </w:r>
    </w:p>
    <w:p w:rsidR="00D015B0" w:rsidRDefault="001076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D015B0" w:rsidRDefault="001076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D015B0" w:rsidRDefault="001076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Hranicu významnosti si UJ stanoví individuálne v internej účtovnej smernici (napr. 1 tisícina z brutto aktív).</w:t>
      </w:r>
    </w:p>
    <w:p w:rsidR="00D015B0" w:rsidRDefault="001076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).</w:t>
      </w:r>
    </w:p>
    <w:p w:rsidR="00D015B0" w:rsidRDefault="001076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Článok IV – INFORMÁCIE, KTORÉ VYSVETĽUJÚ A DOPĹŇAJÚ SÚVAHU A VÝKAZ ZISKOV A STRÁT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-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dôvod jeho vzniku, spôsob výpočtu a prehodnotenie opodstatnenosti jeho výšky a odpisu jeho hodnoty: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[Vysvetlivky: Záporný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goodwill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jednorázovo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goodwill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Informácie o významných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v tabuľkovej forme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informácia zobrazujúca pohyby v oceňovacích rozdieloch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 ocenenia reálnou hodnotou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počas účtovného obdobia.</w:t>
      </w:r>
    </w:p>
    <w:tbl>
      <w:tblPr>
        <w:tblStyle w:val="a6"/>
        <w:tblW w:w="96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36"/>
      </w:tblGrid>
      <w:tr w:rsidR="00D015B0">
        <w:trPr>
          <w:trHeight w:val="153"/>
        </w:trPr>
        <w:tc>
          <w:tcPr>
            <w:tcW w:w="3655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    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položky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derivátov</w:t>
            </w:r>
            <w:proofErr w:type="spellEnd"/>
          </w:p>
        </w:tc>
        <w:tc>
          <w:tcPr>
            <w:tcW w:w="1135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 Suma</w:t>
            </w:r>
          </w:p>
        </w:tc>
        <w:tc>
          <w:tcPr>
            <w:tcW w:w="1135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MD/DAL</w:t>
            </w:r>
          </w:p>
        </w:tc>
        <w:tc>
          <w:tcPr>
            <w:tcW w:w="1844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Vplyv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výsledok</w:t>
            </w:r>
            <w:proofErr w:type="spellEnd"/>
          </w:p>
        </w:tc>
        <w:tc>
          <w:tcPr>
            <w:tcW w:w="1836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Vplyv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imanie</w:t>
            </w:r>
            <w:proofErr w:type="spellEnd"/>
          </w:p>
        </w:tc>
      </w:tr>
      <w:tr w:rsidR="00D015B0">
        <w:trPr>
          <w:trHeight w:val="62"/>
        </w:trPr>
        <w:tc>
          <w:tcPr>
            <w:tcW w:w="365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13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13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844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836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rPr>
          <w:trHeight w:val="109"/>
        </w:trPr>
        <w:tc>
          <w:tcPr>
            <w:tcW w:w="365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13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13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844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836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Komentár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 počas účtovného obdobia – bez náplne.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>[Vysvetlivky: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Reálnou hodnotou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sa k 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závierkovému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); precenenie na reálnu hodnotu k 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závierkovému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dňu sa účtuje (§ 16 PU) - výsledkovo (účty 56x, 66x) alebo súvahovo (účet 414)].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3a) Celková suma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 </w:t>
      </w:r>
    </w:p>
    <w:tbl>
      <w:tblPr>
        <w:tblStyle w:val="a7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D015B0">
        <w:trPr>
          <w:trHeight w:val="693"/>
          <w:jc w:val="center"/>
        </w:trPr>
        <w:tc>
          <w:tcPr>
            <w:tcW w:w="4785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položky</w:t>
            </w:r>
            <w:proofErr w:type="spellEnd"/>
          </w:p>
        </w:tc>
        <w:tc>
          <w:tcPr>
            <w:tcW w:w="2553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  <w:tc>
          <w:tcPr>
            <w:tcW w:w="2376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</w:tr>
      <w:tr w:rsidR="00D015B0">
        <w:trPr>
          <w:trHeight w:val="207"/>
          <w:jc w:val="center"/>
        </w:trPr>
        <w:tc>
          <w:tcPr>
            <w:tcW w:w="4785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so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zostatkovou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dobou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splatnosti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nad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5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rokov</w:t>
            </w:r>
            <w:proofErr w:type="spellEnd"/>
          </w:p>
        </w:tc>
        <w:tc>
          <w:tcPr>
            <w:tcW w:w="2553" w:type="dxa"/>
            <w:vAlign w:val="center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</w:t>
            </w:r>
          </w:p>
        </w:tc>
        <w:tc>
          <w:tcPr>
            <w:tcW w:w="2376" w:type="dxa"/>
            <w:vAlign w:val="center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</w:t>
            </w:r>
          </w:p>
        </w:tc>
      </w:tr>
    </w:tbl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before="120"/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závierkovým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dňom (§ 12 PU).]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before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3b) Celková suma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zabezpečených záväzkov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opis a spôsob zabezpečenia záväzkov: </w:t>
      </w:r>
    </w:p>
    <w:tbl>
      <w:tblPr>
        <w:tblStyle w:val="a8"/>
        <w:tblW w:w="96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D015B0">
        <w:trPr>
          <w:jc w:val="center"/>
        </w:trPr>
        <w:tc>
          <w:tcPr>
            <w:tcW w:w="4396" w:type="dxa"/>
            <w:vMerge w:val="restart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Zabezpečené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záväzky</w:t>
            </w:r>
            <w:proofErr w:type="spellEnd"/>
          </w:p>
        </w:tc>
        <w:tc>
          <w:tcPr>
            <w:tcW w:w="5242" w:type="dxa"/>
            <w:gridSpan w:val="2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</w:tr>
      <w:tr w:rsidR="00D015B0">
        <w:trPr>
          <w:jc w:val="center"/>
        </w:trPr>
        <w:tc>
          <w:tcPr>
            <w:tcW w:w="4396" w:type="dxa"/>
            <w:vMerge/>
            <w:vAlign w:val="center"/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  <w:tc>
          <w:tcPr>
            <w:tcW w:w="283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Spôsob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</w:p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zabezpečenia</w:t>
            </w:r>
            <w:proofErr w:type="spellEnd"/>
          </w:p>
        </w:tc>
        <w:tc>
          <w:tcPr>
            <w:tcW w:w="24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Hodnota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záväzkov</w:t>
            </w:r>
            <w:proofErr w:type="spellEnd"/>
          </w:p>
        </w:tc>
      </w:tr>
      <w:tr w:rsidR="00D015B0">
        <w:trPr>
          <w:trHeight w:val="69"/>
          <w:jc w:val="center"/>
        </w:trPr>
        <w:tc>
          <w:tcPr>
            <w:tcW w:w="4396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zabezpečené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záložným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právom</w:t>
            </w:r>
            <w:proofErr w:type="spellEnd"/>
          </w:p>
        </w:tc>
        <w:tc>
          <w:tcPr>
            <w:tcW w:w="283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záložné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právo</w:t>
            </w:r>
            <w:proofErr w:type="spellEnd"/>
          </w:p>
        </w:tc>
        <w:tc>
          <w:tcPr>
            <w:tcW w:w="241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rPr>
          <w:trHeight w:val="117"/>
          <w:jc w:val="center"/>
        </w:trPr>
        <w:tc>
          <w:tcPr>
            <w:tcW w:w="4396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zabezpečené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iným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spôsobom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</w:p>
        </w:tc>
        <w:tc>
          <w:tcPr>
            <w:tcW w:w="283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41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rPr>
          <w:trHeight w:val="117"/>
          <w:jc w:val="center"/>
        </w:trPr>
        <w:tc>
          <w:tcPr>
            <w:tcW w:w="4396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Celková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suma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zabezpečených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záväzkov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</w:p>
        </w:tc>
        <w:tc>
          <w:tcPr>
            <w:tcW w:w="283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x</w:t>
            </w:r>
          </w:p>
        </w:tc>
        <w:tc>
          <w:tcPr>
            <w:tcW w:w="2411" w:type="dxa"/>
            <w:vAlign w:val="center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</w:t>
            </w:r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4)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Informácie o vlastných akciách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a) dôvod nadobudnutia vlastných akcií počas účtovného obdobia: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5) K vlastnému imaniu sa uvádza informácia, či účtovná jednotka tvorila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kapitálový fond z príspevkov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podľa § 123 ods. 2 alebo § 217a Obchodného zákonníka v znení neskorších predpisov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6) Informácie o sume a dôvodoch vzniku jednotlivých položiek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nákladov alebo výnosov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, ktoré majú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výnimočný rozsah alebo výskyt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žiadne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Článok V – INFORMÁCIE O INÝCH AKTÍVACH A INÝCH PASÍVACH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1a)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Podmienený majetok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 xml:space="preserve">1b)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Podmienené záväzky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1076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1076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Ostatné finančné povinnosti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Podsúvahové účty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Style w:val="a9"/>
        <w:tblW w:w="96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593"/>
      </w:tblGrid>
      <w:tr w:rsidR="00D015B0">
        <w:trPr>
          <w:trHeight w:val="780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podsúvahovej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položky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  <w:tc>
          <w:tcPr>
            <w:tcW w:w="1593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</w:tr>
      <w:tr w:rsidR="00D015B0">
        <w:trPr>
          <w:trHeight w:val="267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Prenajatý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93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D015B0">
        <w:trPr>
          <w:trHeight w:val="144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prijatý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úschovy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93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D015B0">
        <w:trPr>
          <w:trHeight w:val="161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Pohľadávky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z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opcií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93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D015B0">
        <w:trPr>
          <w:trHeight w:val="161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z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opcií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593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rPr>
          <w:trHeight w:val="161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Odpísané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pohľadávky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593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rPr>
          <w:trHeight w:val="161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Iné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............................</w:t>
            </w:r>
          </w:p>
        </w:tc>
        <w:tc>
          <w:tcPr>
            <w:tcW w:w="170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593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Článok VI – UDALOSTI, KTORÉ NASTALI PO ZÁVIERKOVOM DNI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(Následné udalosti)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t.j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 a ktoré nie sú zohľadnené v súvahe alebo vo výkaze ziskov a strát, napríklad: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a)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Pokles alebo zvýšenie trhovej ceny finančného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b)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Dôvody pre zmenu výšky rezerv a opravných položiek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, ktoré nastali v dôsledku udalostí po dni, ku ktorému sa zostavuje účtovná závierka do dňa zostavenia účtovnej závierky: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c) Zmena spoločníkov účtovnej jednotky: 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>nebola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d) Prijaté rozhodnutia o predaji účtovnej jednotky alebo jej časti: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e) Zmeny významných položiek dlhodobého finančného majetku: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žiadne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>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g) Vydané dlhopisy a iné cenné papiere: 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>neboli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h) Zlúčenie, splynutie, rozdelenie a zmena právnej formy účtovnej jednotky: 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>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i) Mimoriadne udalosti, ak majú vplyv na hospodárenie účtovnej jednotky, napr. živelná pohroma: 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>žiadne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j) Získanie alebo odobratie licencií alebo iných povolení významných pre činnosť účtovnej jednotky: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[Vysvetlivky: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Následná udalosť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dni do dňa podpísania výkazov – uvádza sa v poznámkach.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závierkový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 účtovný prípad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stal sa do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závierkového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; § 2a; § 18/9; § 19/6; § 48/3; § 50/6 PU).]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Článok VII – OSTATNÉ INFORMÁCIE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1) Informácie o výlučnom práve poskytovať služby vo verejnom záujme: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):</w:t>
      </w:r>
    </w:p>
    <w:sectPr w:rsidR="00D015B0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796" w:rsidRDefault="00FB7796">
      <w:r>
        <w:separator/>
      </w:r>
    </w:p>
  </w:endnote>
  <w:endnote w:type="continuationSeparator" w:id="0">
    <w:p w:rsidR="00FB7796" w:rsidRDefault="00FB7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5B0" w:rsidRDefault="001076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7062A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:rsidR="00D015B0" w:rsidRDefault="00D015B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796" w:rsidRDefault="00FB7796">
      <w:r>
        <w:separator/>
      </w:r>
    </w:p>
  </w:footnote>
  <w:footnote w:type="continuationSeparator" w:id="0">
    <w:p w:rsidR="00FB7796" w:rsidRDefault="00FB7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5B0" w:rsidRDefault="001076C0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2990"/>
        <w:tab w:val="left" w:pos="6348"/>
      </w:tabs>
      <w:ind w:left="-397"/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>Poznámky Úč POD 3 – 01                           IČO: 3</w:t>
    </w:r>
    <w:r w:rsidR="00774B5A">
      <w:rPr>
        <w:rFonts w:ascii="Arial" w:eastAsia="Arial" w:hAnsi="Arial" w:cs="Arial"/>
        <w:color w:val="000000"/>
        <w:sz w:val="22"/>
        <w:szCs w:val="22"/>
      </w:rPr>
      <w:t>1731171</w:t>
    </w:r>
    <w:r>
      <w:rPr>
        <w:rFonts w:ascii="Arial" w:eastAsia="Arial" w:hAnsi="Arial" w:cs="Arial"/>
        <w:color w:val="000000"/>
        <w:sz w:val="22"/>
        <w:szCs w:val="22"/>
      </w:rPr>
      <w:t xml:space="preserve">        DIČ: </w:t>
    </w:r>
    <w:r w:rsidR="00774B5A">
      <w:rPr>
        <w:rFonts w:ascii="Arial" w:eastAsia="Arial" w:hAnsi="Arial" w:cs="Arial"/>
        <w:color w:val="000000"/>
        <w:sz w:val="22"/>
        <w:szCs w:val="22"/>
      </w:rPr>
      <w:t>2020505861</w:t>
    </w:r>
  </w:p>
  <w:p w:rsidR="00D015B0" w:rsidRDefault="00D015B0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5B0" w:rsidRDefault="00D015B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4"/>
        <w:szCs w:val="24"/>
      </w:rPr>
    </w:pPr>
  </w:p>
  <w:tbl>
    <w:tblPr>
      <w:tblStyle w:val="aa"/>
      <w:tblW w:w="8794" w:type="dxa"/>
      <w:tblInd w:w="55" w:type="dxa"/>
      <w:tblLayout w:type="fixed"/>
      <w:tblLook w:val="0000" w:firstRow="0" w:lastRow="0" w:firstColumn="0" w:lastColumn="0" w:noHBand="0" w:noVBand="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015B0">
      <w:trPr>
        <w:trHeight w:val="330"/>
      </w:trPr>
      <w:tc>
        <w:tcPr>
          <w:tcW w:w="0" w:type="auto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Poznámky Úč POD 3 - 04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D015B0" w:rsidRDefault="00D015B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DIČ</w:t>
          </w:r>
        </w:p>
      </w:tc>
      <w:tc>
        <w:tcPr>
          <w:tcW w:w="0" w:type="auto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 1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2 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3 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4 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5 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6 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7 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8 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9 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0 </w:t>
          </w:r>
        </w:p>
      </w:tc>
    </w:tr>
  </w:tbl>
  <w:p w:rsidR="00D015B0" w:rsidRDefault="00D015B0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D0D2F"/>
    <w:multiLevelType w:val="multilevel"/>
    <w:tmpl w:val="D4E4ACF6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AEA0AA7"/>
    <w:multiLevelType w:val="multilevel"/>
    <w:tmpl w:val="A12A714E"/>
    <w:lvl w:ilvl="0">
      <w:start w:val="6"/>
      <w:numFmt w:val="bullet"/>
      <w:pStyle w:val="Nadpis1"/>
      <w:lvlText w:val="-"/>
      <w:lvlJc w:val="left"/>
      <w:pPr>
        <w:ind w:left="72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2BC5F3A"/>
    <w:multiLevelType w:val="multilevel"/>
    <w:tmpl w:val="143800A4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6B851B3A"/>
    <w:multiLevelType w:val="multilevel"/>
    <w:tmpl w:val="8B20CD06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8F35080"/>
    <w:multiLevelType w:val="multilevel"/>
    <w:tmpl w:val="E3E452D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B0"/>
    <w:rsid w:val="001076C0"/>
    <w:rsid w:val="00174C20"/>
    <w:rsid w:val="003C1249"/>
    <w:rsid w:val="004401C9"/>
    <w:rsid w:val="00532C20"/>
    <w:rsid w:val="00774B5A"/>
    <w:rsid w:val="007E5C1B"/>
    <w:rsid w:val="00895FEF"/>
    <w:rsid w:val="008F5D1F"/>
    <w:rsid w:val="009005CD"/>
    <w:rsid w:val="00900DD9"/>
    <w:rsid w:val="00906696"/>
    <w:rsid w:val="0097062A"/>
    <w:rsid w:val="009B54EE"/>
    <w:rsid w:val="009F0719"/>
    <w:rsid w:val="00AB6C99"/>
    <w:rsid w:val="00C95BE8"/>
    <w:rsid w:val="00D015B0"/>
    <w:rsid w:val="00D0173A"/>
    <w:rsid w:val="00DC7904"/>
    <w:rsid w:val="00F253BA"/>
    <w:rsid w:val="00F7139D"/>
    <w:rsid w:val="00F95935"/>
    <w:rsid w:val="00FB7796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4BD5C"/>
  <w15:docId w15:val="{D7F08AD3-CB70-4B62-8D4E-159EADE8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"/>
    <w:next w:val="Nadpis2"/>
    <w:uiPriority w:val="9"/>
    <w:qFormat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</w:pPr>
    <w:rPr>
      <w:b/>
      <w:bCs/>
      <w:kern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ln">
    <w:name w:val="Normální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Standardnpsmoodstavce">
    <w:name w:val="Standardní písmo odstavce"/>
    <w:rPr>
      <w:w w:val="100"/>
      <w:position w:val="-1"/>
      <w:effect w:val="none"/>
      <w:vertAlign w:val="baseline"/>
      <w:cs w:val="0"/>
      <w:em w:val="none"/>
    </w:rPr>
  </w:style>
  <w:style w:type="table" w:customStyle="1" w:styleId="Normlntabulka">
    <w:name w:val="Normální tabul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seznamu">
    <w:name w:val="Bez seznamu"/>
  </w:style>
  <w:style w:type="character" w:customStyle="1" w:styleId="Nadpis1Char">
    <w:name w:val="Nadpis 1 Char"/>
    <w:rPr>
      <w:b/>
      <w:bCs/>
      <w:w w:val="100"/>
      <w:kern w:val="32"/>
      <w:position w:val="-1"/>
      <w:sz w:val="24"/>
      <w:szCs w:val="24"/>
      <w:effect w:val="none"/>
      <w:vertAlign w:val="baseline"/>
      <w:cs w:val="0"/>
      <w:em w:val="none"/>
      <w:lang w:val="sk-SK" w:eastAsia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Zkladntext1">
    <w:name w:val="Základní text1"/>
    <w:pPr>
      <w:suppressAutoHyphens/>
      <w:spacing w:after="24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Textpoznpodarou">
    <w:name w:val="Text pozn. pod čarou"/>
    <w:basedOn w:val="Normln"/>
    <w:rPr>
      <w:sz w:val="20"/>
      <w:szCs w:val="20"/>
    </w:rPr>
  </w:style>
  <w:style w:type="character" w:customStyle="1" w:styleId="TextpoznpodarouChar">
    <w:name w:val="Text pozn. pod čarou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Znakapoznpodarou">
    <w:name w:val="Značka pozn. pod čarou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Zpat">
    <w:name w:val="Zápatí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slostrnky">
    <w:name w:val="Číslo stránky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table" w:customStyle="1" w:styleId="Mkatabulky">
    <w:name w:val="Mřížka tabulky"/>
    <w:basedOn w:val="Normlntabulk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ev">
    <w:name w:val="Název"/>
    <w:basedOn w:val="Normln"/>
    <w:next w:val="Normln"/>
    <w:pPr>
      <w:keepNext/>
      <w:spacing w:before="100" w:beforeAutospacing="1" w:after="220"/>
      <w:jc w:val="center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rPr>
      <w:rFonts w:ascii="Arial Narrow" w:hAnsi="Arial Narrow" w:cs="Arial Narrow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sk-SK"/>
    </w:rPr>
  </w:style>
  <w:style w:type="paragraph" w:customStyle="1" w:styleId="TopHeader">
    <w:name w:val="Top Header"/>
    <w:basedOn w:val="Normln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Zhlav">
    <w:name w:val="Záhlaví"/>
    <w:basedOn w:val="Normln"/>
    <w:pPr>
      <w:tabs>
        <w:tab w:val="center" w:pos="4703"/>
        <w:tab w:val="right" w:pos="9406"/>
      </w:tabs>
    </w:pPr>
  </w:style>
  <w:style w:type="character" w:customStyle="1" w:styleId="ZhlavChar">
    <w:name w:val="Záhlaví Char"/>
    <w:rPr>
      <w:w w:val="100"/>
      <w:position w:val="-1"/>
      <w:sz w:val="24"/>
      <w:szCs w:val="24"/>
      <w:effect w:val="none"/>
      <w:vertAlign w:val="baseline"/>
      <w:cs w:val="0"/>
      <w:em w:val="none"/>
      <w:lang w:val="sk-SK" w:eastAsia="sk-SK"/>
    </w:rPr>
  </w:style>
  <w:style w:type="paragraph" w:customStyle="1" w:styleId="Zkladntext">
    <w:name w:val="Základní text"/>
    <w:basedOn w:val="Normln"/>
    <w:qFormat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table" w:customStyle="1" w:styleId="TableNormal0">
    <w:name w:val="Table Normal"/>
    <w:next w:val="Table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74B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74B5A"/>
  </w:style>
  <w:style w:type="paragraph" w:styleId="Pta">
    <w:name w:val="footer"/>
    <w:basedOn w:val="Normlny"/>
    <w:link w:val="PtaChar"/>
    <w:uiPriority w:val="99"/>
    <w:unhideWhenUsed/>
    <w:rsid w:val="00774B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74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b8WBccWcKV/QMoJl3zv2zNyKiw==">AMUW2mXe4HPu2mNiOfHVCBoS+sXn3ANWPKASz4M6h3ZN8texCPY3UH7sA4qYXT1KUvMX3fWes3HV5AfyxAv8P+wXlHakHmQPfji/Gxe7gXUHSoK2qIF4Y/4=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2975</Words>
  <Characters>16958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BAKER</cp:lastModifiedBy>
  <cp:revision>2</cp:revision>
  <dcterms:created xsi:type="dcterms:W3CDTF">2024-04-30T08:14:00Z</dcterms:created>
  <dcterms:modified xsi:type="dcterms:W3CDTF">2024-04-30T08:14:00Z</dcterms:modified>
</cp:coreProperties>
</file>