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015B0" w:rsidRDefault="001076C0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  <w:between w:val="nil"/>
        </w:pBdr>
        <w:spacing w:after="120"/>
        <w:jc w:val="center"/>
        <w:rPr>
          <w:rFonts w:ascii="Arial Narrow" w:eastAsia="Arial Narrow" w:hAnsi="Arial Narrow" w:cs="Arial Narrow"/>
          <w:color w:val="000000"/>
          <w:sz w:val="24"/>
          <w:szCs w:val="24"/>
        </w:rPr>
      </w:pPr>
      <w:r>
        <w:rPr>
          <w:rFonts w:ascii="Arial Narrow" w:eastAsia="Arial Narrow" w:hAnsi="Arial Narrow" w:cs="Arial Narrow"/>
          <w:b/>
          <w:color w:val="000000"/>
          <w:sz w:val="24"/>
          <w:szCs w:val="24"/>
        </w:rPr>
        <w:t>POZNÁMKY K ÚČTOVNEJ ÁVIERKE 20</w:t>
      </w:r>
      <w:r w:rsidR="009005CD">
        <w:rPr>
          <w:rFonts w:ascii="Arial Narrow" w:eastAsia="Arial Narrow" w:hAnsi="Arial Narrow" w:cs="Arial Narrow"/>
          <w:b/>
          <w:color w:val="000000"/>
          <w:sz w:val="24"/>
          <w:szCs w:val="24"/>
        </w:rPr>
        <w:t>2</w:t>
      </w:r>
      <w:r w:rsidR="00906696">
        <w:rPr>
          <w:rFonts w:ascii="Arial Narrow" w:eastAsia="Arial Narrow" w:hAnsi="Arial Narrow" w:cs="Arial Narrow"/>
          <w:b/>
          <w:color w:val="000000"/>
          <w:sz w:val="24"/>
          <w:szCs w:val="24"/>
        </w:rPr>
        <w:t>3</w:t>
      </w:r>
    </w:p>
    <w:p w:rsidR="00D015B0" w:rsidRDefault="001076C0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  <w:between w:val="nil"/>
        </w:pBdr>
        <w:jc w:val="center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zostavené podľa Opatrenia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č.MF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:rsidR="00D015B0" w:rsidRDefault="001076C0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  <w:between w:val="nil"/>
        </w:pBdr>
        <w:jc w:val="center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pre malé účtovné jednotky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</w:t>
      </w:r>
    </w:p>
    <w:p w:rsidR="00D015B0" w:rsidRDefault="001076C0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  <w:between w:val="nil"/>
        </w:pBdr>
        <w:jc w:val="center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v znení Opatrenia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č.MF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/19927/2015-74 (FS č.12/2015) a opatrenia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č.MF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>/14774/2017-74 (FS č.16/2017)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  <w:u w:val="single"/>
        </w:rPr>
        <w:t>Článok I – VŠEOBECNÉ INFORMÁCIE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1)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Základné informácie o účtovnej jednotke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>: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rPr>
          <w:rFonts w:ascii="Arial Narrow" w:eastAsia="Arial Narrow" w:hAnsi="Arial Narrow" w:cs="Arial Narrow"/>
          <w:color w:val="000000"/>
          <w:sz w:val="22"/>
          <w:szCs w:val="22"/>
        </w:rPr>
      </w:pPr>
    </w:p>
    <w:tbl>
      <w:tblPr>
        <w:tblStyle w:val="a"/>
        <w:tblW w:w="9605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2636"/>
        <w:gridCol w:w="6969"/>
      </w:tblGrid>
      <w:tr w:rsidR="00D015B0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Obchodné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meno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>:</w:t>
            </w:r>
          </w:p>
        </w:tc>
        <w:tc>
          <w:tcPr>
            <w:tcW w:w="6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</w:rPr>
              <w:t> </w:t>
            </w:r>
            <w:r w:rsidR="00774B5A">
              <w:rPr>
                <w:rFonts w:ascii="Arial Narrow" w:eastAsia="Arial Narrow" w:hAnsi="Arial Narrow" w:cs="Arial Narrow"/>
                <w:b/>
                <w:color w:val="000000"/>
              </w:rPr>
              <w:t xml:space="preserve">AGRITECH SLOVAKIA, </w:t>
            </w:r>
            <w:proofErr w:type="spellStart"/>
            <w:r w:rsidR="00774B5A">
              <w:rPr>
                <w:rFonts w:ascii="Arial Narrow" w:eastAsia="Arial Narrow" w:hAnsi="Arial Narrow" w:cs="Arial Narrow"/>
                <w:b/>
                <w:color w:val="000000"/>
              </w:rPr>
              <w:t>spol</w:t>
            </w:r>
            <w:proofErr w:type="spellEnd"/>
            <w:r w:rsidR="00774B5A">
              <w:rPr>
                <w:rFonts w:ascii="Arial Narrow" w:eastAsia="Arial Narrow" w:hAnsi="Arial Narrow" w:cs="Arial Narrow"/>
                <w:b/>
                <w:color w:val="000000"/>
              </w:rPr>
              <w:t xml:space="preserve">. </w:t>
            </w:r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r w:rsidR="00774B5A">
              <w:rPr>
                <w:rFonts w:ascii="Arial Narrow" w:eastAsia="Arial Narrow" w:hAnsi="Arial Narrow" w:cs="Arial Narrow"/>
                <w:b/>
                <w:color w:val="000000"/>
              </w:rPr>
              <w:t xml:space="preserve">s </w:t>
            </w:r>
            <w:proofErr w:type="spellStart"/>
            <w:r w:rsidR="00774B5A">
              <w:rPr>
                <w:rFonts w:ascii="Arial Narrow" w:eastAsia="Arial Narrow" w:hAnsi="Arial Narrow" w:cs="Arial Narrow"/>
                <w:b/>
                <w:color w:val="000000"/>
              </w:rPr>
              <w:t>r</w:t>
            </w:r>
            <w:r>
              <w:rPr>
                <w:rFonts w:ascii="Arial Narrow" w:eastAsia="Arial Narrow" w:hAnsi="Arial Narrow" w:cs="Arial Narrow"/>
                <w:b/>
                <w:color w:val="000000"/>
              </w:rPr>
              <w:t>.o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>.</w:t>
            </w:r>
          </w:p>
        </w:tc>
      </w:tr>
      <w:tr w:rsidR="00D015B0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Sídlo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>:</w:t>
            </w:r>
          </w:p>
        </w:tc>
        <w:tc>
          <w:tcPr>
            <w:tcW w:w="6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774B5A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 xml:space="preserve">07701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Kráľovslý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Chlmec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,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Dobranská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2197</w:t>
            </w:r>
          </w:p>
        </w:tc>
      </w:tr>
      <w:tr w:rsidR="00D015B0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Právna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forma:</w:t>
            </w:r>
          </w:p>
        </w:tc>
        <w:tc>
          <w:tcPr>
            <w:tcW w:w="6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Spoločnosť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s 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ručením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obmedzeným</w:t>
            </w:r>
            <w:proofErr w:type="spellEnd"/>
          </w:p>
        </w:tc>
      </w:tr>
      <w:tr w:rsidR="00D015B0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Dátum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vzniku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>:</w:t>
            </w:r>
          </w:p>
        </w:tc>
        <w:tc>
          <w:tcPr>
            <w:tcW w:w="69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Zápis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do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obchodného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registra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: </w:t>
            </w:r>
            <w:r w:rsidR="00774B5A">
              <w:rPr>
                <w:rFonts w:ascii="Arial Narrow" w:eastAsia="Arial Narrow" w:hAnsi="Arial Narrow" w:cs="Arial Narrow"/>
                <w:color w:val="000000"/>
              </w:rPr>
              <w:t>18</w:t>
            </w:r>
            <w:r>
              <w:rPr>
                <w:rFonts w:ascii="Arial Narrow" w:eastAsia="Arial Narrow" w:hAnsi="Arial Narrow" w:cs="Arial Narrow"/>
                <w:color w:val="000000"/>
              </w:rPr>
              <w:t xml:space="preserve">.7. </w:t>
            </w:r>
            <w:r w:rsidR="00774B5A">
              <w:rPr>
                <w:rFonts w:ascii="Arial Narrow" w:eastAsia="Arial Narrow" w:hAnsi="Arial Narrow" w:cs="Arial Narrow"/>
                <w:color w:val="000000"/>
              </w:rPr>
              <w:t>1996</w:t>
            </w:r>
            <w:r>
              <w:rPr>
                <w:rFonts w:ascii="Arial Narrow" w:eastAsia="Arial Narrow" w:hAnsi="Arial Narrow" w:cs="Arial Narrow"/>
                <w:color w:val="000000"/>
              </w:rPr>
              <w:t xml:space="preserve">. </w:t>
            </w:r>
          </w:p>
        </w:tc>
      </w:tr>
      <w:tr w:rsidR="00D015B0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Hlavný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predmet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podnikania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>:</w:t>
            </w:r>
          </w:p>
        </w:tc>
        <w:tc>
          <w:tcPr>
            <w:tcW w:w="69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D015B0" w:rsidRDefault="00774B5A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Výroba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kovových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konštrukcií</w:t>
            </w:r>
            <w:proofErr w:type="spellEnd"/>
          </w:p>
        </w:tc>
      </w:tr>
      <w:tr w:rsidR="00D015B0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Subjekt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verejného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záujmu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>:</w:t>
            </w:r>
          </w:p>
        </w:tc>
        <w:tc>
          <w:tcPr>
            <w:tcW w:w="69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Spoločnosť</w:t>
            </w:r>
            <w:proofErr w:type="spellEnd"/>
            <w:r w:rsidR="00774B5A">
              <w:rPr>
                <w:rFonts w:ascii="Arial Narrow" w:eastAsia="Arial Narrow" w:hAnsi="Arial Narrow" w:cs="Arial Narrow"/>
                <w:color w:val="000000"/>
              </w:rPr>
              <w:t xml:space="preserve"> AGRITECH SLOVAKIA </w:t>
            </w:r>
            <w:proofErr w:type="spellStart"/>
            <w:r w:rsidR="00774B5A">
              <w:rPr>
                <w:rFonts w:ascii="Arial Narrow" w:eastAsia="Arial Narrow" w:hAnsi="Arial Narrow" w:cs="Arial Narrow"/>
                <w:color w:val="000000"/>
              </w:rPr>
              <w:t>spol</w:t>
            </w:r>
            <w:proofErr w:type="spellEnd"/>
            <w:r w:rsidR="00774B5A">
              <w:rPr>
                <w:rFonts w:ascii="Arial Narrow" w:eastAsia="Arial Narrow" w:hAnsi="Arial Narrow" w:cs="Arial Narrow"/>
                <w:color w:val="000000"/>
              </w:rPr>
              <w:t>.</w:t>
            </w:r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s.r.o.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nie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je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subjektom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verejného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záujmu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(§ 2/14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ZoU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>).</w:t>
            </w:r>
          </w:p>
        </w:tc>
      </w:tr>
      <w:tr w:rsidR="00D015B0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Účtovné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obdobie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>:</w:t>
            </w:r>
          </w:p>
        </w:tc>
        <w:tc>
          <w:tcPr>
            <w:tcW w:w="696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Kalendárny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rok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20</w:t>
            </w:r>
            <w:r w:rsidR="00774B5A">
              <w:rPr>
                <w:rFonts w:ascii="Arial Narrow" w:eastAsia="Arial Narrow" w:hAnsi="Arial Narrow" w:cs="Arial Narrow"/>
                <w:color w:val="000000"/>
              </w:rPr>
              <w:t>2</w:t>
            </w:r>
            <w:r w:rsidR="00906696">
              <w:rPr>
                <w:rFonts w:ascii="Arial Narrow" w:eastAsia="Arial Narrow" w:hAnsi="Arial Narrow" w:cs="Arial Narrow"/>
                <w:color w:val="000000"/>
              </w:rPr>
              <w:t>3</w:t>
            </w:r>
          </w:p>
        </w:tc>
      </w:tr>
    </w:tbl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ind w:right="-425"/>
        <w:jc w:val="both"/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ZoU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)</w:t>
      </w: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tbl>
      <w:tblPr>
        <w:tblStyle w:val="a0"/>
        <w:tblW w:w="9568" w:type="dxa"/>
        <w:tblInd w:w="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76"/>
      </w:tblGrid>
      <w:tr w:rsidR="00D015B0">
        <w:tc>
          <w:tcPr>
            <w:tcW w:w="2197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Názov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položky</w:t>
            </w:r>
            <w:proofErr w:type="spellEnd"/>
          </w:p>
        </w:tc>
        <w:tc>
          <w:tcPr>
            <w:tcW w:w="2835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Bežné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účtovné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obdobie</w:t>
            </w:r>
            <w:proofErr w:type="spellEnd"/>
          </w:p>
        </w:tc>
        <w:tc>
          <w:tcPr>
            <w:tcW w:w="3260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Bezprostredne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predchádzajúce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účtovné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obdobie</w:t>
            </w:r>
            <w:proofErr w:type="spellEnd"/>
          </w:p>
        </w:tc>
        <w:tc>
          <w:tcPr>
            <w:tcW w:w="1276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Áno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>/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Nie</w:t>
            </w:r>
            <w:proofErr w:type="spellEnd"/>
          </w:p>
        </w:tc>
      </w:tr>
      <w:tr w:rsidR="00D015B0">
        <w:tc>
          <w:tcPr>
            <w:tcW w:w="2197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Netto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aktíva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celkom</w:t>
            </w:r>
            <w:proofErr w:type="spellEnd"/>
          </w:p>
        </w:tc>
        <w:tc>
          <w:tcPr>
            <w:tcW w:w="2835" w:type="dxa"/>
          </w:tcPr>
          <w:p w:rsidR="00D015B0" w:rsidRDefault="007E5C1B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1</w:t>
            </w:r>
            <w:r w:rsidR="004401C9">
              <w:rPr>
                <w:rFonts w:ascii="Arial Narrow" w:eastAsia="Arial Narrow" w:hAnsi="Arial Narrow" w:cs="Arial Narrow"/>
                <w:color w:val="000000"/>
              </w:rPr>
              <w:t>173634</w:t>
            </w:r>
          </w:p>
        </w:tc>
        <w:tc>
          <w:tcPr>
            <w:tcW w:w="3260" w:type="dxa"/>
          </w:tcPr>
          <w:p w:rsidR="00D015B0" w:rsidRDefault="004401C9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1003457</w:t>
            </w:r>
          </w:p>
        </w:tc>
        <w:tc>
          <w:tcPr>
            <w:tcW w:w="1276" w:type="dxa"/>
          </w:tcPr>
          <w:p w:rsidR="00D015B0" w:rsidRDefault="00774B5A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áno</w:t>
            </w:r>
            <w:proofErr w:type="spellEnd"/>
          </w:p>
        </w:tc>
      </w:tr>
      <w:tr w:rsidR="00D015B0">
        <w:tc>
          <w:tcPr>
            <w:tcW w:w="2197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Čistý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obrat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celkom</w:t>
            </w:r>
            <w:proofErr w:type="spellEnd"/>
          </w:p>
        </w:tc>
        <w:tc>
          <w:tcPr>
            <w:tcW w:w="2835" w:type="dxa"/>
          </w:tcPr>
          <w:p w:rsidR="00D015B0" w:rsidRDefault="008F5D1F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1</w:t>
            </w:r>
            <w:r w:rsidR="004401C9">
              <w:rPr>
                <w:rFonts w:ascii="Arial Narrow" w:eastAsia="Arial Narrow" w:hAnsi="Arial Narrow" w:cs="Arial Narrow"/>
                <w:color w:val="000000"/>
              </w:rPr>
              <w:t>477688</w:t>
            </w:r>
          </w:p>
        </w:tc>
        <w:tc>
          <w:tcPr>
            <w:tcW w:w="3260" w:type="dxa"/>
          </w:tcPr>
          <w:p w:rsidR="00D015B0" w:rsidRDefault="007E5C1B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10</w:t>
            </w:r>
            <w:r w:rsidR="004401C9">
              <w:rPr>
                <w:rFonts w:ascii="Arial Narrow" w:eastAsia="Arial Narrow" w:hAnsi="Arial Narrow" w:cs="Arial Narrow"/>
                <w:color w:val="000000"/>
              </w:rPr>
              <w:t>82537</w:t>
            </w:r>
          </w:p>
        </w:tc>
        <w:tc>
          <w:tcPr>
            <w:tcW w:w="1276" w:type="dxa"/>
          </w:tcPr>
          <w:p w:rsidR="00D015B0" w:rsidRDefault="00F253BA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áno</w:t>
            </w:r>
            <w:proofErr w:type="spellEnd"/>
          </w:p>
        </w:tc>
      </w:tr>
      <w:tr w:rsidR="00D015B0">
        <w:tc>
          <w:tcPr>
            <w:tcW w:w="2197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Počet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zamestnancov</w:t>
            </w:r>
            <w:proofErr w:type="spellEnd"/>
          </w:p>
        </w:tc>
        <w:tc>
          <w:tcPr>
            <w:tcW w:w="2835" w:type="dxa"/>
          </w:tcPr>
          <w:p w:rsidR="00D015B0" w:rsidRDefault="00FF726D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14</w:t>
            </w:r>
          </w:p>
        </w:tc>
        <w:tc>
          <w:tcPr>
            <w:tcW w:w="3260" w:type="dxa"/>
          </w:tcPr>
          <w:p w:rsidR="00D015B0" w:rsidRDefault="007E5C1B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18</w:t>
            </w:r>
          </w:p>
        </w:tc>
        <w:tc>
          <w:tcPr>
            <w:tcW w:w="1276" w:type="dxa"/>
          </w:tcPr>
          <w:p w:rsidR="00D015B0" w:rsidRDefault="00F253BA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áno</w:t>
            </w:r>
            <w:proofErr w:type="spellEnd"/>
          </w:p>
        </w:tc>
      </w:tr>
    </w:tbl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Komentár: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 xml:space="preserve">malá účtovná jednotka, 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č.MF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>/23378/2014-74 v znení neskorších predpisov).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2) 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Dátum schválenia účtovnej závierky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za bezprostredne predchádzajúce účtovné obdobie príslušným orgánom účtovnej jednotky:</w:t>
      </w:r>
      <w:r w:rsidR="00532C20">
        <w:rPr>
          <w:rFonts w:ascii="Arial Narrow" w:eastAsia="Arial Narrow" w:hAnsi="Arial Narrow" w:cs="Arial Narrow"/>
          <w:color w:val="000000"/>
          <w:sz w:val="22"/>
          <w:szCs w:val="22"/>
        </w:rPr>
        <w:t>23</w:t>
      </w:r>
      <w:r w:rsidR="00F253BA">
        <w:rPr>
          <w:rFonts w:ascii="Arial Narrow" w:eastAsia="Arial Narrow" w:hAnsi="Arial Narrow" w:cs="Arial Narrow"/>
          <w:color w:val="000000"/>
          <w:sz w:val="22"/>
          <w:szCs w:val="22"/>
        </w:rPr>
        <w:t>.</w:t>
      </w:r>
      <w:r w:rsidR="00895FEF">
        <w:rPr>
          <w:rFonts w:ascii="Arial Narrow" w:eastAsia="Arial Narrow" w:hAnsi="Arial Narrow" w:cs="Arial Narrow"/>
          <w:color w:val="000000"/>
          <w:sz w:val="22"/>
          <w:szCs w:val="22"/>
        </w:rPr>
        <w:t>06</w:t>
      </w:r>
      <w:r w:rsidR="00F253BA">
        <w:rPr>
          <w:rFonts w:ascii="Arial Narrow" w:eastAsia="Arial Narrow" w:hAnsi="Arial Narrow" w:cs="Arial Narrow"/>
          <w:color w:val="000000"/>
          <w:sz w:val="22"/>
          <w:szCs w:val="22"/>
        </w:rPr>
        <w:t>.202</w:t>
      </w:r>
      <w:r w:rsidR="00532C20">
        <w:rPr>
          <w:rFonts w:ascii="Arial Narrow" w:eastAsia="Arial Narrow" w:hAnsi="Arial Narrow" w:cs="Arial Narrow"/>
          <w:color w:val="000000"/>
          <w:sz w:val="22"/>
          <w:szCs w:val="22"/>
        </w:rPr>
        <w:t>3</w:t>
      </w: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spacing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</w:t>
      </w: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ind w:right="-468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3) 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Právny dôvod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na zostavenie účtovnej závierky:</w:t>
      </w:r>
      <w:r w:rsidR="00F253BA"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Riadna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spacing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4)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Údaje o skupine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účtovných jednotiek v súvislosti 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s konsolidáciou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>:</w:t>
      </w:r>
      <w:r w:rsidR="00F253BA"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nie je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a) Obchodné meno a sídlo účtovnej jednotky, ktorá zostavuje 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konsolidovanú účtovnú závierku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za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najväčšiu skupinu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>, ktorej súčasťou je účtovná jednotka ako dcérska účtovná jednotka (najvyšší stupeň konsolidácie):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b) Obchodné meno a sídlo účtovnej jednotky, ktorá zostavuje 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konsolidovanú účtovnú závierku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za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najmenšiu skupinu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c) Adresa, kde sa môže vyžiadať kópia vyššie uvedených 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konsolidovaných účtovných závierok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>: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spacing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spacing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lastRenderedPageBreak/>
        <w:t xml:space="preserve">d) Údaj, či účtovná jednotka je materskou účtovnou jednotkou a údaj, či je oslobodená od povinnosti zostaviť 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konsolidovanú účtovnú závierku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a konsolidovanú výročnú správu podľa § 22 zákona o účtovníctve, pričom sa uvádzajú:</w:t>
      </w: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1. pri oslobodení podľa § 22 ods. 8 zákona o účtovníctve obchodné meno a sídlo materskej účtovnej jednotky zostavujúcej 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konsolidovanú účtovnú závierku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podľa osobitných predpisov (IFRS/EÚ):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spacing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spacing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5)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>:</w:t>
      </w:r>
    </w:p>
    <w:tbl>
      <w:tblPr>
        <w:tblStyle w:val="a1"/>
        <w:tblW w:w="9747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D015B0">
        <w:trPr>
          <w:trHeight w:val="537"/>
        </w:trPr>
        <w:tc>
          <w:tcPr>
            <w:tcW w:w="4857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right="459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Názov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položky</w:t>
            </w:r>
            <w:proofErr w:type="spellEnd"/>
          </w:p>
        </w:tc>
        <w:tc>
          <w:tcPr>
            <w:tcW w:w="2523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Bežné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účtovné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obdobie</w:t>
            </w:r>
            <w:proofErr w:type="spellEnd"/>
          </w:p>
        </w:tc>
        <w:tc>
          <w:tcPr>
            <w:tcW w:w="2367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Bezprostredne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predchádzajúce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účtovné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obdobie</w:t>
            </w:r>
            <w:proofErr w:type="spellEnd"/>
          </w:p>
        </w:tc>
      </w:tr>
      <w:tr w:rsidR="00D015B0">
        <w:trPr>
          <w:trHeight w:val="163"/>
        </w:trPr>
        <w:tc>
          <w:tcPr>
            <w:tcW w:w="4857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Priemerný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prepočítaný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počet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počas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účtovného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obdobia</w:t>
            </w:r>
            <w:proofErr w:type="spellEnd"/>
          </w:p>
        </w:tc>
        <w:tc>
          <w:tcPr>
            <w:tcW w:w="2523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 </w:t>
            </w:r>
            <w:r w:rsidR="00532C20">
              <w:rPr>
                <w:rFonts w:ascii="Arial Narrow" w:eastAsia="Arial Narrow" w:hAnsi="Arial Narrow" w:cs="Arial Narrow"/>
                <w:color w:val="000000"/>
              </w:rPr>
              <w:t>14</w:t>
            </w:r>
            <w:bookmarkStart w:id="0" w:name="_GoBack"/>
            <w:bookmarkEnd w:id="0"/>
          </w:p>
        </w:tc>
        <w:tc>
          <w:tcPr>
            <w:tcW w:w="2367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 </w:t>
            </w:r>
            <w:r w:rsidR="00F253BA">
              <w:rPr>
                <w:rFonts w:ascii="Arial Narrow" w:eastAsia="Arial Narrow" w:hAnsi="Arial Narrow" w:cs="Arial Narrow"/>
                <w:color w:val="000000"/>
              </w:rPr>
              <w:t>1</w:t>
            </w:r>
            <w:r w:rsidR="00900DD9">
              <w:rPr>
                <w:rFonts w:ascii="Arial Narrow" w:eastAsia="Arial Narrow" w:hAnsi="Arial Narrow" w:cs="Arial Narrow"/>
                <w:color w:val="000000"/>
              </w:rPr>
              <w:t>8</w:t>
            </w:r>
          </w:p>
        </w:tc>
      </w:tr>
    </w:tbl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ind w:left="928" w:right="-468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ind w:right="-468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ind w:right="-468"/>
        <w:jc w:val="center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Článok II – INFORMÁCIE O ORGÁNOCH SPOLOČNOSTI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ind w:right="-468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spacing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  <w:u w:val="single"/>
        </w:rPr>
        <w:t>Informácie o orgánoch účtovnej jednotky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2"/>
        <w:tblW w:w="9714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01"/>
      </w:tblGrid>
      <w:tr w:rsidR="00D015B0">
        <w:trPr>
          <w:trHeight w:val="780"/>
          <w:jc w:val="center"/>
        </w:trPr>
        <w:tc>
          <w:tcPr>
            <w:tcW w:w="6312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b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Orgány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účtovnej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jednotky</w:t>
            </w:r>
            <w:proofErr w:type="spellEnd"/>
          </w:p>
        </w:tc>
        <w:tc>
          <w:tcPr>
            <w:tcW w:w="1701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b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Bežné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účtovné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obdobie</w:t>
            </w:r>
            <w:proofErr w:type="spellEnd"/>
          </w:p>
        </w:tc>
        <w:tc>
          <w:tcPr>
            <w:tcW w:w="1701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b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Bezprostredne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predchádzajúce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účtovné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obdobie</w:t>
            </w:r>
            <w:proofErr w:type="spellEnd"/>
          </w:p>
        </w:tc>
      </w:tr>
      <w:tr w:rsidR="00D015B0">
        <w:trPr>
          <w:trHeight w:val="267"/>
          <w:jc w:val="center"/>
        </w:trPr>
        <w:tc>
          <w:tcPr>
            <w:tcW w:w="6312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Štatutárny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orgán</w:t>
            </w:r>
            <w:proofErr w:type="spellEnd"/>
          </w:p>
        </w:tc>
        <w:tc>
          <w:tcPr>
            <w:tcW w:w="1701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 </w:t>
            </w:r>
          </w:p>
        </w:tc>
        <w:tc>
          <w:tcPr>
            <w:tcW w:w="1701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 </w:t>
            </w:r>
          </w:p>
        </w:tc>
      </w:tr>
      <w:tr w:rsidR="00D015B0">
        <w:trPr>
          <w:trHeight w:val="144"/>
          <w:jc w:val="center"/>
        </w:trPr>
        <w:tc>
          <w:tcPr>
            <w:tcW w:w="6312" w:type="dxa"/>
            <w:vAlign w:val="center"/>
          </w:tcPr>
          <w:p w:rsidR="00D015B0" w:rsidRDefault="001076C0">
            <w:pPr>
              <w:widowControl/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druh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príjmu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(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výhody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>):</w:t>
            </w:r>
          </w:p>
        </w:tc>
        <w:tc>
          <w:tcPr>
            <w:tcW w:w="1701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 </w:t>
            </w:r>
            <w:proofErr w:type="spellStart"/>
            <w:r w:rsidR="00F253BA">
              <w:rPr>
                <w:rFonts w:ascii="Arial Narrow" w:eastAsia="Arial Narrow" w:hAnsi="Arial Narrow" w:cs="Arial Narrow"/>
                <w:color w:val="000000"/>
              </w:rPr>
              <w:t>žiadne</w:t>
            </w:r>
            <w:proofErr w:type="spellEnd"/>
          </w:p>
        </w:tc>
        <w:tc>
          <w:tcPr>
            <w:tcW w:w="1701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 </w:t>
            </w:r>
            <w:proofErr w:type="spellStart"/>
            <w:r w:rsidR="00F253BA">
              <w:rPr>
                <w:rFonts w:ascii="Arial Narrow" w:eastAsia="Arial Narrow" w:hAnsi="Arial Narrow" w:cs="Arial Narrow"/>
                <w:color w:val="000000"/>
              </w:rPr>
              <w:t>žiadne</w:t>
            </w:r>
            <w:proofErr w:type="spellEnd"/>
          </w:p>
        </w:tc>
      </w:tr>
      <w:tr w:rsidR="00D015B0">
        <w:trPr>
          <w:trHeight w:val="161"/>
          <w:jc w:val="center"/>
        </w:trPr>
        <w:tc>
          <w:tcPr>
            <w:tcW w:w="6312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Dozorný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orgán</w:t>
            </w:r>
            <w:proofErr w:type="spellEnd"/>
          </w:p>
        </w:tc>
        <w:tc>
          <w:tcPr>
            <w:tcW w:w="1701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 </w:t>
            </w:r>
          </w:p>
        </w:tc>
        <w:tc>
          <w:tcPr>
            <w:tcW w:w="1701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 </w:t>
            </w:r>
          </w:p>
        </w:tc>
      </w:tr>
      <w:tr w:rsidR="00D015B0">
        <w:trPr>
          <w:trHeight w:val="161"/>
          <w:jc w:val="center"/>
        </w:trPr>
        <w:tc>
          <w:tcPr>
            <w:tcW w:w="6312" w:type="dxa"/>
            <w:vAlign w:val="center"/>
          </w:tcPr>
          <w:p w:rsidR="00D015B0" w:rsidRDefault="001076C0">
            <w:pPr>
              <w:widowControl/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druh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príjmu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(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výhody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>):</w:t>
            </w:r>
          </w:p>
        </w:tc>
        <w:tc>
          <w:tcPr>
            <w:tcW w:w="1701" w:type="dxa"/>
            <w:vAlign w:val="center"/>
          </w:tcPr>
          <w:p w:rsidR="00D015B0" w:rsidRDefault="00F253BA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Žiadne</w:t>
            </w:r>
            <w:proofErr w:type="spellEnd"/>
          </w:p>
        </w:tc>
        <w:tc>
          <w:tcPr>
            <w:tcW w:w="1701" w:type="dxa"/>
            <w:vAlign w:val="center"/>
          </w:tcPr>
          <w:p w:rsidR="00D015B0" w:rsidRDefault="00F253BA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Žiadne</w:t>
            </w:r>
            <w:proofErr w:type="spellEnd"/>
          </w:p>
        </w:tc>
      </w:tr>
      <w:tr w:rsidR="00D015B0">
        <w:trPr>
          <w:trHeight w:val="161"/>
          <w:jc w:val="center"/>
        </w:trPr>
        <w:tc>
          <w:tcPr>
            <w:tcW w:w="6312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Iný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orgán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účtovnej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jednotky</w:t>
            </w:r>
            <w:proofErr w:type="spellEnd"/>
          </w:p>
        </w:tc>
        <w:tc>
          <w:tcPr>
            <w:tcW w:w="1701" w:type="dxa"/>
            <w:vAlign w:val="center"/>
          </w:tcPr>
          <w:p w:rsidR="00D015B0" w:rsidRDefault="00D015B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</w:p>
        </w:tc>
        <w:tc>
          <w:tcPr>
            <w:tcW w:w="1701" w:type="dxa"/>
            <w:vAlign w:val="center"/>
          </w:tcPr>
          <w:p w:rsidR="00D015B0" w:rsidRDefault="00D015B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</w:p>
        </w:tc>
      </w:tr>
      <w:tr w:rsidR="00D015B0">
        <w:trPr>
          <w:trHeight w:val="161"/>
          <w:jc w:val="center"/>
        </w:trPr>
        <w:tc>
          <w:tcPr>
            <w:tcW w:w="6312" w:type="dxa"/>
            <w:vAlign w:val="center"/>
          </w:tcPr>
          <w:p w:rsidR="00D015B0" w:rsidRDefault="001076C0">
            <w:pPr>
              <w:widowControl/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druh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príjmu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(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výhody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>):</w:t>
            </w:r>
          </w:p>
        </w:tc>
        <w:tc>
          <w:tcPr>
            <w:tcW w:w="1701" w:type="dxa"/>
            <w:vAlign w:val="center"/>
          </w:tcPr>
          <w:p w:rsidR="00D015B0" w:rsidRDefault="00F253BA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žiadne</w:t>
            </w:r>
            <w:proofErr w:type="spellEnd"/>
          </w:p>
        </w:tc>
        <w:tc>
          <w:tcPr>
            <w:tcW w:w="1701" w:type="dxa"/>
            <w:vAlign w:val="center"/>
          </w:tcPr>
          <w:p w:rsidR="00D015B0" w:rsidRDefault="00F253BA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žiadne</w:t>
            </w:r>
            <w:proofErr w:type="spellEnd"/>
          </w:p>
        </w:tc>
      </w:tr>
    </w:tbl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ind w:right="-468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ind w:right="-468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ind w:right="-141"/>
        <w:jc w:val="center"/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  <w:u w:val="single"/>
        </w:rPr>
        <w:t>Článok III – INFORMÁCIE O PRIJATÝCH POSTUPOCH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ind w:right="-141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ind w:right="-141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</w:t>
      </w: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ind w:right="-141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</w:t>
      </w:r>
    </w:p>
    <w:p w:rsidR="00D015B0" w:rsidRDefault="00F253BA">
      <w:pPr>
        <w:pBdr>
          <w:top w:val="nil"/>
          <w:left w:val="nil"/>
          <w:bottom w:val="nil"/>
          <w:right w:val="nil"/>
          <w:between w:val="nil"/>
        </w:pBdr>
        <w:ind w:right="-141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                                                                Áno</w:t>
      </w:r>
    </w:p>
    <w:p w:rsidR="00F253BA" w:rsidRDefault="00F253BA">
      <w:pPr>
        <w:pBdr>
          <w:top w:val="nil"/>
          <w:left w:val="nil"/>
          <w:bottom w:val="nil"/>
          <w:right w:val="nil"/>
          <w:between w:val="nil"/>
        </w:pBdr>
        <w:ind w:right="-141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ind w:right="-141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o zmenách účtovných zásad a zmenách účtovných metód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, a to s uvedením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dôvodu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ich uplatnenia a ich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vplyvu na hodnotu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D015B0" w:rsidRDefault="00F253BA">
      <w:pPr>
        <w:pBdr>
          <w:top w:val="nil"/>
          <w:left w:val="nil"/>
          <w:bottom w:val="nil"/>
          <w:right w:val="nil"/>
          <w:between w:val="nil"/>
        </w:pBdr>
        <w:ind w:right="-141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                                                                 Nie</w:t>
      </w:r>
    </w:p>
    <w:p w:rsidR="00F253BA" w:rsidRDefault="00F253BA">
      <w:pPr>
        <w:pBdr>
          <w:top w:val="nil"/>
          <w:left w:val="nil"/>
          <w:bottom w:val="nil"/>
          <w:right w:val="nil"/>
          <w:between w:val="nil"/>
        </w:pBdr>
        <w:ind w:right="-141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ind w:right="-141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3) Informácie o charaktere a účele 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transakcií, ktoré sa neuvádzajú v súvahe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riziká alebo prínosy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lastRenderedPageBreak/>
        <w:t xml:space="preserve">časovo limitované licencie a oprávnenia, podnikové kombinácie, záväzky investovať, dopad legislatívy, celkový pokles v hospodárskom segmente): </w:t>
      </w:r>
      <w:r w:rsidR="00F253BA">
        <w:rPr>
          <w:rFonts w:ascii="Arial Narrow" w:eastAsia="Arial Narrow" w:hAnsi="Arial Narrow" w:cs="Arial Narrow"/>
          <w:color w:val="000000"/>
          <w:sz w:val="22"/>
          <w:szCs w:val="22"/>
        </w:rPr>
        <w:t>žiadne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  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ind w:right="-141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spacing w:after="120"/>
        <w:ind w:right="-141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4) 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Spôsob a určenie oceňovania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majetku a záväzkov (vrátane rozhodujúcich odhadov):</w:t>
      </w: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ind w:right="-141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ZoU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>):</w:t>
      </w:r>
    </w:p>
    <w:p w:rsidR="00D015B0" w:rsidRDefault="00D015B0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808"/>
        </w:tabs>
        <w:jc w:val="both"/>
        <w:rPr>
          <w:rFonts w:ascii="Arial" w:eastAsia="Arial" w:hAnsi="Arial" w:cs="Arial"/>
          <w:color w:val="000000"/>
          <w:sz w:val="22"/>
          <w:szCs w:val="22"/>
        </w:rPr>
      </w:pPr>
    </w:p>
    <w:tbl>
      <w:tblPr>
        <w:tblStyle w:val="a3"/>
        <w:tblW w:w="9606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D015B0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Názov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položky</w:t>
            </w:r>
            <w:proofErr w:type="spellEnd"/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Spôsob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oceňovania</w:t>
            </w:r>
            <w:proofErr w:type="spellEnd"/>
          </w:p>
        </w:tc>
      </w:tr>
      <w:tr w:rsidR="00D015B0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Dlhodobý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nehmotný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majetok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externe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kúpený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>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Obstarávacia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cena</w:t>
            </w:r>
            <w:proofErr w:type="spellEnd"/>
          </w:p>
        </w:tc>
      </w:tr>
      <w:tr w:rsidR="00D015B0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Dlhodobý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nehmotný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majetok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interne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vytvorený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>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D015B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</w:p>
        </w:tc>
      </w:tr>
      <w:tr w:rsidR="00D015B0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Dlhodobý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nehmotný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majetok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obstaraný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inak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(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darom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>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D015B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</w:p>
        </w:tc>
      </w:tr>
      <w:tr w:rsidR="00D015B0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Dlhodobý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hmotný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majetok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externe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kúpený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Obstarávacia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cena</w:t>
            </w:r>
            <w:proofErr w:type="spellEnd"/>
          </w:p>
        </w:tc>
      </w:tr>
      <w:tr w:rsidR="00D015B0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Dlhodobý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hmotný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majetok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interne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vytvorený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>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D015B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</w:p>
        </w:tc>
      </w:tr>
      <w:tr w:rsidR="00D015B0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Dlhodobý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nehmotný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majetok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obstaraný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inak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(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darom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>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D015B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</w:p>
        </w:tc>
      </w:tr>
      <w:tr w:rsidR="00D015B0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Dlhodobý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finančný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majetok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Obstarávacia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cena</w:t>
            </w:r>
            <w:proofErr w:type="spellEnd"/>
          </w:p>
        </w:tc>
      </w:tr>
      <w:tr w:rsidR="00D015B0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Zásoby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obstarané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kúpou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>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Obstarávacia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cena</w:t>
            </w:r>
            <w:proofErr w:type="spellEnd"/>
          </w:p>
        </w:tc>
      </w:tr>
      <w:tr w:rsidR="00D015B0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Zásoby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vytvorené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vlastnou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činnosťou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>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Vlastné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náklady</w:t>
            </w:r>
            <w:proofErr w:type="spellEnd"/>
          </w:p>
        </w:tc>
      </w:tr>
      <w:tr w:rsidR="00D015B0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Zásoby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obstarané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inak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(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darom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>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D015B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</w:p>
        </w:tc>
      </w:tr>
      <w:tr w:rsidR="00D015B0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 xml:space="preserve">ZV a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zákazková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výstavba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nehnuteľnosti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určenej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na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predaj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>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D015B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</w:p>
        </w:tc>
      </w:tr>
      <w:tr w:rsidR="00D015B0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Vlastné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pohľadávky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>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Menovitá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hodnota</w:t>
            </w:r>
            <w:proofErr w:type="spellEnd"/>
          </w:p>
        </w:tc>
      </w:tr>
      <w:tr w:rsidR="00D015B0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Kúpené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pohľadávky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>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D015B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</w:p>
        </w:tc>
      </w:tr>
      <w:tr w:rsidR="00D015B0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Krátkodobý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finančný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majetok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>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Obstarávacia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cena</w:t>
            </w:r>
            <w:proofErr w:type="spellEnd"/>
          </w:p>
        </w:tc>
      </w:tr>
      <w:tr w:rsidR="00D015B0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Časové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rozlíšenie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na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strane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aktív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súvahy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>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Menovitá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hodnota</w:t>
            </w:r>
            <w:proofErr w:type="spellEnd"/>
          </w:p>
        </w:tc>
      </w:tr>
      <w:tr w:rsidR="00D015B0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Záväzky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,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vrátane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rezerv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,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dlhopisov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,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pôžičiek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a 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úverov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>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Menovitá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hodnota</w:t>
            </w:r>
            <w:proofErr w:type="spellEnd"/>
          </w:p>
        </w:tc>
      </w:tr>
      <w:tr w:rsidR="00D015B0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Časové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rozlíšenie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na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strane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pasív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súvahy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>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Menovitá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hodnota</w:t>
            </w:r>
            <w:proofErr w:type="spellEnd"/>
          </w:p>
        </w:tc>
      </w:tr>
      <w:tr w:rsidR="00D015B0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Deriváty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>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D015B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</w:p>
        </w:tc>
      </w:tr>
      <w:tr w:rsidR="00D015B0">
        <w:tc>
          <w:tcPr>
            <w:tcW w:w="706" w:type="dxa"/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18.</w:t>
            </w:r>
          </w:p>
        </w:tc>
        <w:tc>
          <w:tcPr>
            <w:tcW w:w="5300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Majetok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a 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záväzky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zabezpečené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derivátmi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: </w:t>
            </w:r>
          </w:p>
        </w:tc>
        <w:tc>
          <w:tcPr>
            <w:tcW w:w="3600" w:type="dxa"/>
          </w:tcPr>
          <w:p w:rsidR="00D015B0" w:rsidRDefault="00D015B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</w:p>
        </w:tc>
      </w:tr>
      <w:tr w:rsidR="00D015B0">
        <w:tc>
          <w:tcPr>
            <w:tcW w:w="706" w:type="dxa"/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19.</w:t>
            </w:r>
          </w:p>
        </w:tc>
        <w:tc>
          <w:tcPr>
            <w:tcW w:w="5300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Prenajatý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majetok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a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majetok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obstaraný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na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základe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zmluvy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o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kúpe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prenajatej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veci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>:</w:t>
            </w:r>
          </w:p>
        </w:tc>
        <w:tc>
          <w:tcPr>
            <w:tcW w:w="3600" w:type="dxa"/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Obstarávacia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cena</w:t>
            </w:r>
            <w:proofErr w:type="spellEnd"/>
          </w:p>
        </w:tc>
      </w:tr>
      <w:tr w:rsidR="00D015B0">
        <w:tc>
          <w:tcPr>
            <w:tcW w:w="706" w:type="dxa"/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20.</w:t>
            </w:r>
          </w:p>
        </w:tc>
        <w:tc>
          <w:tcPr>
            <w:tcW w:w="5300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Splatná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daň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z 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príjmov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gramStart"/>
            <w:r>
              <w:rPr>
                <w:rFonts w:ascii="Arial Narrow" w:eastAsia="Arial Narrow" w:hAnsi="Arial Narrow" w:cs="Arial Narrow"/>
                <w:color w:val="000000"/>
              </w:rPr>
              <w:t>a</w:t>
            </w:r>
            <w:proofErr w:type="gram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odložená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daň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z 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príjmov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>:</w:t>
            </w:r>
          </w:p>
        </w:tc>
        <w:tc>
          <w:tcPr>
            <w:tcW w:w="3600" w:type="dxa"/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Menovitá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hodnota</w:t>
            </w:r>
            <w:proofErr w:type="spellEnd"/>
          </w:p>
        </w:tc>
      </w:tr>
    </w:tbl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spacing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spacing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spacing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d) Určenie ocenenia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finančných nástrojov alebo majetku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, ktorý nie je finančným nástrojom pri oceňovaní 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reálnou hodnotou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>:</w:t>
      </w: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spacing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e) Určenie ocenenia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finančných nástrojov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pri oceňovaní obstarávacou cenou alebo vlastnými nákladmi:</w:t>
      </w: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spacing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Komentár k oceňovaniu majetku a záväzkov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: </w:t>
      </w:r>
    </w:p>
    <w:p w:rsidR="00D015B0" w:rsidRDefault="001076C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120"/>
        <w:ind w:left="227" w:hanging="227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Finančné nástroje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definuje § 5 zákona č.566/2001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Z.z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futures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>, swapy, forwardy), nástroje peňažného trhu (pokladničné poukážky, vkladové listy).</w:t>
      </w:r>
    </w:p>
    <w:p w:rsidR="00D015B0" w:rsidRDefault="001076C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120"/>
        <w:ind w:left="227" w:hanging="227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Opravné položky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:rsidR="00D015B0" w:rsidRDefault="001076C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120"/>
        <w:ind w:left="227" w:hanging="227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Opravnú položku k dlhodobej pohľadávke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a opravnú položku k dlhodobej pôžičke UJ stanovila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 xml:space="preserve">metódu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odúročenia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 xml:space="preserve"> na súčasnú hodnotu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(§ 18/8 PU; § 21/6 PU).</w:t>
      </w:r>
    </w:p>
    <w:p w:rsidR="00D015B0" w:rsidRDefault="001076C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120"/>
        <w:ind w:left="227" w:hanging="227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Rezervy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ocenila UJ kalkulačnou metódou kvalifikovaného odhadu ich menovitej hodnoty na pokrytie budúcich záväzkov.</w:t>
      </w:r>
    </w:p>
    <w:p w:rsidR="00D015B0" w:rsidRDefault="001076C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120"/>
        <w:ind w:left="227" w:hanging="227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lastRenderedPageBreak/>
        <w:t xml:space="preserve">UJ počas účtovného obdobia (§ 25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ZoU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>), ani k 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závierkovému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dňu (§ 27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ZoU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) nepoužila ocenenie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reálnou hodnotou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– lebo nemala k tomu vecnú náplň.</w:t>
      </w:r>
    </w:p>
    <w:p w:rsidR="00D015B0" w:rsidRDefault="001076C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120"/>
        <w:ind w:left="227" w:hanging="227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ÚJ používa pri oceňovaní úbytku rovnakého druhu zásob a cenných papierov –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vážený aritmetický priemer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(§ 25/5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ZoU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>; § 22/1 PU).</w:t>
      </w:r>
    </w:p>
    <w:p w:rsidR="00D015B0" w:rsidRDefault="001076C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120"/>
        <w:ind w:left="227" w:hanging="227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ÚJ používa pri oceňovaní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prírastku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cudzej meny v hotovosti alebo na bankový účet –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zmenárenský kurz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konkrétnej banky (§ 24/3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ZoU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>).</w:t>
      </w:r>
    </w:p>
    <w:p w:rsidR="00D015B0" w:rsidRDefault="001076C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120"/>
        <w:ind w:left="227" w:hanging="227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ÚJ používa pri oceňovaní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úbytku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cudzej meny v hotovosti alebo z bankového účtu –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základné pravidlo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(D-1), teda kurz zo dňa predchádzajúceho dňu účtovného prípadu (§ 24/2/a; § 24/6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ZoU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>).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 xml:space="preserve"> </w:t>
      </w: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spacing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metódou vlastného imania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(§ 27/9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ZoU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>).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D015B0" w:rsidRDefault="001076C0">
      <w:pPr>
        <w:keepNext/>
        <w:pBdr>
          <w:top w:val="nil"/>
          <w:left w:val="nil"/>
          <w:bottom w:val="nil"/>
          <w:right w:val="nil"/>
          <w:between w:val="nil"/>
        </w:pBdr>
        <w:tabs>
          <w:tab w:val="left" w:pos="1005"/>
        </w:tabs>
        <w:spacing w:after="120"/>
        <w:jc w:val="both"/>
        <w:rPr>
          <w:rFonts w:ascii="Arial Narrow" w:eastAsia="Arial Narrow" w:hAnsi="Arial Narrow" w:cs="Arial Narrow"/>
          <w:i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i/>
          <w:color w:val="000000"/>
          <w:sz w:val="22"/>
          <w:szCs w:val="22"/>
        </w:rPr>
        <w:t xml:space="preserve">g) </w:t>
      </w:r>
      <w:r>
        <w:rPr>
          <w:rFonts w:ascii="Arial Narrow" w:eastAsia="Arial Narrow" w:hAnsi="Arial Narrow" w:cs="Arial Narrow"/>
          <w:b/>
          <w:i/>
          <w:color w:val="000000"/>
          <w:sz w:val="22"/>
          <w:szCs w:val="22"/>
        </w:rPr>
        <w:t>Tvorba odpisového plánu</w:t>
      </w:r>
      <w:r>
        <w:rPr>
          <w:rFonts w:ascii="Arial Narrow" w:eastAsia="Arial Narrow" w:hAnsi="Arial Narrow" w:cs="Arial Narrow"/>
          <w:i/>
          <w:color w:val="00000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Style w:val="a4"/>
        <w:tblW w:w="9606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D015B0">
        <w:tc>
          <w:tcPr>
            <w:tcW w:w="4218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Dlhodobý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hmotný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a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nehmotný</w:t>
            </w:r>
            <w:proofErr w:type="spellEnd"/>
          </w:p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odpisovaný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majetok</w:t>
            </w:r>
            <w:proofErr w:type="spellEnd"/>
          </w:p>
        </w:tc>
        <w:tc>
          <w:tcPr>
            <w:tcW w:w="1013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číslo</w:t>
            </w:r>
            <w:proofErr w:type="spellEnd"/>
          </w:p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účtu</w:t>
            </w:r>
            <w:proofErr w:type="spellEnd"/>
          </w:p>
        </w:tc>
        <w:tc>
          <w:tcPr>
            <w:tcW w:w="2107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doba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odpisovania</w:t>
            </w:r>
            <w:proofErr w:type="spellEnd"/>
          </w:p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</w:rPr>
              <w:t>(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počet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rokov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>)</w:t>
            </w:r>
          </w:p>
        </w:tc>
        <w:tc>
          <w:tcPr>
            <w:tcW w:w="2268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odpisová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sadzba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</w:p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</w:rPr>
              <w:t>(%)</w:t>
            </w:r>
          </w:p>
        </w:tc>
      </w:tr>
      <w:tr w:rsidR="00D015B0">
        <w:tc>
          <w:tcPr>
            <w:tcW w:w="4218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Software</w:t>
            </w:r>
          </w:p>
        </w:tc>
        <w:tc>
          <w:tcPr>
            <w:tcW w:w="1013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013</w:t>
            </w:r>
          </w:p>
        </w:tc>
        <w:tc>
          <w:tcPr>
            <w:tcW w:w="2107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4</w:t>
            </w:r>
          </w:p>
        </w:tc>
        <w:tc>
          <w:tcPr>
            <w:tcW w:w="2268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25</w:t>
            </w:r>
          </w:p>
        </w:tc>
      </w:tr>
      <w:tr w:rsidR="00D015B0">
        <w:tc>
          <w:tcPr>
            <w:tcW w:w="4218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Ostatný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DNM </w:t>
            </w:r>
          </w:p>
        </w:tc>
        <w:tc>
          <w:tcPr>
            <w:tcW w:w="1013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019</w:t>
            </w:r>
          </w:p>
        </w:tc>
        <w:tc>
          <w:tcPr>
            <w:tcW w:w="2107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4</w:t>
            </w:r>
          </w:p>
        </w:tc>
        <w:tc>
          <w:tcPr>
            <w:tcW w:w="2268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25</w:t>
            </w:r>
          </w:p>
        </w:tc>
      </w:tr>
      <w:tr w:rsidR="00D015B0">
        <w:tc>
          <w:tcPr>
            <w:tcW w:w="4218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Stavby</w:t>
            </w:r>
            <w:proofErr w:type="spellEnd"/>
          </w:p>
        </w:tc>
        <w:tc>
          <w:tcPr>
            <w:tcW w:w="1013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021</w:t>
            </w:r>
          </w:p>
        </w:tc>
        <w:tc>
          <w:tcPr>
            <w:tcW w:w="2107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25</w:t>
            </w:r>
          </w:p>
        </w:tc>
        <w:tc>
          <w:tcPr>
            <w:tcW w:w="2268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4</w:t>
            </w:r>
          </w:p>
        </w:tc>
      </w:tr>
      <w:tr w:rsidR="00D015B0">
        <w:tc>
          <w:tcPr>
            <w:tcW w:w="4218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Počítače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s 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príslušenstvom</w:t>
            </w:r>
            <w:proofErr w:type="spellEnd"/>
          </w:p>
        </w:tc>
        <w:tc>
          <w:tcPr>
            <w:tcW w:w="1013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022.A</w:t>
            </w:r>
          </w:p>
        </w:tc>
        <w:tc>
          <w:tcPr>
            <w:tcW w:w="2107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5</w:t>
            </w:r>
          </w:p>
        </w:tc>
        <w:tc>
          <w:tcPr>
            <w:tcW w:w="2268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20</w:t>
            </w:r>
          </w:p>
        </w:tc>
      </w:tr>
      <w:tr w:rsidR="00D015B0">
        <w:tc>
          <w:tcPr>
            <w:tcW w:w="4218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Dopravné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prostriedky</w:t>
            </w:r>
            <w:proofErr w:type="spellEnd"/>
          </w:p>
        </w:tc>
        <w:tc>
          <w:tcPr>
            <w:tcW w:w="1013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023</w:t>
            </w:r>
          </w:p>
        </w:tc>
        <w:tc>
          <w:tcPr>
            <w:tcW w:w="2107" w:type="dxa"/>
          </w:tcPr>
          <w:p w:rsidR="00D015B0" w:rsidRDefault="00F95935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4</w:t>
            </w:r>
          </w:p>
        </w:tc>
        <w:tc>
          <w:tcPr>
            <w:tcW w:w="2268" w:type="dxa"/>
          </w:tcPr>
          <w:p w:rsidR="00D015B0" w:rsidRDefault="00F95935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25</w:t>
            </w:r>
          </w:p>
        </w:tc>
      </w:tr>
      <w:tr w:rsidR="00D015B0">
        <w:tc>
          <w:tcPr>
            <w:tcW w:w="4218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Ostatné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stroje</w:t>
            </w:r>
            <w:proofErr w:type="spellEnd"/>
          </w:p>
        </w:tc>
        <w:tc>
          <w:tcPr>
            <w:tcW w:w="1013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022.A</w:t>
            </w:r>
          </w:p>
        </w:tc>
        <w:tc>
          <w:tcPr>
            <w:tcW w:w="2107" w:type="dxa"/>
          </w:tcPr>
          <w:p w:rsidR="00D015B0" w:rsidRDefault="00F95935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4</w:t>
            </w:r>
          </w:p>
        </w:tc>
        <w:tc>
          <w:tcPr>
            <w:tcW w:w="2268" w:type="dxa"/>
          </w:tcPr>
          <w:p w:rsidR="00D015B0" w:rsidRDefault="00F95935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25</w:t>
            </w:r>
          </w:p>
        </w:tc>
      </w:tr>
      <w:tr w:rsidR="00D015B0">
        <w:tc>
          <w:tcPr>
            <w:tcW w:w="4218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Ostatný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dlhodobý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hmotný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majetok</w:t>
            </w:r>
            <w:proofErr w:type="spellEnd"/>
          </w:p>
        </w:tc>
        <w:tc>
          <w:tcPr>
            <w:tcW w:w="1013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029</w:t>
            </w:r>
          </w:p>
        </w:tc>
        <w:tc>
          <w:tcPr>
            <w:tcW w:w="2107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5</w:t>
            </w:r>
          </w:p>
        </w:tc>
        <w:tc>
          <w:tcPr>
            <w:tcW w:w="2268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20</w:t>
            </w:r>
          </w:p>
        </w:tc>
      </w:tr>
    </w:tbl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</w:t>
      </w: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spacing w:after="120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Komentár k odpisovému plánu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: </w:t>
      </w:r>
    </w:p>
    <w:p w:rsidR="00D015B0" w:rsidRDefault="001076C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120"/>
        <w:ind w:left="227" w:hanging="227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UJ používa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účtovné odpisy nezávisle na daňových odpisoch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. Majetok sa začína odpisovať v mesiaci, kedy bol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zaradený do užívania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D015B0" w:rsidRDefault="001076C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120"/>
        <w:ind w:left="227" w:hanging="227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UJ používa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rovnomerné odpisovanie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D015B0" w:rsidRDefault="001076C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120"/>
        <w:ind w:left="227" w:hanging="227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UJ odpisuje jednotlivé veci alebo relevantné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súbory hnuteľných vecí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:rsidR="00D015B0" w:rsidRDefault="001076C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120"/>
        <w:ind w:left="227" w:hanging="227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UJ nepoužila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jednorazový odpis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 xml:space="preserve"> 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>dlhodobého majetku z dôvodu jednorazového trvalého zníženia hodnoty majetku (§ 21/5 PU).</w:t>
      </w:r>
    </w:p>
    <w:p w:rsidR="00D015B0" w:rsidRDefault="001076C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120"/>
        <w:ind w:left="227" w:hanging="227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ÚJ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- položky pod 2 400 eur jednotkovej ceny so životnosťou nad jeden rok (§ 13/2 PU).</w:t>
      </w:r>
    </w:p>
    <w:p w:rsidR="00D015B0" w:rsidRDefault="001076C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120"/>
        <w:ind w:left="227" w:hanging="227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ÚJ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- položky pod 1 700 eur jednotkovej ceny so životnosťou nad jeden rok (§ 13/6 PU).</w:t>
      </w:r>
    </w:p>
    <w:p w:rsidR="00D015B0" w:rsidRDefault="001076C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120"/>
        <w:ind w:left="227" w:hanging="227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ÚJ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D015B0" w:rsidRDefault="001076C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ÚJ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nepoužíva dobrovoľnú kapitalizáciu úrokov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spacing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keepNext/>
        <w:pBdr>
          <w:top w:val="nil"/>
          <w:left w:val="nil"/>
          <w:bottom w:val="nil"/>
          <w:right w:val="nil"/>
          <w:between w:val="nil"/>
        </w:pBdr>
        <w:spacing w:after="120"/>
        <w:jc w:val="both"/>
        <w:rPr>
          <w:rFonts w:ascii="Arial Narrow" w:eastAsia="Arial Narrow" w:hAnsi="Arial Narrow" w:cs="Arial Narrow"/>
          <w:i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i/>
          <w:color w:val="000000"/>
          <w:sz w:val="22"/>
          <w:szCs w:val="22"/>
        </w:rPr>
        <w:lastRenderedPageBreak/>
        <w:t xml:space="preserve">h) Informácia </w:t>
      </w:r>
      <w:r>
        <w:rPr>
          <w:rFonts w:ascii="Arial Narrow" w:eastAsia="Arial Narrow" w:hAnsi="Arial Narrow" w:cs="Arial Narrow"/>
          <w:b/>
          <w:i/>
          <w:color w:val="000000"/>
          <w:sz w:val="22"/>
          <w:szCs w:val="22"/>
        </w:rPr>
        <w:t>o poskytnutých dotáciách</w:t>
      </w:r>
      <w:r>
        <w:rPr>
          <w:rFonts w:ascii="Arial Narrow" w:eastAsia="Arial Narrow" w:hAnsi="Arial Narrow" w:cs="Arial Narrow"/>
          <w:i/>
          <w:color w:val="000000"/>
          <w:sz w:val="22"/>
          <w:szCs w:val="22"/>
        </w:rPr>
        <w:t xml:space="preserve"> a pri dotáciách na obstaranie majetku sa uvedú zložky majetku a ich ocenenie: </w:t>
      </w:r>
    </w:p>
    <w:p w:rsidR="00D015B0" w:rsidRDefault="00D015B0">
      <w:pPr>
        <w:keepNext/>
        <w:pBdr>
          <w:top w:val="nil"/>
          <w:left w:val="nil"/>
          <w:bottom w:val="nil"/>
          <w:right w:val="nil"/>
          <w:between w:val="nil"/>
        </w:pBdr>
        <w:spacing w:after="120"/>
        <w:jc w:val="both"/>
        <w:rPr>
          <w:rFonts w:ascii="Arial Narrow" w:eastAsia="Arial Narrow" w:hAnsi="Arial Narrow" w:cs="Arial Narrow"/>
          <w:i/>
          <w:color w:val="000000"/>
          <w:sz w:val="22"/>
          <w:szCs w:val="22"/>
        </w:rPr>
      </w:pPr>
    </w:p>
    <w:p w:rsidR="00D015B0" w:rsidRDefault="001076C0">
      <w:pPr>
        <w:keepNext/>
        <w:pBdr>
          <w:top w:val="nil"/>
          <w:left w:val="nil"/>
          <w:bottom w:val="nil"/>
          <w:right w:val="nil"/>
          <w:between w:val="nil"/>
        </w:pBdr>
        <w:spacing w:after="120"/>
        <w:jc w:val="both"/>
        <w:rPr>
          <w:rFonts w:ascii="Arial Narrow" w:eastAsia="Arial Narrow" w:hAnsi="Arial Narrow" w:cs="Arial Narrow"/>
          <w:b/>
          <w:i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i/>
          <w:color w:val="000000"/>
          <w:sz w:val="22"/>
          <w:szCs w:val="22"/>
        </w:rPr>
        <w:t xml:space="preserve">5) </w:t>
      </w:r>
      <w:r>
        <w:rPr>
          <w:rFonts w:ascii="Arial Narrow" w:eastAsia="Arial Narrow" w:hAnsi="Arial Narrow" w:cs="Arial Narrow"/>
          <w:b/>
          <w:i/>
          <w:color w:val="000000"/>
          <w:sz w:val="22"/>
          <w:szCs w:val="22"/>
        </w:rPr>
        <w:t xml:space="preserve">Informácie o oprave </w:t>
      </w:r>
      <w:r>
        <w:rPr>
          <w:rFonts w:ascii="Arial Narrow" w:eastAsia="Arial Narrow" w:hAnsi="Arial Narrow" w:cs="Arial Narrow"/>
          <w:b/>
          <w:i/>
          <w:color w:val="000000"/>
          <w:sz w:val="22"/>
          <w:szCs w:val="22"/>
          <w:u w:val="single"/>
        </w:rPr>
        <w:t>významných chýb</w:t>
      </w:r>
      <w:r>
        <w:rPr>
          <w:rFonts w:ascii="Arial Narrow" w:eastAsia="Arial Narrow" w:hAnsi="Arial Narrow" w:cs="Arial Narrow"/>
          <w:i/>
          <w:color w:val="00000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eastAsia="Arial Narrow" w:hAnsi="Arial Narrow" w:cs="Arial Narrow"/>
          <w:i/>
          <w:color w:val="000000"/>
          <w:sz w:val="22"/>
          <w:szCs w:val="22"/>
          <w:u w:val="single"/>
        </w:rPr>
        <w:t>s uvedením sumy vplyvu</w:t>
      </w:r>
      <w:r>
        <w:rPr>
          <w:rFonts w:ascii="Arial Narrow" w:eastAsia="Arial Narrow" w:hAnsi="Arial Narrow" w:cs="Arial Narrow"/>
          <w:i/>
          <w:color w:val="00000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eastAsia="Arial Narrow" w:hAnsi="Arial Narrow" w:cs="Arial Narrow"/>
          <w:i/>
          <w:color w:val="000000"/>
          <w:sz w:val="22"/>
          <w:szCs w:val="22"/>
          <w:u w:val="single"/>
        </w:rPr>
        <w:t>nevýznamných chýb</w:t>
      </w:r>
      <w:r>
        <w:rPr>
          <w:rFonts w:ascii="Arial Narrow" w:eastAsia="Arial Narrow" w:hAnsi="Arial Narrow" w:cs="Arial Narrow"/>
          <w:i/>
          <w:color w:val="00000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Style w:val="a5"/>
        <w:tblW w:w="9601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19"/>
      </w:tblGrid>
      <w:tr w:rsidR="00D015B0">
        <w:tc>
          <w:tcPr>
            <w:tcW w:w="3075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right="-471" w:hanging="2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    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Opis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účtovného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prípadu</w:t>
            </w:r>
            <w:proofErr w:type="spellEnd"/>
          </w:p>
        </w:tc>
        <w:tc>
          <w:tcPr>
            <w:tcW w:w="1040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right="-471" w:hanging="2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 Suma</w:t>
            </w:r>
          </w:p>
        </w:tc>
        <w:tc>
          <w:tcPr>
            <w:tcW w:w="1039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right="-471" w:hanging="2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MD/DAL</w:t>
            </w:r>
          </w:p>
        </w:tc>
        <w:tc>
          <w:tcPr>
            <w:tcW w:w="1928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right="-471" w:hanging="2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Vplyv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na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výsledok</w:t>
            </w:r>
            <w:proofErr w:type="spellEnd"/>
          </w:p>
        </w:tc>
        <w:tc>
          <w:tcPr>
            <w:tcW w:w="2519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right="-471" w:hanging="2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Vplyv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na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vlastné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imanie</w:t>
            </w:r>
            <w:proofErr w:type="spellEnd"/>
          </w:p>
        </w:tc>
      </w:tr>
      <w:tr w:rsidR="00D015B0">
        <w:tc>
          <w:tcPr>
            <w:tcW w:w="3075" w:type="dxa"/>
          </w:tcPr>
          <w:p w:rsidR="00D015B0" w:rsidRDefault="00D015B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right="-471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</w:p>
        </w:tc>
        <w:tc>
          <w:tcPr>
            <w:tcW w:w="1040" w:type="dxa"/>
          </w:tcPr>
          <w:p w:rsidR="00D015B0" w:rsidRDefault="00D015B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right="-471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</w:p>
        </w:tc>
        <w:tc>
          <w:tcPr>
            <w:tcW w:w="1039" w:type="dxa"/>
          </w:tcPr>
          <w:p w:rsidR="00D015B0" w:rsidRDefault="00D015B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right="-471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</w:p>
        </w:tc>
        <w:tc>
          <w:tcPr>
            <w:tcW w:w="1928" w:type="dxa"/>
          </w:tcPr>
          <w:p w:rsidR="00D015B0" w:rsidRDefault="00D015B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right="-471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</w:p>
        </w:tc>
        <w:tc>
          <w:tcPr>
            <w:tcW w:w="2519" w:type="dxa"/>
          </w:tcPr>
          <w:p w:rsidR="00D015B0" w:rsidRDefault="00D015B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right="-471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</w:p>
        </w:tc>
      </w:tr>
      <w:tr w:rsidR="00D015B0">
        <w:tc>
          <w:tcPr>
            <w:tcW w:w="3075" w:type="dxa"/>
          </w:tcPr>
          <w:p w:rsidR="00D015B0" w:rsidRDefault="00D015B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right="-471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</w:p>
        </w:tc>
        <w:tc>
          <w:tcPr>
            <w:tcW w:w="1040" w:type="dxa"/>
          </w:tcPr>
          <w:p w:rsidR="00D015B0" w:rsidRDefault="00D015B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right="-471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</w:p>
        </w:tc>
        <w:tc>
          <w:tcPr>
            <w:tcW w:w="1039" w:type="dxa"/>
          </w:tcPr>
          <w:p w:rsidR="00D015B0" w:rsidRDefault="00D015B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right="-471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</w:p>
        </w:tc>
        <w:tc>
          <w:tcPr>
            <w:tcW w:w="1928" w:type="dxa"/>
          </w:tcPr>
          <w:p w:rsidR="00D015B0" w:rsidRDefault="00D015B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right="-471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</w:p>
        </w:tc>
        <w:tc>
          <w:tcPr>
            <w:tcW w:w="2519" w:type="dxa"/>
          </w:tcPr>
          <w:p w:rsidR="00D015B0" w:rsidRDefault="00D015B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right="-471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</w:p>
        </w:tc>
      </w:tr>
    </w:tbl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ind w:right="-468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spacing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Vysvetlivky k oprave chýb minulých účtovných období:</w:t>
      </w:r>
    </w:p>
    <w:p w:rsidR="00D015B0" w:rsidRDefault="001076C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120"/>
        <w:ind w:left="227" w:hanging="227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Po schválení účtovnej závierky na valnom zhromaždení už nemožno otvárať účtovné knihy minulých účtovných období a prípadné opravy sa vykonajú v bežnom účtovnom období (§ 16/10,11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ZoU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>).</w:t>
      </w:r>
    </w:p>
    <w:p w:rsidR="00D015B0" w:rsidRDefault="001076C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120"/>
        <w:ind w:left="227" w:hanging="227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D015B0" w:rsidRDefault="001076C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120"/>
        <w:ind w:left="227" w:hanging="227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Významné opravy chýb minulých účtovných období sa účtujú (§ 59/13 PU) - voči minulým výsledkom hospodárenia (voči vlastnému imaniu na účet 428 alebo 429). </w:t>
      </w:r>
    </w:p>
    <w:p w:rsidR="00D015B0" w:rsidRDefault="001076C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120"/>
        <w:ind w:left="227" w:hanging="227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Hranicu významnosti si UJ stanoví individuálne v internej účtovnej smernici (napr. 1 tisícina z brutto aktív).</w:t>
      </w:r>
    </w:p>
    <w:p w:rsidR="00D015B0" w:rsidRDefault="001076C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120"/>
        <w:ind w:left="227" w:hanging="227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Pri ukladaní pokuty za nesprávnosti v účtovníctve prihliadne daňový úrad aj na to, či UJ písomne ohlásila obsah a sumu vykonanej opravy chýb minulých účtovných období (§ 38/5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ZoU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>).</w:t>
      </w:r>
    </w:p>
    <w:p w:rsidR="00D015B0" w:rsidRDefault="001076C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120"/>
        <w:ind w:left="227" w:hanging="227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Opravy chýb minulých účtovných období sa daňovo vysporiadajú podľa pravidiel v zákone o dani z príjmov (§ 17/15,29 ZDP) a pravidiel v daňovom poriadku (§ 16). 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ind w:right="-468"/>
        <w:jc w:val="center"/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  <w:u w:val="single"/>
        </w:rPr>
        <w:t>Článok IV – INFORMÁCIE, KTORÉ VYSVETĽUJÚ A DOPĹŇAJÚ SÚVAHU A VÝKAZ ZISKOV A STRÁT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ind w:right="-468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a) Dlhodobý nehmotný majetok, ktorým je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goodwill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goodwill</w:t>
      </w:r>
      <w:proofErr w:type="spellEnd"/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 xml:space="preserve"> - 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>dôvod jeho vzniku, spôsob výpočtu a prehodnotenie opodstatnenosti jeho výšky a odpisu jeho hodnoty: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[Vysvetlivky: Záporný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goodwill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sa účtovne odpíše do výnosov (075/551)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jednorázovo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v roku jeho vzniku (§ 37 PU). Daňovo sa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goodwill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spacing w:after="120"/>
        <w:ind w:right="-471"/>
        <w:jc w:val="both"/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spacing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2) Informácie o významných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spacing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spacing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Pritom sa uvádza forma tohto zabezpečenia a uvádza sa zmena reálnej hodnoty v priebehu účtovného obdobia (§ 27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ZoU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>). Pre každý druh derivátov sa uvádza informácia o rozsahu a povahe týchto derivátov vrátane významných podmienok, ktoré môžu ovplyvniť sumu, načasovanie a mieru istoty budúcich peňažných tokov a 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v tabuľkovej forme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informácia zobrazujúca pohyby v oceňovacích rozdieloch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z ocenenia reálnou hodnotou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počas účtovného obdobia.</w:t>
      </w:r>
    </w:p>
    <w:tbl>
      <w:tblPr>
        <w:tblStyle w:val="a6"/>
        <w:tblW w:w="960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655"/>
        <w:gridCol w:w="1135"/>
        <w:gridCol w:w="1135"/>
        <w:gridCol w:w="1844"/>
        <w:gridCol w:w="1836"/>
      </w:tblGrid>
      <w:tr w:rsidR="00D015B0">
        <w:trPr>
          <w:trHeight w:val="153"/>
        </w:trPr>
        <w:tc>
          <w:tcPr>
            <w:tcW w:w="3655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right="-471" w:hanging="2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    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Názov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položky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derivátov</w:t>
            </w:r>
            <w:proofErr w:type="spellEnd"/>
          </w:p>
        </w:tc>
        <w:tc>
          <w:tcPr>
            <w:tcW w:w="1135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right="-471" w:hanging="2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 Suma</w:t>
            </w:r>
          </w:p>
        </w:tc>
        <w:tc>
          <w:tcPr>
            <w:tcW w:w="1135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right="-471" w:hanging="2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MD/DAL</w:t>
            </w:r>
          </w:p>
        </w:tc>
        <w:tc>
          <w:tcPr>
            <w:tcW w:w="1844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right="-471" w:hanging="2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Vplyv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na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výsledok</w:t>
            </w:r>
            <w:proofErr w:type="spellEnd"/>
          </w:p>
        </w:tc>
        <w:tc>
          <w:tcPr>
            <w:tcW w:w="1836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right="-471" w:hanging="2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Vplyv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na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imanie</w:t>
            </w:r>
            <w:proofErr w:type="spellEnd"/>
          </w:p>
        </w:tc>
      </w:tr>
      <w:tr w:rsidR="00D015B0">
        <w:trPr>
          <w:trHeight w:val="62"/>
        </w:trPr>
        <w:tc>
          <w:tcPr>
            <w:tcW w:w="3655" w:type="dxa"/>
          </w:tcPr>
          <w:p w:rsidR="00D015B0" w:rsidRDefault="00D015B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right="-471" w:hanging="2"/>
              <w:rPr>
                <w:rFonts w:ascii="Arial Narrow" w:eastAsia="Arial Narrow" w:hAnsi="Arial Narrow" w:cs="Arial Narrow"/>
                <w:color w:val="000000"/>
              </w:rPr>
            </w:pPr>
          </w:p>
        </w:tc>
        <w:tc>
          <w:tcPr>
            <w:tcW w:w="1135" w:type="dxa"/>
          </w:tcPr>
          <w:p w:rsidR="00D015B0" w:rsidRDefault="00D015B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right="-471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</w:p>
        </w:tc>
        <w:tc>
          <w:tcPr>
            <w:tcW w:w="1135" w:type="dxa"/>
          </w:tcPr>
          <w:p w:rsidR="00D015B0" w:rsidRDefault="00D015B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right="-471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</w:p>
        </w:tc>
        <w:tc>
          <w:tcPr>
            <w:tcW w:w="1844" w:type="dxa"/>
          </w:tcPr>
          <w:p w:rsidR="00D015B0" w:rsidRDefault="00D015B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right="-471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</w:p>
        </w:tc>
        <w:tc>
          <w:tcPr>
            <w:tcW w:w="1836" w:type="dxa"/>
          </w:tcPr>
          <w:p w:rsidR="00D015B0" w:rsidRDefault="00D015B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right="-471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</w:p>
        </w:tc>
      </w:tr>
      <w:tr w:rsidR="00D015B0">
        <w:trPr>
          <w:trHeight w:val="109"/>
        </w:trPr>
        <w:tc>
          <w:tcPr>
            <w:tcW w:w="3655" w:type="dxa"/>
          </w:tcPr>
          <w:p w:rsidR="00D015B0" w:rsidRDefault="00D015B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right="-471" w:hanging="2"/>
              <w:rPr>
                <w:rFonts w:ascii="Arial Narrow" w:eastAsia="Arial Narrow" w:hAnsi="Arial Narrow" w:cs="Arial Narrow"/>
                <w:color w:val="000000"/>
              </w:rPr>
            </w:pPr>
          </w:p>
        </w:tc>
        <w:tc>
          <w:tcPr>
            <w:tcW w:w="1135" w:type="dxa"/>
          </w:tcPr>
          <w:p w:rsidR="00D015B0" w:rsidRDefault="00D015B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right="-471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</w:p>
        </w:tc>
        <w:tc>
          <w:tcPr>
            <w:tcW w:w="1135" w:type="dxa"/>
          </w:tcPr>
          <w:p w:rsidR="00D015B0" w:rsidRDefault="00D015B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right="-471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</w:p>
        </w:tc>
        <w:tc>
          <w:tcPr>
            <w:tcW w:w="1844" w:type="dxa"/>
          </w:tcPr>
          <w:p w:rsidR="00D015B0" w:rsidRDefault="00D015B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right="-471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</w:p>
        </w:tc>
        <w:tc>
          <w:tcPr>
            <w:tcW w:w="1836" w:type="dxa"/>
          </w:tcPr>
          <w:p w:rsidR="00D015B0" w:rsidRDefault="00D015B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right="-471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</w:p>
        </w:tc>
      </w:tr>
    </w:tbl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spacing w:before="120" w:after="120"/>
        <w:ind w:right="-471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Komentár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: Prvotné ocenenie reálnou hodnotou (§ 25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ZoU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>) počas účtovného obdobia – bez náplne.</w:t>
      </w: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spacing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lastRenderedPageBreak/>
        <w:t>[Vysvetlivky: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 xml:space="preserve">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Reálnou hodnotou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– sa k 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závierkovému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dňu oceňujú, okrem iného, aj deriváty a majetok a záväzky zabezpečené derivátmi (§ 27/1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ZoU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>); precenenie na reálnu hodnotu k 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závierkovému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dňu sa účtuje (§ 16 PU) - výsledkovo (účty 56x, 66x) alebo súvahovo (účet 414)].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spacing w:after="120"/>
        <w:ind w:right="-141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spacing w:after="120"/>
        <w:ind w:right="-141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3a) Celková suma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:  </w:t>
      </w:r>
    </w:p>
    <w:tbl>
      <w:tblPr>
        <w:tblStyle w:val="a7"/>
        <w:tblW w:w="9714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D015B0">
        <w:trPr>
          <w:trHeight w:val="693"/>
          <w:jc w:val="center"/>
        </w:trPr>
        <w:tc>
          <w:tcPr>
            <w:tcW w:w="4785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b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Názov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> 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položky</w:t>
            </w:r>
            <w:proofErr w:type="spellEnd"/>
          </w:p>
        </w:tc>
        <w:tc>
          <w:tcPr>
            <w:tcW w:w="2553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b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Bežné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účtovné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obdobie</w:t>
            </w:r>
            <w:proofErr w:type="spellEnd"/>
          </w:p>
        </w:tc>
        <w:tc>
          <w:tcPr>
            <w:tcW w:w="2376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b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Bezprostredne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predchádzajúce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účtovné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obdobie</w:t>
            </w:r>
            <w:proofErr w:type="spellEnd"/>
          </w:p>
        </w:tc>
      </w:tr>
      <w:tr w:rsidR="00D015B0">
        <w:trPr>
          <w:trHeight w:val="207"/>
          <w:jc w:val="center"/>
        </w:trPr>
        <w:tc>
          <w:tcPr>
            <w:tcW w:w="4785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Záväzky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so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zostatkovou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dobou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splatnosti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nad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5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rokov</w:t>
            </w:r>
            <w:proofErr w:type="spellEnd"/>
          </w:p>
        </w:tc>
        <w:tc>
          <w:tcPr>
            <w:tcW w:w="2553" w:type="dxa"/>
            <w:vAlign w:val="center"/>
          </w:tcPr>
          <w:p w:rsidR="00D015B0" w:rsidRDefault="00F95935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0</w:t>
            </w:r>
          </w:p>
        </w:tc>
        <w:tc>
          <w:tcPr>
            <w:tcW w:w="2376" w:type="dxa"/>
            <w:vAlign w:val="center"/>
          </w:tcPr>
          <w:p w:rsidR="00D015B0" w:rsidRDefault="00F95935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0</w:t>
            </w:r>
          </w:p>
        </w:tc>
      </w:tr>
    </w:tbl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spacing w:before="120"/>
        <w:ind w:right="-141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závierkovým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dňom (§ 12 PU).]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spacing w:before="120"/>
        <w:ind w:right="-471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spacing w:after="120"/>
        <w:ind w:right="-141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3b) Celková suma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zabezpečených záväzkov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– opis a spôsob zabezpečenia záväzkov: </w:t>
      </w:r>
    </w:p>
    <w:tbl>
      <w:tblPr>
        <w:tblStyle w:val="a8"/>
        <w:tblW w:w="9638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D015B0">
        <w:trPr>
          <w:jc w:val="center"/>
        </w:trPr>
        <w:tc>
          <w:tcPr>
            <w:tcW w:w="4396" w:type="dxa"/>
            <w:vMerge w:val="restart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b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Zabezpečené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záväzky</w:t>
            </w:r>
            <w:proofErr w:type="spellEnd"/>
          </w:p>
        </w:tc>
        <w:tc>
          <w:tcPr>
            <w:tcW w:w="5242" w:type="dxa"/>
            <w:gridSpan w:val="2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b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Bežné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účtovné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obdobie</w:t>
            </w:r>
            <w:proofErr w:type="spellEnd"/>
          </w:p>
        </w:tc>
      </w:tr>
      <w:tr w:rsidR="00D015B0">
        <w:trPr>
          <w:jc w:val="center"/>
        </w:trPr>
        <w:tc>
          <w:tcPr>
            <w:tcW w:w="4396" w:type="dxa"/>
            <w:vMerge/>
            <w:vAlign w:val="center"/>
          </w:tcPr>
          <w:p w:rsidR="00D015B0" w:rsidRDefault="00D015B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ascii="Arial Narrow" w:eastAsia="Arial Narrow" w:hAnsi="Arial Narrow" w:cs="Arial Narrow"/>
                <w:b/>
                <w:color w:val="000000"/>
              </w:rPr>
            </w:pPr>
          </w:p>
        </w:tc>
        <w:tc>
          <w:tcPr>
            <w:tcW w:w="2831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b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Spôsob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</w:p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b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zabezpečenia</w:t>
            </w:r>
            <w:proofErr w:type="spellEnd"/>
          </w:p>
        </w:tc>
        <w:tc>
          <w:tcPr>
            <w:tcW w:w="2411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b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Hodnota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> 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záväzkov</w:t>
            </w:r>
            <w:proofErr w:type="spellEnd"/>
          </w:p>
        </w:tc>
      </w:tr>
      <w:tr w:rsidR="00D015B0">
        <w:trPr>
          <w:trHeight w:val="69"/>
          <w:jc w:val="center"/>
        </w:trPr>
        <w:tc>
          <w:tcPr>
            <w:tcW w:w="4396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Záväzky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zabezpečené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záložným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právom</w:t>
            </w:r>
            <w:proofErr w:type="spellEnd"/>
          </w:p>
        </w:tc>
        <w:tc>
          <w:tcPr>
            <w:tcW w:w="2831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záložné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právo</w:t>
            </w:r>
            <w:proofErr w:type="spellEnd"/>
          </w:p>
        </w:tc>
        <w:tc>
          <w:tcPr>
            <w:tcW w:w="2411" w:type="dxa"/>
            <w:vAlign w:val="center"/>
          </w:tcPr>
          <w:p w:rsidR="00D015B0" w:rsidRDefault="00D015B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</w:p>
        </w:tc>
      </w:tr>
      <w:tr w:rsidR="00D015B0">
        <w:trPr>
          <w:trHeight w:val="117"/>
          <w:jc w:val="center"/>
        </w:trPr>
        <w:tc>
          <w:tcPr>
            <w:tcW w:w="4396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Záväzky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zabezpečené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iným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spôsobom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</w:p>
        </w:tc>
        <w:tc>
          <w:tcPr>
            <w:tcW w:w="2831" w:type="dxa"/>
            <w:vAlign w:val="center"/>
          </w:tcPr>
          <w:p w:rsidR="00D015B0" w:rsidRDefault="00D015B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</w:p>
        </w:tc>
        <w:tc>
          <w:tcPr>
            <w:tcW w:w="2411" w:type="dxa"/>
            <w:vAlign w:val="center"/>
          </w:tcPr>
          <w:p w:rsidR="00D015B0" w:rsidRDefault="00D015B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</w:p>
        </w:tc>
      </w:tr>
      <w:tr w:rsidR="00D015B0">
        <w:trPr>
          <w:trHeight w:val="117"/>
          <w:jc w:val="center"/>
        </w:trPr>
        <w:tc>
          <w:tcPr>
            <w:tcW w:w="4396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Celková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suma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zabezpečených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záväzkov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>:</w:t>
            </w:r>
          </w:p>
        </w:tc>
        <w:tc>
          <w:tcPr>
            <w:tcW w:w="2831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x</w:t>
            </w:r>
          </w:p>
        </w:tc>
        <w:tc>
          <w:tcPr>
            <w:tcW w:w="2411" w:type="dxa"/>
            <w:vAlign w:val="center"/>
          </w:tcPr>
          <w:p w:rsidR="00D015B0" w:rsidRDefault="00F95935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0</w:t>
            </w:r>
          </w:p>
        </w:tc>
      </w:tr>
    </w:tbl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ind w:right="-468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spacing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4)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Informácie o vlastných akciách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: </w:t>
      </w: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spacing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a) dôvod nadobudnutia vlastných akcií počas účtovného obdobia:</w:t>
      </w: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spacing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spacing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spacing w:before="120" w:after="120"/>
        <w:ind w:right="-471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spacing w:before="120" w:after="120"/>
        <w:ind w:right="-471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spacing w:after="120"/>
        <w:ind w:right="-471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5) K vlastnému imaniu sa uvádza informácia, či účtovná jednotka tvorila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kapitálový fond z príspevkov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podľa § 123 ods. 2 alebo § 217a Obchodného zákonníka v znení neskorších predpisov</w:t>
      </w:r>
      <w:r w:rsidR="00F95935"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>:</w:t>
      </w:r>
      <w:r w:rsidR="00F95935"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nie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spacing w:after="120"/>
        <w:ind w:right="-471"/>
        <w:jc w:val="both"/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6) Informácie o sume a dôvodoch vzniku jednotlivých položiek 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nákladov alebo výnosov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, ktoré majú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výnimočný rozsah alebo výskyt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F95935"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žiadne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spacing w:after="120"/>
        <w:ind w:right="-471"/>
        <w:jc w:val="both"/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spacing w:after="120"/>
        <w:ind w:right="-471"/>
        <w:jc w:val="center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Článok V – INFORMÁCIE O INÝCH AKTÍVACH A INÝCH PASÍVACH</w:t>
      </w: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1a) 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  <w:u w:val="single"/>
        </w:rPr>
        <w:t>Podmienený majetok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F95935"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nie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spacing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lastRenderedPageBreak/>
        <w:t xml:space="preserve">1b) 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  <w:u w:val="single"/>
        </w:rPr>
        <w:t>Podmienené záväzky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F95935"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nie</w:t>
      </w:r>
    </w:p>
    <w:p w:rsidR="00D015B0" w:rsidRDefault="001076C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120"/>
        <w:ind w:left="227" w:hanging="227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F95935"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nie</w:t>
      </w:r>
    </w:p>
    <w:p w:rsidR="00D015B0" w:rsidRDefault="001076C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="227" w:hanging="227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F95935"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nie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2) 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  <w:u w:val="single"/>
        </w:rPr>
        <w:t>Ostatné finančné povinnosti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F95935"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nie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spacing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3) 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  <w:u w:val="single"/>
        </w:rPr>
        <w:t>Podsúvahové účty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Style w:val="a9"/>
        <w:tblW w:w="9605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311"/>
        <w:gridCol w:w="1701"/>
        <w:gridCol w:w="1593"/>
      </w:tblGrid>
      <w:tr w:rsidR="00D015B0">
        <w:trPr>
          <w:trHeight w:val="780"/>
          <w:jc w:val="center"/>
        </w:trPr>
        <w:tc>
          <w:tcPr>
            <w:tcW w:w="6311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b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Názov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podsúvahovej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položky</w:t>
            </w:r>
            <w:proofErr w:type="spellEnd"/>
          </w:p>
        </w:tc>
        <w:tc>
          <w:tcPr>
            <w:tcW w:w="1701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b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Bežné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účtovné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obdobie</w:t>
            </w:r>
            <w:proofErr w:type="spellEnd"/>
          </w:p>
        </w:tc>
        <w:tc>
          <w:tcPr>
            <w:tcW w:w="1593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b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Bezprostredne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predchádzajúce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účtovné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obdobie</w:t>
            </w:r>
            <w:proofErr w:type="spellEnd"/>
          </w:p>
        </w:tc>
      </w:tr>
      <w:tr w:rsidR="00D015B0">
        <w:trPr>
          <w:trHeight w:val="267"/>
          <w:jc w:val="center"/>
        </w:trPr>
        <w:tc>
          <w:tcPr>
            <w:tcW w:w="6311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Prenajatý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majetok</w:t>
            </w:r>
            <w:proofErr w:type="spellEnd"/>
          </w:p>
        </w:tc>
        <w:tc>
          <w:tcPr>
            <w:tcW w:w="1701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 </w:t>
            </w:r>
          </w:p>
        </w:tc>
        <w:tc>
          <w:tcPr>
            <w:tcW w:w="1593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 </w:t>
            </w:r>
          </w:p>
        </w:tc>
      </w:tr>
      <w:tr w:rsidR="00D015B0">
        <w:trPr>
          <w:trHeight w:val="144"/>
          <w:jc w:val="center"/>
        </w:trPr>
        <w:tc>
          <w:tcPr>
            <w:tcW w:w="6311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Majetok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prijatý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do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úschovy</w:t>
            </w:r>
            <w:proofErr w:type="spellEnd"/>
          </w:p>
        </w:tc>
        <w:tc>
          <w:tcPr>
            <w:tcW w:w="1701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 </w:t>
            </w:r>
          </w:p>
        </w:tc>
        <w:tc>
          <w:tcPr>
            <w:tcW w:w="1593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 </w:t>
            </w:r>
          </w:p>
        </w:tc>
      </w:tr>
      <w:tr w:rsidR="00D015B0">
        <w:trPr>
          <w:trHeight w:val="161"/>
          <w:jc w:val="center"/>
        </w:trPr>
        <w:tc>
          <w:tcPr>
            <w:tcW w:w="6311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Pohľadávky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z 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opcií</w:t>
            </w:r>
            <w:proofErr w:type="spellEnd"/>
          </w:p>
        </w:tc>
        <w:tc>
          <w:tcPr>
            <w:tcW w:w="1701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 </w:t>
            </w:r>
          </w:p>
        </w:tc>
        <w:tc>
          <w:tcPr>
            <w:tcW w:w="1593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 </w:t>
            </w:r>
          </w:p>
        </w:tc>
      </w:tr>
      <w:tr w:rsidR="00D015B0">
        <w:trPr>
          <w:trHeight w:val="161"/>
          <w:jc w:val="center"/>
        </w:trPr>
        <w:tc>
          <w:tcPr>
            <w:tcW w:w="6311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Záväzky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z 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opcií</w:t>
            </w:r>
            <w:proofErr w:type="spellEnd"/>
          </w:p>
        </w:tc>
        <w:tc>
          <w:tcPr>
            <w:tcW w:w="1701" w:type="dxa"/>
            <w:vAlign w:val="center"/>
          </w:tcPr>
          <w:p w:rsidR="00D015B0" w:rsidRDefault="00D015B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</w:p>
        </w:tc>
        <w:tc>
          <w:tcPr>
            <w:tcW w:w="1593" w:type="dxa"/>
            <w:vAlign w:val="center"/>
          </w:tcPr>
          <w:p w:rsidR="00D015B0" w:rsidRDefault="00D015B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</w:p>
        </w:tc>
      </w:tr>
      <w:tr w:rsidR="00D015B0">
        <w:trPr>
          <w:trHeight w:val="161"/>
          <w:jc w:val="center"/>
        </w:trPr>
        <w:tc>
          <w:tcPr>
            <w:tcW w:w="6311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Odpísané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pohľadávky</w:t>
            </w:r>
            <w:proofErr w:type="spellEnd"/>
          </w:p>
        </w:tc>
        <w:tc>
          <w:tcPr>
            <w:tcW w:w="1701" w:type="dxa"/>
            <w:vAlign w:val="center"/>
          </w:tcPr>
          <w:p w:rsidR="00D015B0" w:rsidRDefault="00D015B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</w:p>
        </w:tc>
        <w:tc>
          <w:tcPr>
            <w:tcW w:w="1593" w:type="dxa"/>
            <w:vAlign w:val="center"/>
          </w:tcPr>
          <w:p w:rsidR="00D015B0" w:rsidRDefault="00D015B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</w:p>
        </w:tc>
      </w:tr>
      <w:tr w:rsidR="00D015B0">
        <w:trPr>
          <w:trHeight w:val="161"/>
          <w:jc w:val="center"/>
        </w:trPr>
        <w:tc>
          <w:tcPr>
            <w:tcW w:w="6311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Iné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............................</w:t>
            </w:r>
          </w:p>
        </w:tc>
        <w:tc>
          <w:tcPr>
            <w:tcW w:w="1701" w:type="dxa"/>
            <w:vAlign w:val="center"/>
          </w:tcPr>
          <w:p w:rsidR="00D015B0" w:rsidRDefault="00D015B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</w:p>
        </w:tc>
        <w:tc>
          <w:tcPr>
            <w:tcW w:w="1593" w:type="dxa"/>
            <w:vAlign w:val="center"/>
          </w:tcPr>
          <w:p w:rsidR="00D015B0" w:rsidRDefault="00D015B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</w:p>
        </w:tc>
      </w:tr>
    </w:tbl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ind w:right="-468"/>
        <w:jc w:val="center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ind w:right="-468"/>
        <w:jc w:val="center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Článok VI – UDALOSTI, KTORÉ NASTALI PO ZÁVIERKOVOM DNI</w:t>
      </w: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ind w:right="-468"/>
        <w:jc w:val="center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(Následné udalosti)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ind w:right="-468"/>
        <w:jc w:val="center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spacing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t.j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ZoU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>) a ktoré nie sú zohľadnené v súvahe alebo vo výkaze ziskov a strát, napríklad:</w:t>
      </w: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a)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Pokles alebo zvýšenie trhovej ceny finančného majetku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b)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Dôvody pre zmenu výšky rezerv a opravných položiek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>, ktoré nastali v dôsledku udalostí po dni, ku ktorému sa zostavuje účtovná závierka do dňa zostavenia účtovnej závierky: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c) Zmena spoločníkov účtovnej jednotky: </w:t>
      </w:r>
      <w:r w:rsidR="00F95935">
        <w:rPr>
          <w:rFonts w:ascii="Arial Narrow" w:eastAsia="Arial Narrow" w:hAnsi="Arial Narrow" w:cs="Arial Narrow"/>
          <w:color w:val="000000"/>
          <w:sz w:val="22"/>
          <w:szCs w:val="22"/>
        </w:rPr>
        <w:t>nebola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d) Prijaté rozhodnutia o predaji účtovnej jednotky alebo jej časti:</w:t>
      </w:r>
      <w:r w:rsidR="00F95935"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nie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e) Zmeny významných položiek dlhodobého finančného majetku:</w:t>
      </w:r>
      <w:r w:rsidR="00F95935"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žiadne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F95935">
        <w:rPr>
          <w:rFonts w:ascii="Arial Narrow" w:eastAsia="Arial Narrow" w:hAnsi="Arial Narrow" w:cs="Arial Narrow"/>
          <w:color w:val="000000"/>
          <w:sz w:val="22"/>
          <w:szCs w:val="22"/>
        </w:rPr>
        <w:t>nie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g) Vydané dlhopisy a iné cenné papiere: </w:t>
      </w:r>
      <w:r w:rsidR="00F95935">
        <w:rPr>
          <w:rFonts w:ascii="Arial Narrow" w:eastAsia="Arial Narrow" w:hAnsi="Arial Narrow" w:cs="Arial Narrow"/>
          <w:color w:val="000000"/>
          <w:sz w:val="22"/>
          <w:szCs w:val="22"/>
        </w:rPr>
        <w:t>neboli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h) Zlúčenie, splynutie, rozdelenie a zmena právnej formy účtovnej jednotky: </w:t>
      </w:r>
      <w:r w:rsidR="00F95935">
        <w:rPr>
          <w:rFonts w:ascii="Arial Narrow" w:eastAsia="Arial Narrow" w:hAnsi="Arial Narrow" w:cs="Arial Narrow"/>
          <w:color w:val="000000"/>
          <w:sz w:val="22"/>
          <w:szCs w:val="22"/>
        </w:rPr>
        <w:t>nie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i) Mimoriadne udalosti, ak majú vplyv na hospodárenie účtovnej jednotky, napr. živelná pohroma: </w:t>
      </w:r>
      <w:r w:rsidR="00F95935">
        <w:rPr>
          <w:rFonts w:ascii="Arial Narrow" w:eastAsia="Arial Narrow" w:hAnsi="Arial Narrow" w:cs="Arial Narrow"/>
          <w:color w:val="000000"/>
          <w:sz w:val="22"/>
          <w:szCs w:val="22"/>
        </w:rPr>
        <w:t>žiadne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j) Získanie alebo odobratie licencií alebo iných povolení významných pre činnosť účtovnej jednotky:</w:t>
      </w:r>
      <w:r w:rsidR="00F95935"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nie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[Vysvetlivky: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Následná udalosť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dni do dňa podpísania výkazov – uvádza sa v poznámkach.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 xml:space="preserve">Upravujúci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závierkový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 xml:space="preserve"> účtovný prípad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– stal sa do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závierkového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ZoU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>; § 2a; § 18/9; § 19/6; § 48/3; § 50/6 PU).]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ind w:right="-468"/>
        <w:jc w:val="center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ind w:right="-468"/>
        <w:jc w:val="center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ind w:right="-468"/>
        <w:jc w:val="center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Článok VII – OSTATNÉ INFORMÁCIE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ind w:right="-468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spacing w:after="120"/>
        <w:ind w:right="-471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1) Informácie o výlučnom práve poskytovať služby vo verejnom záujme:</w:t>
      </w: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spacing w:after="120"/>
        <w:ind w:right="-471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ZoU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>):</w:t>
      </w: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spacing w:after="120"/>
        <w:ind w:right="-471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ZoU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>):</w:t>
      </w:r>
    </w:p>
    <w:sectPr w:rsidR="00D015B0">
      <w:headerReference w:type="default" r:id="rId8"/>
      <w:footerReference w:type="default" r:id="rId9"/>
      <w:headerReference w:type="first" r:id="rId10"/>
      <w:pgSz w:w="11907" w:h="16840"/>
      <w:pgMar w:top="1417" w:right="992" w:bottom="1417" w:left="1417" w:header="567" w:footer="567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B7796" w:rsidRDefault="00FB7796">
      <w:r>
        <w:separator/>
      </w:r>
    </w:p>
  </w:endnote>
  <w:endnote w:type="continuationSeparator" w:id="0">
    <w:p w:rsidR="00FB7796" w:rsidRDefault="00FB77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Noto Sans Symbols">
    <w:altName w:val="Calibri"/>
    <w:charset w:val="00"/>
    <w:family w:val="auto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015B0" w:rsidRDefault="001076C0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jc w:val="right"/>
      <w:rPr>
        <w:color w:val="000000"/>
        <w:sz w:val="24"/>
        <w:szCs w:val="24"/>
      </w:rPr>
    </w:pPr>
    <w:r>
      <w:rPr>
        <w:color w:val="000000"/>
        <w:sz w:val="24"/>
        <w:szCs w:val="24"/>
      </w:rPr>
      <w:fldChar w:fldCharType="begin"/>
    </w:r>
    <w:r>
      <w:rPr>
        <w:color w:val="000000"/>
        <w:sz w:val="24"/>
        <w:szCs w:val="24"/>
      </w:rPr>
      <w:instrText>PAGE</w:instrText>
    </w:r>
    <w:r>
      <w:rPr>
        <w:color w:val="000000"/>
        <w:sz w:val="24"/>
        <w:szCs w:val="24"/>
      </w:rPr>
      <w:fldChar w:fldCharType="separate"/>
    </w:r>
    <w:r w:rsidR="0097062A">
      <w:rPr>
        <w:noProof/>
        <w:color w:val="000000"/>
        <w:sz w:val="24"/>
        <w:szCs w:val="24"/>
      </w:rPr>
      <w:t>1</w:t>
    </w:r>
    <w:r>
      <w:rPr>
        <w:color w:val="000000"/>
        <w:sz w:val="24"/>
        <w:szCs w:val="24"/>
      </w:rPr>
      <w:fldChar w:fldCharType="end"/>
    </w:r>
  </w:p>
  <w:p w:rsidR="00D015B0" w:rsidRDefault="00D015B0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rPr>
        <w:color w:val="000000"/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B7796" w:rsidRDefault="00FB7796">
      <w:r>
        <w:separator/>
      </w:r>
    </w:p>
  </w:footnote>
  <w:footnote w:type="continuationSeparator" w:id="0">
    <w:p w:rsidR="00FB7796" w:rsidRDefault="00FB779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015B0" w:rsidRDefault="001076C0">
    <w:pPr>
      <w:widowControl w:val="0"/>
      <w:pBdr>
        <w:top w:val="nil"/>
        <w:left w:val="nil"/>
        <w:bottom w:val="nil"/>
        <w:right w:val="nil"/>
        <w:between w:val="nil"/>
      </w:pBdr>
      <w:tabs>
        <w:tab w:val="left" w:pos="2990"/>
        <w:tab w:val="left" w:pos="6348"/>
      </w:tabs>
      <w:ind w:left="-397"/>
      <w:jc w:val="center"/>
      <w:rPr>
        <w:rFonts w:ascii="Arial" w:eastAsia="Arial" w:hAnsi="Arial" w:cs="Arial"/>
        <w:color w:val="000000"/>
        <w:sz w:val="22"/>
        <w:szCs w:val="22"/>
      </w:rPr>
    </w:pPr>
    <w:r>
      <w:rPr>
        <w:rFonts w:ascii="Arial" w:eastAsia="Arial" w:hAnsi="Arial" w:cs="Arial"/>
        <w:color w:val="000000"/>
        <w:sz w:val="22"/>
        <w:szCs w:val="22"/>
      </w:rPr>
      <w:t>Poznámky Úč POD 3 – 01                           IČO: 3</w:t>
    </w:r>
    <w:r w:rsidR="00774B5A">
      <w:rPr>
        <w:rFonts w:ascii="Arial" w:eastAsia="Arial" w:hAnsi="Arial" w:cs="Arial"/>
        <w:color w:val="000000"/>
        <w:sz w:val="22"/>
        <w:szCs w:val="22"/>
      </w:rPr>
      <w:t>1731171</w:t>
    </w:r>
    <w:r>
      <w:rPr>
        <w:rFonts w:ascii="Arial" w:eastAsia="Arial" w:hAnsi="Arial" w:cs="Arial"/>
        <w:color w:val="000000"/>
        <w:sz w:val="22"/>
        <w:szCs w:val="22"/>
      </w:rPr>
      <w:t xml:space="preserve">        DIČ: </w:t>
    </w:r>
    <w:r w:rsidR="00774B5A">
      <w:rPr>
        <w:rFonts w:ascii="Arial" w:eastAsia="Arial" w:hAnsi="Arial" w:cs="Arial"/>
        <w:color w:val="000000"/>
        <w:sz w:val="22"/>
        <w:szCs w:val="22"/>
      </w:rPr>
      <w:t>2020505861</w:t>
    </w:r>
  </w:p>
  <w:p w:rsidR="00D015B0" w:rsidRDefault="00D015B0">
    <w:pPr>
      <w:pBdr>
        <w:top w:val="nil"/>
        <w:left w:val="nil"/>
        <w:bottom w:val="nil"/>
        <w:right w:val="nil"/>
        <w:between w:val="nil"/>
      </w:pBdr>
      <w:tabs>
        <w:tab w:val="center" w:pos="4703"/>
        <w:tab w:val="right" w:pos="9406"/>
      </w:tabs>
      <w:rPr>
        <w:color w:val="000000"/>
        <w:sz w:val="24"/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015B0" w:rsidRDefault="00D015B0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color w:val="000000"/>
        <w:sz w:val="24"/>
        <w:szCs w:val="24"/>
      </w:rPr>
    </w:pPr>
  </w:p>
  <w:tbl>
    <w:tblPr>
      <w:tblStyle w:val="aa"/>
      <w:tblW w:w="8794" w:type="dxa"/>
      <w:tblInd w:w="55" w:type="dxa"/>
      <w:tblLayout w:type="fixed"/>
      <w:tblLook w:val="0000" w:firstRow="0" w:lastRow="0" w:firstColumn="0" w:lastColumn="0" w:noHBand="0" w:noVBand="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D015B0">
      <w:trPr>
        <w:trHeight w:val="330"/>
      </w:trPr>
      <w:tc>
        <w:tcPr>
          <w:tcW w:w="0" w:type="auto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15B0" w:rsidRDefault="001076C0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ind w:left="0" w:hanging="2"/>
            <w:rPr>
              <w:rFonts w:ascii="Times New Roman" w:eastAsia="Times New Roman" w:hAnsi="Times New Roman"/>
              <w:color w:val="000000"/>
              <w:sz w:val="24"/>
              <w:szCs w:val="24"/>
            </w:rPr>
          </w:pPr>
          <w:r>
            <w:rPr>
              <w:rFonts w:ascii="Times New Roman" w:eastAsia="Times New Roman" w:hAnsi="Times New Roman"/>
              <w:color w:val="000000"/>
              <w:sz w:val="24"/>
              <w:szCs w:val="24"/>
            </w:rPr>
            <w:t>Poznámky Úč POD 3 - 04</w:t>
          </w:r>
        </w:p>
      </w:tc>
      <w:tc>
        <w:tcPr>
          <w:tcW w:w="0" w:type="auto"/>
          <w:tcBorders>
            <w:top w:val="nil"/>
            <w:left w:val="nil"/>
            <w:bottom w:val="nil"/>
            <w:right w:val="nil"/>
          </w:tcBorders>
        </w:tcPr>
        <w:p w:rsidR="00D015B0" w:rsidRDefault="00D015B0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ind w:left="0" w:hanging="2"/>
            <w:jc w:val="center"/>
            <w:rPr>
              <w:rFonts w:ascii="Times New Roman" w:eastAsia="Times New Roman" w:hAnsi="Times New Roman"/>
              <w:color w:val="000000"/>
              <w:sz w:val="24"/>
              <w:szCs w:val="24"/>
            </w:rPr>
          </w:pPr>
        </w:p>
      </w:tc>
      <w:tc>
        <w:tcPr>
          <w:tcW w:w="0" w:type="auto"/>
          <w:tcBorders>
            <w:top w:val="nil"/>
            <w:left w:val="nil"/>
            <w:bottom w:val="nil"/>
            <w:right w:val="nil"/>
          </w:tcBorders>
        </w:tcPr>
        <w:p w:rsidR="00D015B0" w:rsidRDefault="001076C0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ind w:left="0" w:hanging="2"/>
            <w:rPr>
              <w:rFonts w:ascii="Times New Roman" w:eastAsia="Times New Roman" w:hAnsi="Times New Roman"/>
              <w:color w:val="000000"/>
              <w:sz w:val="24"/>
              <w:szCs w:val="24"/>
            </w:rPr>
          </w:pPr>
          <w:r>
            <w:rPr>
              <w:rFonts w:ascii="Times New Roman" w:eastAsia="Times New Roman" w:hAnsi="Times New Roman"/>
              <w:color w:val="000000"/>
              <w:sz w:val="24"/>
              <w:szCs w:val="24"/>
            </w:rPr>
            <w:t>DIČ</w:t>
          </w:r>
        </w:p>
      </w:tc>
      <w:tc>
        <w:tcPr>
          <w:tcW w:w="0" w:type="auto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:rsidR="00D015B0" w:rsidRDefault="001076C0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ind w:left="0" w:hanging="2"/>
            <w:jc w:val="center"/>
            <w:rPr>
              <w:rFonts w:ascii="Times New Roman" w:eastAsia="Times New Roman" w:hAnsi="Times New Roman"/>
              <w:color w:val="000000"/>
              <w:sz w:val="24"/>
              <w:szCs w:val="24"/>
            </w:rPr>
          </w:pPr>
          <w:r>
            <w:rPr>
              <w:rFonts w:ascii="Times New Roman" w:eastAsia="Times New Roman" w:hAnsi="Times New Roman"/>
              <w:color w:val="000000"/>
              <w:sz w:val="24"/>
              <w:szCs w:val="24"/>
            </w:rPr>
            <w:t> 1</w:t>
          </w:r>
        </w:p>
      </w:tc>
      <w:tc>
        <w:tcPr>
          <w:tcW w:w="0" w:type="auto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center"/>
        </w:tcPr>
        <w:p w:rsidR="00D015B0" w:rsidRDefault="001076C0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ind w:left="0" w:hanging="2"/>
            <w:jc w:val="center"/>
            <w:rPr>
              <w:rFonts w:ascii="Times New Roman" w:eastAsia="Times New Roman" w:hAnsi="Times New Roman"/>
              <w:color w:val="000000"/>
              <w:sz w:val="24"/>
              <w:szCs w:val="24"/>
            </w:rPr>
          </w:pPr>
          <w:r>
            <w:rPr>
              <w:rFonts w:ascii="Times New Roman" w:eastAsia="Times New Roman" w:hAnsi="Times New Roman"/>
              <w:color w:val="000000"/>
              <w:sz w:val="24"/>
              <w:szCs w:val="24"/>
            </w:rPr>
            <w:t>2 </w:t>
          </w:r>
        </w:p>
      </w:tc>
      <w:tc>
        <w:tcPr>
          <w:tcW w:w="0" w:type="auto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center"/>
        </w:tcPr>
        <w:p w:rsidR="00D015B0" w:rsidRDefault="001076C0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ind w:left="0" w:hanging="2"/>
            <w:jc w:val="center"/>
            <w:rPr>
              <w:rFonts w:ascii="Times New Roman" w:eastAsia="Times New Roman" w:hAnsi="Times New Roman"/>
              <w:color w:val="000000"/>
              <w:sz w:val="24"/>
              <w:szCs w:val="24"/>
            </w:rPr>
          </w:pPr>
          <w:r>
            <w:rPr>
              <w:rFonts w:ascii="Times New Roman" w:eastAsia="Times New Roman" w:hAnsi="Times New Roman"/>
              <w:color w:val="000000"/>
              <w:sz w:val="24"/>
              <w:szCs w:val="24"/>
            </w:rPr>
            <w:t>3 </w:t>
          </w:r>
        </w:p>
      </w:tc>
      <w:tc>
        <w:tcPr>
          <w:tcW w:w="0" w:type="auto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center"/>
        </w:tcPr>
        <w:p w:rsidR="00D015B0" w:rsidRDefault="001076C0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ind w:left="0" w:hanging="2"/>
            <w:jc w:val="center"/>
            <w:rPr>
              <w:rFonts w:ascii="Times New Roman" w:eastAsia="Times New Roman" w:hAnsi="Times New Roman"/>
              <w:color w:val="000000"/>
              <w:sz w:val="24"/>
              <w:szCs w:val="24"/>
            </w:rPr>
          </w:pPr>
          <w:r>
            <w:rPr>
              <w:rFonts w:ascii="Times New Roman" w:eastAsia="Times New Roman" w:hAnsi="Times New Roman"/>
              <w:color w:val="000000"/>
              <w:sz w:val="24"/>
              <w:szCs w:val="24"/>
            </w:rPr>
            <w:t>4 </w:t>
          </w:r>
        </w:p>
      </w:tc>
      <w:tc>
        <w:tcPr>
          <w:tcW w:w="0" w:type="auto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center"/>
        </w:tcPr>
        <w:p w:rsidR="00D015B0" w:rsidRDefault="001076C0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ind w:left="0" w:hanging="2"/>
            <w:jc w:val="center"/>
            <w:rPr>
              <w:rFonts w:ascii="Times New Roman" w:eastAsia="Times New Roman" w:hAnsi="Times New Roman"/>
              <w:color w:val="000000"/>
              <w:sz w:val="24"/>
              <w:szCs w:val="24"/>
            </w:rPr>
          </w:pPr>
          <w:r>
            <w:rPr>
              <w:rFonts w:ascii="Times New Roman" w:eastAsia="Times New Roman" w:hAnsi="Times New Roman"/>
              <w:color w:val="000000"/>
              <w:sz w:val="24"/>
              <w:szCs w:val="24"/>
            </w:rPr>
            <w:t>5 </w:t>
          </w:r>
        </w:p>
      </w:tc>
      <w:tc>
        <w:tcPr>
          <w:tcW w:w="0" w:type="auto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center"/>
        </w:tcPr>
        <w:p w:rsidR="00D015B0" w:rsidRDefault="001076C0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ind w:left="0" w:hanging="2"/>
            <w:jc w:val="center"/>
            <w:rPr>
              <w:rFonts w:ascii="Times New Roman" w:eastAsia="Times New Roman" w:hAnsi="Times New Roman"/>
              <w:color w:val="000000"/>
              <w:sz w:val="24"/>
              <w:szCs w:val="24"/>
            </w:rPr>
          </w:pPr>
          <w:r>
            <w:rPr>
              <w:rFonts w:ascii="Times New Roman" w:eastAsia="Times New Roman" w:hAnsi="Times New Roman"/>
              <w:color w:val="000000"/>
              <w:sz w:val="24"/>
              <w:szCs w:val="24"/>
            </w:rPr>
            <w:t>6 </w:t>
          </w:r>
        </w:p>
      </w:tc>
      <w:tc>
        <w:tcPr>
          <w:tcW w:w="0" w:type="auto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center"/>
        </w:tcPr>
        <w:p w:rsidR="00D015B0" w:rsidRDefault="001076C0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ind w:left="0" w:hanging="2"/>
            <w:jc w:val="center"/>
            <w:rPr>
              <w:rFonts w:ascii="Times New Roman" w:eastAsia="Times New Roman" w:hAnsi="Times New Roman"/>
              <w:color w:val="000000"/>
              <w:sz w:val="24"/>
              <w:szCs w:val="24"/>
            </w:rPr>
          </w:pPr>
          <w:r>
            <w:rPr>
              <w:rFonts w:ascii="Times New Roman" w:eastAsia="Times New Roman" w:hAnsi="Times New Roman"/>
              <w:color w:val="000000"/>
              <w:sz w:val="24"/>
              <w:szCs w:val="24"/>
            </w:rPr>
            <w:t>7 </w:t>
          </w:r>
        </w:p>
      </w:tc>
      <w:tc>
        <w:tcPr>
          <w:tcW w:w="0" w:type="auto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center"/>
        </w:tcPr>
        <w:p w:rsidR="00D015B0" w:rsidRDefault="001076C0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ind w:left="0" w:hanging="2"/>
            <w:jc w:val="center"/>
            <w:rPr>
              <w:rFonts w:ascii="Times New Roman" w:eastAsia="Times New Roman" w:hAnsi="Times New Roman"/>
              <w:color w:val="000000"/>
              <w:sz w:val="24"/>
              <w:szCs w:val="24"/>
            </w:rPr>
          </w:pPr>
          <w:r>
            <w:rPr>
              <w:rFonts w:ascii="Times New Roman" w:eastAsia="Times New Roman" w:hAnsi="Times New Roman"/>
              <w:color w:val="000000"/>
              <w:sz w:val="24"/>
              <w:szCs w:val="24"/>
            </w:rPr>
            <w:t>8 </w:t>
          </w:r>
        </w:p>
      </w:tc>
      <w:tc>
        <w:tcPr>
          <w:tcW w:w="0" w:type="auto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center"/>
        </w:tcPr>
        <w:p w:rsidR="00D015B0" w:rsidRDefault="001076C0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ind w:left="0" w:hanging="2"/>
            <w:jc w:val="center"/>
            <w:rPr>
              <w:rFonts w:ascii="Times New Roman" w:eastAsia="Times New Roman" w:hAnsi="Times New Roman"/>
              <w:color w:val="000000"/>
              <w:sz w:val="24"/>
              <w:szCs w:val="24"/>
            </w:rPr>
          </w:pPr>
          <w:r>
            <w:rPr>
              <w:rFonts w:ascii="Times New Roman" w:eastAsia="Times New Roman" w:hAnsi="Times New Roman"/>
              <w:color w:val="000000"/>
              <w:sz w:val="24"/>
              <w:szCs w:val="24"/>
            </w:rPr>
            <w:t>9 </w:t>
          </w:r>
        </w:p>
      </w:tc>
      <w:tc>
        <w:tcPr>
          <w:tcW w:w="0" w:type="auto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center"/>
        </w:tcPr>
        <w:p w:rsidR="00D015B0" w:rsidRDefault="001076C0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ind w:left="0" w:hanging="2"/>
            <w:jc w:val="center"/>
            <w:rPr>
              <w:rFonts w:ascii="Times New Roman" w:eastAsia="Times New Roman" w:hAnsi="Times New Roman"/>
              <w:color w:val="000000"/>
              <w:sz w:val="24"/>
              <w:szCs w:val="24"/>
            </w:rPr>
          </w:pPr>
          <w:r>
            <w:rPr>
              <w:rFonts w:ascii="Times New Roman" w:eastAsia="Times New Roman" w:hAnsi="Times New Roman"/>
              <w:color w:val="000000"/>
              <w:sz w:val="24"/>
              <w:szCs w:val="24"/>
            </w:rPr>
            <w:t>0 </w:t>
          </w:r>
        </w:p>
      </w:tc>
    </w:tr>
  </w:tbl>
  <w:p w:rsidR="00D015B0" w:rsidRDefault="00D015B0">
    <w:pPr>
      <w:pBdr>
        <w:top w:val="nil"/>
        <w:left w:val="nil"/>
        <w:bottom w:val="nil"/>
        <w:right w:val="nil"/>
        <w:between w:val="nil"/>
      </w:pBdr>
      <w:tabs>
        <w:tab w:val="center" w:pos="4703"/>
        <w:tab w:val="right" w:pos="9406"/>
      </w:tabs>
      <w:rPr>
        <w:color w:val="000000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48D0D2F"/>
    <w:multiLevelType w:val="multilevel"/>
    <w:tmpl w:val="D4E4ACF6"/>
    <w:lvl w:ilvl="0">
      <w:start w:val="1"/>
      <w:numFmt w:val="bullet"/>
      <w:lvlText w:val="⮚"/>
      <w:lvlJc w:val="left"/>
      <w:pPr>
        <w:ind w:left="360" w:hanging="360"/>
      </w:pPr>
      <w:rPr>
        <w:rFonts w:ascii="Noto Sans Symbols" w:eastAsia="Noto Sans Symbols" w:hAnsi="Noto Sans Symbols" w:cs="Noto Sans Symbols"/>
        <w:vertAlign w:val="baseline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52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468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1" w15:restartNumberingAfterBreak="0">
    <w:nsid w:val="2AEA0AA7"/>
    <w:multiLevelType w:val="multilevel"/>
    <w:tmpl w:val="A12A714E"/>
    <w:lvl w:ilvl="0">
      <w:start w:val="6"/>
      <w:numFmt w:val="bullet"/>
      <w:pStyle w:val="Nadpis1"/>
      <w:lvlText w:val="-"/>
      <w:lvlJc w:val="left"/>
      <w:pPr>
        <w:ind w:left="720" w:hanging="360"/>
      </w:pPr>
      <w:rPr>
        <w:rFonts w:ascii="Arial Narrow" w:eastAsia="Arial Narrow" w:hAnsi="Arial Narrow" w:cs="Arial Narrow"/>
        <w:vertAlign w:val="baseli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2" w15:restartNumberingAfterBreak="0">
    <w:nsid w:val="42BC5F3A"/>
    <w:multiLevelType w:val="multilevel"/>
    <w:tmpl w:val="143800A4"/>
    <w:lvl w:ilvl="0">
      <w:start w:val="1"/>
      <w:numFmt w:val="bullet"/>
      <w:lvlText w:val="⮚"/>
      <w:lvlJc w:val="left"/>
      <w:pPr>
        <w:ind w:left="360" w:hanging="360"/>
      </w:pPr>
      <w:rPr>
        <w:rFonts w:ascii="Noto Sans Symbols" w:eastAsia="Noto Sans Symbols" w:hAnsi="Noto Sans Symbols" w:cs="Noto Sans Symbols"/>
        <w:vertAlign w:val="baseline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52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468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3" w15:restartNumberingAfterBreak="0">
    <w:nsid w:val="6B851B3A"/>
    <w:multiLevelType w:val="multilevel"/>
    <w:tmpl w:val="8B20CD06"/>
    <w:lvl w:ilvl="0">
      <w:start w:val="1"/>
      <w:numFmt w:val="bullet"/>
      <w:lvlText w:val="⮚"/>
      <w:lvlJc w:val="left"/>
      <w:pPr>
        <w:ind w:left="360" w:hanging="360"/>
      </w:pPr>
      <w:rPr>
        <w:rFonts w:ascii="Noto Sans Symbols" w:eastAsia="Noto Sans Symbols" w:hAnsi="Noto Sans Symbols" w:cs="Noto Sans Symbols"/>
        <w:vertAlign w:val="baseline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52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468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4" w15:restartNumberingAfterBreak="0">
    <w:nsid w:val="78F35080"/>
    <w:multiLevelType w:val="multilevel"/>
    <w:tmpl w:val="E3E452D8"/>
    <w:lvl w:ilvl="0">
      <w:start w:val="1"/>
      <w:numFmt w:val="decimal"/>
      <w:lvlText w:val="%1."/>
      <w:lvlJc w:val="left"/>
      <w:pPr>
        <w:ind w:left="36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52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468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vertAlign w:val="baseline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015B0"/>
    <w:rsid w:val="001076C0"/>
    <w:rsid w:val="00174C20"/>
    <w:rsid w:val="003C1249"/>
    <w:rsid w:val="004401C9"/>
    <w:rsid w:val="00532C20"/>
    <w:rsid w:val="00774B5A"/>
    <w:rsid w:val="007E5C1B"/>
    <w:rsid w:val="00895FEF"/>
    <w:rsid w:val="008F5D1F"/>
    <w:rsid w:val="009005CD"/>
    <w:rsid w:val="00900DD9"/>
    <w:rsid w:val="00906696"/>
    <w:rsid w:val="0097062A"/>
    <w:rsid w:val="009B54EE"/>
    <w:rsid w:val="009F0719"/>
    <w:rsid w:val="00AB6C99"/>
    <w:rsid w:val="00C95BE8"/>
    <w:rsid w:val="00D015B0"/>
    <w:rsid w:val="00D0173A"/>
    <w:rsid w:val="00DC7904"/>
    <w:rsid w:val="00F253BA"/>
    <w:rsid w:val="00F7139D"/>
    <w:rsid w:val="00F95935"/>
    <w:rsid w:val="00FB7796"/>
    <w:rsid w:val="00FF72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84BD5C"/>
  <w15:docId w15:val="{D7F08AD3-CB70-4B62-8D4E-159EADE897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"/>
    <w:next w:val="Nadpis2"/>
    <w:uiPriority w:val="9"/>
    <w:qFormat/>
    <w:pPr>
      <w:keepNext/>
      <w:numPr>
        <w:numId w:val="1"/>
      </w:numPr>
      <w:tabs>
        <w:tab w:val="num" w:pos="5220"/>
      </w:tabs>
      <w:spacing w:before="240" w:after="60"/>
      <w:ind w:left="4500" w:firstLine="360"/>
      <w:jc w:val="center"/>
    </w:pPr>
    <w:rPr>
      <w:b/>
      <w:bCs/>
      <w:kern w:val="32"/>
    </w:rPr>
  </w:style>
  <w:style w:type="paragraph" w:styleId="Nadpis2">
    <w:name w:val="heading 2"/>
    <w:basedOn w:val="Normln"/>
    <w:next w:val="Normln"/>
    <w:uiPriority w:val="9"/>
    <w:semiHidden/>
    <w:unhideWhenUsed/>
    <w:qFormat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dpis6">
    <w:name w:val="heading 6"/>
    <w:basedOn w:val="Normlny"/>
    <w:next w:val="Normlny"/>
    <w:uiPriority w:val="9"/>
    <w:semiHidden/>
    <w:unhideWhenUsed/>
    <w:qFormat/>
    <w:pPr>
      <w:keepNext/>
      <w:keepLines/>
      <w:spacing w:before="200" w:after="40"/>
      <w:outlineLvl w:val="5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customStyle="1" w:styleId="Normln">
    <w:name w:val="Normální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sz w:val="24"/>
      <w:szCs w:val="24"/>
    </w:rPr>
  </w:style>
  <w:style w:type="character" w:customStyle="1" w:styleId="Standardnpsmoodstavce">
    <w:name w:val="Standardní písmo odstavce"/>
    <w:rPr>
      <w:w w:val="100"/>
      <w:position w:val="-1"/>
      <w:effect w:val="none"/>
      <w:vertAlign w:val="baseline"/>
      <w:cs w:val="0"/>
      <w:em w:val="none"/>
    </w:rPr>
  </w:style>
  <w:style w:type="table" w:customStyle="1" w:styleId="Normlntabulka">
    <w:name w:val="Normální tabulka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Bezseznamu">
    <w:name w:val="Bez seznamu"/>
  </w:style>
  <w:style w:type="character" w:customStyle="1" w:styleId="Nadpis1Char">
    <w:name w:val="Nadpis 1 Char"/>
    <w:rPr>
      <w:b/>
      <w:bCs/>
      <w:w w:val="100"/>
      <w:kern w:val="32"/>
      <w:position w:val="-1"/>
      <w:sz w:val="24"/>
      <w:szCs w:val="24"/>
      <w:effect w:val="none"/>
      <w:vertAlign w:val="baseline"/>
      <w:cs w:val="0"/>
      <w:em w:val="none"/>
      <w:lang w:val="sk-SK" w:eastAsia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w w:val="100"/>
      <w:position w:val="-1"/>
      <w:sz w:val="28"/>
      <w:szCs w:val="28"/>
      <w:effect w:val="none"/>
      <w:vertAlign w:val="baseline"/>
      <w:cs w:val="0"/>
      <w:em w:val="none"/>
    </w:rPr>
  </w:style>
  <w:style w:type="paragraph" w:customStyle="1" w:styleId="Zkladntext1">
    <w:name w:val="Základní text1"/>
    <w:pPr>
      <w:suppressAutoHyphens/>
      <w:spacing w:after="240" w:line="1" w:lineRule="atLeast"/>
      <w:ind w:leftChars="-1" w:left="-1" w:hangingChars="1" w:hanging="1"/>
      <w:jc w:val="both"/>
      <w:textDirection w:val="btLr"/>
      <w:textAlignment w:val="top"/>
      <w:outlineLvl w:val="0"/>
    </w:pPr>
    <w:rPr>
      <w:color w:val="000000"/>
      <w:position w:val="-1"/>
      <w:sz w:val="24"/>
      <w:szCs w:val="24"/>
    </w:rPr>
  </w:style>
  <w:style w:type="paragraph" w:customStyle="1" w:styleId="Textpoznpodarou">
    <w:name w:val="Text pozn. pod čarou"/>
    <w:basedOn w:val="Normln"/>
    <w:rPr>
      <w:sz w:val="20"/>
      <w:szCs w:val="20"/>
    </w:rPr>
  </w:style>
  <w:style w:type="character" w:customStyle="1" w:styleId="TextpoznpodarouChar">
    <w:name w:val="Text pozn. pod čarou Char"/>
    <w:rPr>
      <w:w w:val="100"/>
      <w:position w:val="-1"/>
      <w:sz w:val="20"/>
      <w:szCs w:val="20"/>
      <w:effect w:val="none"/>
      <w:vertAlign w:val="baseline"/>
      <w:cs w:val="0"/>
      <w:em w:val="none"/>
    </w:rPr>
  </w:style>
  <w:style w:type="character" w:customStyle="1" w:styleId="Znakapoznpodarou">
    <w:name w:val="Značka pozn. pod čarou"/>
    <w:rPr>
      <w:w w:val="100"/>
      <w:position w:val="-1"/>
      <w:effect w:val="none"/>
      <w:vertAlign w:val="superscript"/>
      <w:cs w:val="0"/>
      <w:em w:val="none"/>
    </w:rPr>
  </w:style>
  <w:style w:type="paragraph" w:customStyle="1" w:styleId="Zpat">
    <w:name w:val="Zápatí"/>
    <w:basedOn w:val="Normln"/>
    <w:pPr>
      <w:tabs>
        <w:tab w:val="center" w:pos="4536"/>
        <w:tab w:val="right" w:pos="9072"/>
      </w:tabs>
    </w:pPr>
  </w:style>
  <w:style w:type="character" w:customStyle="1" w:styleId="ZpatChar">
    <w:name w:val="Zápatí Char"/>
    <w:rPr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slostrnky">
    <w:name w:val="Číslo stránky"/>
    <w:basedOn w:val="Standardnpsmoodstavce"/>
    <w:rPr>
      <w:w w:val="100"/>
      <w:position w:val="-1"/>
      <w:effect w:val="none"/>
      <w:vertAlign w:val="baseline"/>
      <w:cs w:val="0"/>
      <w:em w:val="none"/>
    </w:rPr>
  </w:style>
  <w:style w:type="table" w:customStyle="1" w:styleId="Mkatabulky">
    <w:name w:val="Mřížka tabulky"/>
    <w:basedOn w:val="Normlntabulka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zev">
    <w:name w:val="Název"/>
    <w:basedOn w:val="Normln"/>
    <w:next w:val="Normln"/>
    <w:pPr>
      <w:keepNext/>
      <w:spacing w:before="100" w:beforeAutospacing="1" w:after="220"/>
      <w:jc w:val="center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evChar">
    <w:name w:val="Název Char"/>
    <w:rPr>
      <w:rFonts w:ascii="Arial Narrow" w:hAnsi="Arial Narrow" w:cs="Arial Narrow"/>
      <w:b/>
      <w:bCs/>
      <w:w w:val="100"/>
      <w:kern w:val="28"/>
      <w:position w:val="-1"/>
      <w:sz w:val="32"/>
      <w:szCs w:val="32"/>
      <w:effect w:val="none"/>
      <w:vertAlign w:val="baseline"/>
      <w:cs w:val="0"/>
      <w:em w:val="none"/>
      <w:lang w:val="sk-SK"/>
    </w:rPr>
  </w:style>
  <w:style w:type="paragraph" w:customStyle="1" w:styleId="TopHeader">
    <w:name w:val="Top Header"/>
    <w:basedOn w:val="Normln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Zhlav">
    <w:name w:val="Záhlaví"/>
    <w:basedOn w:val="Normln"/>
    <w:pPr>
      <w:tabs>
        <w:tab w:val="center" w:pos="4703"/>
        <w:tab w:val="right" w:pos="9406"/>
      </w:tabs>
    </w:pPr>
  </w:style>
  <w:style w:type="character" w:customStyle="1" w:styleId="ZhlavChar">
    <w:name w:val="Záhlaví Char"/>
    <w:rPr>
      <w:w w:val="100"/>
      <w:position w:val="-1"/>
      <w:sz w:val="24"/>
      <w:szCs w:val="24"/>
      <w:effect w:val="none"/>
      <w:vertAlign w:val="baseline"/>
      <w:cs w:val="0"/>
      <w:em w:val="none"/>
      <w:lang w:val="sk-SK" w:eastAsia="sk-SK"/>
    </w:rPr>
  </w:style>
  <w:style w:type="paragraph" w:customStyle="1" w:styleId="Zkladntext">
    <w:name w:val="Základní text"/>
    <w:basedOn w:val="Normln"/>
    <w:qFormat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í text Char"/>
    <w:rPr>
      <w:w w:val="100"/>
      <w:position w:val="-1"/>
      <w:sz w:val="24"/>
      <w:szCs w:val="24"/>
      <w:effect w:val="none"/>
      <w:vertAlign w:val="baseline"/>
      <w:cs w:val="0"/>
      <w:em w:val="none"/>
      <w:lang w:val="en-US" w:eastAsia="en-US"/>
    </w:rPr>
  </w:style>
  <w:style w:type="table" w:customStyle="1" w:styleId="TableNormal0">
    <w:name w:val="Table Normal"/>
    <w:next w:val="TableNormal"/>
    <w:pPr>
      <w:widowControl w:val="0"/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rFonts w:ascii="Calibri" w:eastAsia="Calibri" w:hAnsi="Calibri"/>
      <w:position w:val="-1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odtitul">
    <w:name w:val="Subtitle"/>
    <w:basedOn w:val="Normlny"/>
    <w:next w:val="Normlny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8">
    <w:basedOn w:val="TableNormal0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9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0"/>
    <w:tblPr>
      <w:tblStyleRowBandSize w:val="1"/>
      <w:tblStyleColBandSize w:val="1"/>
      <w:tblCellMar>
        <w:left w:w="70" w:type="dxa"/>
        <w:right w:w="70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774B5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774B5A"/>
  </w:style>
  <w:style w:type="paragraph" w:styleId="Pta">
    <w:name w:val="footer"/>
    <w:basedOn w:val="Normlny"/>
    <w:link w:val="PtaChar"/>
    <w:uiPriority w:val="99"/>
    <w:unhideWhenUsed/>
    <w:rsid w:val="00774B5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774B5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Ob8WBccWcKV/QMoJl3zv2zNyKiw==">AMUW2mXe4HPu2mNiOfHVCBoS+sXn3ANWPKASz4M6h3ZN8texCPY3UH7sA4qYXT1KUvMX3fWes3HV5AfyxAv8P+wXlHakHmQPfji/Gxe7gXUHSoK2qIF4Y/4=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2975</Words>
  <Characters>16958</Characters>
  <Application>Microsoft Office Word</Application>
  <DocSecurity>0</DocSecurity>
  <Lines>141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BAKER</cp:lastModifiedBy>
  <cp:revision>2</cp:revision>
  <dcterms:created xsi:type="dcterms:W3CDTF">2024-04-30T08:14:00Z</dcterms:created>
  <dcterms:modified xsi:type="dcterms:W3CDTF">2024-04-30T08:14:00Z</dcterms:modified>
</cp:coreProperties>
</file>