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E0E00" w14:textId="311C4537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IČO  </w:t>
      </w:r>
      <w:r w:rsidR="008C3F2E">
        <w:rPr>
          <w:rFonts w:eastAsia="Times New Roman" w:cs="Times New Roman"/>
          <w:b/>
          <w:color w:val="00000A"/>
          <w:sz w:val="32"/>
          <w:vertAlign w:val="subscript"/>
        </w:rPr>
        <w:t>51706083</w:t>
      </w: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  DIČ </w:t>
      </w:r>
      <w:r w:rsidR="008C3F2E">
        <w:rPr>
          <w:rFonts w:eastAsia="Times New Roman" w:cs="Times New Roman"/>
          <w:b/>
          <w:color w:val="00000A"/>
          <w:sz w:val="32"/>
          <w:vertAlign w:val="subscript"/>
        </w:rPr>
        <w:t>2120763733</w:t>
      </w:r>
    </w:p>
    <w:p w14:paraId="5DEBF3F5" w14:textId="77777777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>POZNÁMKY K ÚČTOVNEJ ZÁVIERKE</w:t>
      </w:r>
    </w:p>
    <w:p w14:paraId="3FFAF5D1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19B5176A" w14:textId="02886053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44"/>
          <w:szCs w:val="44"/>
          <w:vertAlign w:val="subscript"/>
        </w:rPr>
      </w:pPr>
      <w:r>
        <w:rPr>
          <w:rFonts w:eastAsia="Times New Roman" w:cs="Times New Roman"/>
          <w:b/>
          <w:color w:val="00000A"/>
          <w:sz w:val="44"/>
          <w:szCs w:val="44"/>
          <w:vertAlign w:val="subscript"/>
        </w:rPr>
        <w:t>zostavenej ku dňu 31.12.20</w:t>
      </w:r>
      <w:r w:rsidR="00F51D1E">
        <w:rPr>
          <w:rFonts w:eastAsia="Times New Roman" w:cs="Times New Roman"/>
          <w:b/>
          <w:color w:val="00000A"/>
          <w:sz w:val="44"/>
          <w:szCs w:val="44"/>
          <w:vertAlign w:val="subscript"/>
        </w:rPr>
        <w:t>22</w:t>
      </w:r>
    </w:p>
    <w:p w14:paraId="534FF1BB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3CF983ED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r>
        <w:rPr>
          <w:rFonts w:eastAsia="Times New Roman" w:cs="Times New Roman"/>
          <w:color w:val="00000A"/>
          <w:sz w:val="20"/>
          <w:vertAlign w:val="subscript"/>
        </w:rPr>
        <w:t>podľa opatrenia Ministerstva financií Slovenskej republiky</w:t>
      </w:r>
    </w:p>
    <w:p w14:paraId="4B46F1A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 xml:space="preserve">/15464/2013-74 v znení </w:t>
      </w: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>/18008/2014-74</w:t>
      </w:r>
    </w:p>
    <w:p w14:paraId="7BB0F28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55DA1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9DBB7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42CB246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</w:t>
      </w:r>
    </w:p>
    <w:p w14:paraId="11BFE13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Všeobecné údaje</w:t>
      </w:r>
    </w:p>
    <w:p w14:paraId="092F3D18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744773D8" w14:textId="77777777" w:rsidR="00B82B36" w:rsidRDefault="00243917">
      <w:pPr>
        <w:pStyle w:val="Standard"/>
        <w:numPr>
          <w:ilvl w:val="0"/>
          <w:numId w:val="1"/>
        </w:numPr>
        <w:spacing w:line="240" w:lineRule="exact"/>
        <w:ind w:left="0" w:firstLine="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Názov právnickej osoby a jej sídlo alebo meno a priezvisko fyzickej osoby:</w:t>
      </w:r>
    </w:p>
    <w:p w14:paraId="74341329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0CD0091A" w14:textId="581E6BFD" w:rsidR="00B82B36" w:rsidRDefault="008C3F2E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32"/>
          <w:szCs w:val="32"/>
          <w:vertAlign w:val="subscript"/>
        </w:rPr>
      </w:pPr>
      <w:proofErr w:type="spellStart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Virtual</w:t>
      </w:r>
      <w:proofErr w:type="spellEnd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 Office </w:t>
      </w:r>
      <w:proofErr w:type="spellStart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House</w:t>
      </w:r>
      <w:proofErr w:type="spellEnd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 s.r.o.</w:t>
      </w:r>
      <w:r w:rsidR="00650F9C"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 Tajovského 34,</w:t>
      </w:r>
      <w:r w:rsidR="00F51D1E"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 974 0</w:t>
      </w:r>
      <w:r w:rsidR="00650F9C">
        <w:rPr>
          <w:rFonts w:eastAsia="Times New Roman" w:cs="Times New Roman"/>
          <w:b/>
          <w:color w:val="00000A"/>
          <w:sz w:val="32"/>
          <w:szCs w:val="32"/>
          <w:vertAlign w:val="subscript"/>
        </w:rPr>
        <w:t>9</w:t>
      </w:r>
      <w:r w:rsidR="00F51D1E"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 Banská Bystrica</w:t>
      </w:r>
    </w:p>
    <w:p w14:paraId="23F9F20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Účtovná jednotka nie je súčasťou konsolidovaného celku.</w:t>
      </w:r>
    </w:p>
    <w:p w14:paraId="46C5D5B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CD6E78D" w14:textId="785240C6" w:rsidR="00B82B36" w:rsidRDefault="00243917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Priemerný prepočítaný počet zamestnancov</w:t>
      </w:r>
      <w:r w:rsidR="00336065">
        <w:rPr>
          <w:rFonts w:eastAsia="Times New Roman" w:cs="Times New Roman"/>
          <w:color w:val="000000"/>
          <w:sz w:val="23"/>
          <w:vertAlign w:val="subscript"/>
        </w:rPr>
        <w:t xml:space="preserve">: </w:t>
      </w:r>
      <w:r w:rsidR="008C3F2E">
        <w:rPr>
          <w:rFonts w:eastAsia="Times New Roman" w:cs="Times New Roman"/>
          <w:color w:val="00000A"/>
          <w:vertAlign w:val="subscript"/>
        </w:rPr>
        <w:t>0</w:t>
      </w:r>
    </w:p>
    <w:p w14:paraId="4B7DE7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81DC36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DE9DAF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</w:t>
      </w:r>
    </w:p>
    <w:p w14:paraId="3F543D28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 o prijatých postupoch</w:t>
      </w:r>
    </w:p>
    <w:p w14:paraId="1DBB07A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B21E0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Účtovná závierka je zostavená, účtovná jednotka bude nepretržite pokračovať vo svojej činnosti.</w:t>
      </w:r>
    </w:p>
    <w:p w14:paraId="4DA7824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E3DCB7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Spôsob oceňovania jednotlivých položiek majetku a záväzkov, a to</w:t>
      </w:r>
    </w:p>
    <w:p w14:paraId="13B4514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dlhodobého nehmotného majetku, dlhodobého hmotného majetku a dlhodobého finančného majetku:</w:t>
      </w:r>
    </w:p>
    <w:p w14:paraId="079DF21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nakupovaný sa ocení v obstarávacích cenách, ktoré zahŕňajú cenu majetku, a náklady súvisiace s jeho obstarávaním (clo, prepravu, montáž a pod, )</w:t>
      </w:r>
    </w:p>
    <w:p w14:paraId="515D677F" w14:textId="74C7D44F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Dlhodobý majetok vytvorený vlast</w:t>
      </w:r>
      <w:r w:rsidR="00F51D1E">
        <w:rPr>
          <w:rFonts w:eastAsia="Times New Roman" w:cs="Times New Roman"/>
          <w:color w:val="000000"/>
          <w:sz w:val="23"/>
          <w:vertAlign w:val="subscript"/>
        </w:rPr>
        <w:t>n</w:t>
      </w:r>
      <w:r>
        <w:rPr>
          <w:rFonts w:eastAsia="Times New Roman" w:cs="Times New Roman"/>
          <w:color w:val="000000"/>
          <w:sz w:val="23"/>
          <w:vertAlign w:val="subscript"/>
        </w:rPr>
        <w:t>ou činnosťou sa oceňuje vlastnými nákladmi. Vlastnými nákladmi sú všetky priame náklady vynaložené na výrobu alebo inú činnosť a nepriame náklady, ktoré sa vzťahujú na výrobu alebo inú činnosť.</w:t>
      </w:r>
    </w:p>
    <w:p w14:paraId="075858BE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351303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zásob obstaraných kúpou, zásob vytvorených vlastnou činnosťou:</w:t>
      </w:r>
    </w:p>
    <w:p w14:paraId="3CB27FF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Zásoby nakupované sa ocenia v obstarávacích cenách, ktoré zahŕňajú cenu zásob a náklady súvisiace s jeho obstarávaním (clo, prepravu, montáž a pod, )</w:t>
      </w:r>
    </w:p>
    <w:p w14:paraId="26E53C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Spoločnosť neprevádzkuje vlastnú výrobu, pri ktorej vznikajú vnútroorganizačné zásoby.</w:t>
      </w:r>
    </w:p>
    <w:p w14:paraId="4347D1B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45D8C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pohľadávok:</w:t>
      </w:r>
    </w:p>
    <w:p w14:paraId="539984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Pohľadávky pri vzniku sa oceňujú ich menovitou hodnotou. Postúpené pohľadávky a pohľadávky nadobudnuté vkladom do základného imania sa oceňujú obstarávacou cenou vrátane nákladov súvisiacich s obstaraním. Toto obstaranie sa znižuje o pochybné a nevymožiteľné pohľadávky.</w:t>
      </w:r>
    </w:p>
    <w:p w14:paraId="438CB0D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7690BE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krátkodobého finančného majetku:</w:t>
      </w:r>
    </w:p>
    <w:p w14:paraId="63FAC16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Peňažné prostriedky a ceniny sa oceňujú ich menovitou hodnotou.</w:t>
      </w:r>
    </w:p>
    <w:p w14:paraId="25D9C15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DDB004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záväzkov vrátane rezerv, dlhopisov, pôžičiek a úverov:</w:t>
      </w:r>
    </w:p>
    <w:p w14:paraId="45A7275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Rezervy sa tvoria na krytie známych rizík, alebo strát z podnikania. Oceňujú sa v očakávanej výške záväzku.</w:t>
      </w:r>
    </w:p>
    <w:p w14:paraId="389D3C9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32AAD6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Záväzky (vrátane dlhopisov, pôžičiek a úverov)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174BDB0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41E90B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f) derivátových operácií:</w:t>
      </w:r>
    </w:p>
    <w:p w14:paraId="33A34A1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ab/>
        <w:t>Spoločnosť neobchoduje s derivátmi</w:t>
      </w:r>
    </w:p>
    <w:p w14:paraId="1A5D8336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07F6C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Spôsob zostavenia odpisového plánu pre jednotlivé druhy dlhodobého hmotného majetku a dlhodobého nehmotného majetku, uvádzame dobu odpisovania, použité sadzby odpisov a odpisové metódy pri určení odpisov:</w:t>
      </w:r>
    </w:p>
    <w:p w14:paraId="0383D1A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sa odpisuje rovnomerne alebo zrýchlene na základe jeho predpokladanej ekonomickej životnosti, v súlade s ustanoveniami zákona NR SR č. 595/2003 Zb. O daniach z príjmov,  §§ 22-29.</w:t>
      </w:r>
      <w:r>
        <w:rPr>
          <w:rFonts w:eastAsia="Times New Roman" w:cs="Times New Roman"/>
          <w:color w:val="000000"/>
          <w:sz w:val="23"/>
          <w:vertAlign w:val="subscript"/>
        </w:rPr>
        <w:tab/>
      </w:r>
      <w:r>
        <w:rPr>
          <w:rFonts w:eastAsia="Times New Roman" w:cs="Times New Roman"/>
          <w:color w:val="000000"/>
          <w:sz w:val="23"/>
          <w:vertAlign w:val="subscript"/>
        </w:rPr>
        <w:tab/>
      </w:r>
    </w:p>
    <w:p w14:paraId="730E43D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Drobný nehmotný majetok, ktorého cena je nižšia ako 2400 EUR a drobný hmotný majetok, ktorého cena je nižšia </w:t>
      </w: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ko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1700 EUR sa odpisuje jednorazovo, pri uvedení do používania.</w:t>
      </w:r>
    </w:p>
    <w:p w14:paraId="054E537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E508D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Zmeny účtovných zásad a zmeny účtovných metód a dôvod týchto zmien, vy</w:t>
      </w:r>
    </w:p>
    <w:p w14:paraId="75922A8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íslenie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ich vplyvu na finančnú hodnotu majetku, záväzkov, základného imania a výsledku hospodárenia účtovnej jednotky:</w:t>
      </w:r>
    </w:p>
    <w:p w14:paraId="03765CE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zmeny účtovných zásad a zmeny účtovných metód neboli vykonané.</w:t>
      </w:r>
    </w:p>
    <w:p w14:paraId="6ED5E38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E85957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dotáciách a ich oceňovanie v účtovníctve:</w:t>
      </w:r>
    </w:p>
    <w:p w14:paraId="05C2F84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neprijala žiadne dotácie.</w:t>
      </w:r>
    </w:p>
    <w:p w14:paraId="23BB88A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6EFE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účtovaní opráv chýb minulých účtovných období:</w:t>
      </w:r>
    </w:p>
    <w:p w14:paraId="29DE13F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informácie o účtovaní významných opráv chýb minulých účtovných období v bežnom účtovnom období a ich vplyv na nerozdelený zisk minulých rokov alebo neuhradenú stratu minulých rokov:</w:t>
      </w:r>
    </w:p>
    <w:p w14:paraId="47B184A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významných opravách chýb minulých účtovných období.</w:t>
      </w:r>
    </w:p>
    <w:p w14:paraId="003C1B2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CE93D2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informácie o účtovaní nevýznamných opráv chýb minulých účtovných období v bežnom účtovnom období a ich vplyv na nerozdelený zisk minulých rokov alebo neuhradenú stratu minulých rokov:</w:t>
      </w:r>
    </w:p>
    <w:p w14:paraId="3ADC6A5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nevýznamných opravách chýb minulých účtovných období.</w:t>
      </w:r>
    </w:p>
    <w:p w14:paraId="34E8A46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BF72B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44AD18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557127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III</w:t>
      </w:r>
    </w:p>
    <w:p w14:paraId="29E2ACBA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Informácie, ktoré vysvetľujú a dopĺňajú súvahu a výkaz ziskov a strát</w:t>
      </w:r>
    </w:p>
    <w:p w14:paraId="780920F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142122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</w:t>
      </w:r>
    </w:p>
    <w:p w14:paraId="2EBE153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výnimočné položky nákladov alebo výnosov nevznikli.</w:t>
      </w:r>
    </w:p>
    <w:p w14:paraId="4D41A72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AB6E69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Informácie o záväzkoch:</w:t>
      </w:r>
    </w:p>
    <w:p w14:paraId="05B879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záväzkov so zostatkovou dobou splatnosti dlhšou ako päť rokov:</w:t>
      </w:r>
    </w:p>
    <w:p w14:paraId="112B7CB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0.00</w:t>
      </w:r>
    </w:p>
    <w:p w14:paraId="4C5BD0E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6AA4C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zabezpečených záväzkov, opis a spôsoby zabezpečenia záväzkov:</w:t>
      </w:r>
    </w:p>
    <w:p w14:paraId="0B41601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nemá žiadne zabezpečené záväzky.</w:t>
      </w:r>
    </w:p>
    <w:p w14:paraId="660FD92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90B5B2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Spoločnosť neemitovala vlastné akcie.</w:t>
      </w:r>
    </w:p>
    <w:p w14:paraId="13B3DB4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5F007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Informácie o orgánoch účtovnej jednotky:</w:t>
      </w:r>
    </w:p>
    <w:p w14:paraId="146C5CA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výška jednotlivých druhov záruk alebo iných zabezpečení poskytnutých pre členov štatutárneho orgánu, dozorného orgánu a iného orgánu účtovnej jednotky, a to v členení za jednotlivé orgány:</w:t>
      </w:r>
    </w:p>
    <w:p w14:paraId="1C2C030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F7D2DD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055369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pôžičky poskytnuté členom štatutárneho orgánu, dozorného orgánu a iného orgánu účtovnej jednotky a to:</w:t>
      </w:r>
    </w:p>
    <w:p w14:paraId="401C781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celková suma poskytnutých pôžičiek k poslednému dňu účtovného obdobia v členení za jednotlivé orgány:</w:t>
      </w:r>
    </w:p>
    <w:p w14:paraId="1F3771B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D11E9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335993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celková suma splatených pôžičiek k poslednému dňu účtovného obdobia v členení za jednotlivé orgány:</w:t>
      </w:r>
    </w:p>
    <w:p w14:paraId="5A430AC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ab/>
        <w:t>žiadne</w:t>
      </w:r>
    </w:p>
    <w:p w14:paraId="59003DB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4B964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3. celková suma odpustených pôžičiek a odpísaných pôžičiek k poslednému dňu účtovného obdobia v členení za jednotlivé orgány:</w:t>
      </w:r>
    </w:p>
    <w:p w14:paraId="63D0051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3E61311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1A4BCA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hlavné podmienky, na základe ktorých im boli záruky alebo iné zabezpečenie a pôžičky poskytnuté, pri pôžičkách sa uvádzajú úrokové sadzby:</w:t>
      </w:r>
    </w:p>
    <w:p w14:paraId="17E6648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CAC682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D24DF2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použitých finančných prostriedkov alebo iného plnenia na súkromné účely členmi štatutárneho orgánu, dozorného orgánu a iného orgánu účtovnej jednotky, ktoré je potrebné vyúčtovať:</w:t>
      </w:r>
    </w:p>
    <w:p w14:paraId="0A9201E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1E5F1AC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193692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povinnostiach účtovnej jednotky:</w:t>
      </w:r>
    </w:p>
    <w:p w14:paraId="4F352E9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 w14:paraId="46485C1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102FD3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AB9B6D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významných podmienených záväzkov, a to:</w:t>
      </w:r>
    </w:p>
    <w:p w14:paraId="51A76FD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možná povinnosť, ktorá vznikla ako dôsledok minulej udalosti a ktorej existencia závisí od toho, či nastane alebo nenastane jedna alebo viac neistých udalostí v budúcnosti, ktorých vznik nezávisí od účtovnej jednotky:</w:t>
      </w:r>
    </w:p>
    <w:p w14:paraId="1F79F42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24994C3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0DF36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existujúca povinnosť, ktorá vznikla ako dôsledok minulej udalosti, ale ktorá sa nevykazuje v súvahe, pretože</w:t>
      </w:r>
    </w:p>
    <w:p w14:paraId="3A40C32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2a. nie je pravdepodobné, že na splnenie tejto povinnosti bude potrebný úbytok ekonomických úžitkov, alebo</w:t>
      </w:r>
    </w:p>
    <w:p w14:paraId="618BF3E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2b. výška tejto povinnosti sa nedá spoľahlivo oceniť:</w:t>
      </w:r>
    </w:p>
    <w:p w14:paraId="5119CAD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587DB6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7F989F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opis významných finančných povinností a významných podmienených záväzkov:</w:t>
      </w:r>
    </w:p>
    <w:p w14:paraId="2B2F7AE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78A375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A25D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významných finančných povinností a významných podmienených záväzkoch voči dcérskej účtovnej jednotke a účtovnej jednotke s podstatným vplyvom:</w:t>
      </w:r>
    </w:p>
    <w:p w14:paraId="250AF1D7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FEC90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16714F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opis významných povinností účtovnej jednotky vyplývajúcich z dôchodkových programov pre zamestnancov:</w:t>
      </w:r>
    </w:p>
    <w:p w14:paraId="0A9AF05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501FE9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908BF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udelení výlučného práva alebo osobitného práva, ktorým sa udelilo právo poskytovať služby vo verejnom záujme, pričom sa uvádza náhrada za túto činnosť v akejkoľvek forme:</w:t>
      </w:r>
    </w:p>
    <w:p w14:paraId="0C55997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neposkytuje služby vo verejnom záujme.</w:t>
      </w:r>
    </w:p>
    <w:p w14:paraId="4AECEF7A" w14:textId="77777777" w:rsidR="00B82B36" w:rsidRDefault="00B82B36">
      <w:pPr>
        <w:pStyle w:val="Standard"/>
        <w:spacing w:after="200" w:line="276" w:lineRule="exact"/>
      </w:pPr>
    </w:p>
    <w:sectPr w:rsidR="00B82B36"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5DEA01" w14:textId="77777777" w:rsidR="009A516D" w:rsidRDefault="009A516D">
      <w:r>
        <w:separator/>
      </w:r>
    </w:p>
  </w:endnote>
  <w:endnote w:type="continuationSeparator" w:id="0">
    <w:p w14:paraId="6529D81D" w14:textId="77777777" w:rsidR="009A516D" w:rsidRDefault="009A5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FC9EA6" w14:textId="77777777" w:rsidR="009A516D" w:rsidRDefault="009A516D">
      <w:r>
        <w:rPr>
          <w:color w:val="000000"/>
        </w:rPr>
        <w:separator/>
      </w:r>
    </w:p>
  </w:footnote>
  <w:footnote w:type="continuationSeparator" w:id="0">
    <w:p w14:paraId="7D060650" w14:textId="77777777" w:rsidR="009A516D" w:rsidRDefault="009A51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F035C3"/>
    <w:multiLevelType w:val="multilevel"/>
    <w:tmpl w:val="4B3CAD3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647829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B36"/>
    <w:rsid w:val="001447FE"/>
    <w:rsid w:val="00243917"/>
    <w:rsid w:val="002E7A70"/>
    <w:rsid w:val="0033039D"/>
    <w:rsid w:val="00336065"/>
    <w:rsid w:val="00454186"/>
    <w:rsid w:val="00650F9C"/>
    <w:rsid w:val="006C37E4"/>
    <w:rsid w:val="00855AEE"/>
    <w:rsid w:val="008C3F2E"/>
    <w:rsid w:val="009A516D"/>
    <w:rsid w:val="00B82B36"/>
    <w:rsid w:val="00C36029"/>
    <w:rsid w:val="00C95563"/>
    <w:rsid w:val="00E43760"/>
    <w:rsid w:val="00F5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9DCF5"/>
  <w15:docId w15:val="{DA10D2BC-82B8-469B-BCBC-D5539799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Ari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1103</Words>
  <Characters>6291</Characters>
  <Application>Microsoft Office Word</Application>
  <DocSecurity>0</DocSecurity>
  <Lines>52</Lines>
  <Paragraphs>14</Paragraphs>
  <ScaleCrop>false</ScaleCrop>
  <Company/>
  <LinksUpToDate>false</LinksUpToDate>
  <CharactersWithSpaces>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 Uhríková</cp:lastModifiedBy>
  <cp:revision>3</cp:revision>
  <dcterms:created xsi:type="dcterms:W3CDTF">2024-06-02T17:24:00Z</dcterms:created>
  <dcterms:modified xsi:type="dcterms:W3CDTF">2024-06-07T14:27:00Z</dcterms:modified>
</cp:coreProperties>
</file>