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4821" w:rsidRDefault="0016630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434821" w:rsidRDefault="0016630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434821" w:rsidRDefault="0016630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434821" w:rsidRDefault="00434821">
      <w:pPr>
        <w:rPr>
          <w:rFonts w:ascii="Arial Narrow" w:hAnsi="Arial Narrow"/>
          <w:sz w:val="22"/>
          <w:szCs w:val="22"/>
        </w:rPr>
      </w:pPr>
    </w:p>
    <w:p w:rsidR="00434821" w:rsidRDefault="00166304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434821" w:rsidRDefault="00434821">
      <w:pPr>
        <w:rPr>
          <w:rFonts w:ascii="Arial Narrow" w:hAnsi="Arial Narrow"/>
          <w:sz w:val="22"/>
          <w:szCs w:val="22"/>
        </w:rPr>
      </w:pPr>
    </w:p>
    <w:p w:rsidR="00434821" w:rsidRDefault="0016630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434821" w:rsidRDefault="00434821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43482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Hydroholding a.s.</w:t>
            </w:r>
          </w:p>
        </w:tc>
      </w:tr>
      <w:tr w:rsidR="0043482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Radvanská 28, 811 01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43482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43482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03.08.2019</w:t>
            </w:r>
          </w:p>
        </w:tc>
      </w:tr>
      <w:tr w:rsidR="0043482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Reklamné agentúry</w:t>
            </w:r>
          </w:p>
        </w:tc>
      </w:tr>
      <w:tr w:rsidR="0043482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43482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34821" w:rsidRDefault="00166304" w:rsidP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434821" w:rsidRDefault="0043482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34821" w:rsidRDefault="00166304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434821" w:rsidRDefault="0016630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434821" w:rsidRDefault="0043482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434821">
        <w:tc>
          <w:tcPr>
            <w:tcW w:w="2197" w:type="dxa"/>
            <w:shd w:val="clear" w:color="auto" w:fill="auto"/>
          </w:tcPr>
          <w:p w:rsidR="00434821" w:rsidRDefault="001663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434821" w:rsidRDefault="001663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434821" w:rsidRDefault="001663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434821" w:rsidRDefault="001663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166304">
        <w:tc>
          <w:tcPr>
            <w:tcW w:w="2197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6 371 766</w:t>
            </w:r>
          </w:p>
        </w:tc>
        <w:tc>
          <w:tcPr>
            <w:tcW w:w="3260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401 676</w:t>
            </w:r>
          </w:p>
        </w:tc>
        <w:tc>
          <w:tcPr>
            <w:tcW w:w="1276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66304">
        <w:tc>
          <w:tcPr>
            <w:tcW w:w="2197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147 054</w:t>
            </w:r>
          </w:p>
        </w:tc>
        <w:tc>
          <w:tcPr>
            <w:tcW w:w="3260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4 900</w:t>
            </w:r>
          </w:p>
        </w:tc>
        <w:tc>
          <w:tcPr>
            <w:tcW w:w="1276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66304">
        <w:trPr>
          <w:trHeight w:val="101"/>
        </w:trPr>
        <w:tc>
          <w:tcPr>
            <w:tcW w:w="2197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166304" w:rsidRDefault="00166304" w:rsidP="0016630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434821" w:rsidRDefault="0043482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434821" w:rsidRDefault="00434821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30</w:t>
      </w:r>
      <w:r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03</w:t>
      </w:r>
      <w:r>
        <w:rPr>
          <w:rFonts w:ascii="Arial Narrow" w:hAnsi="Arial Narrow" w:cs="Arial Narrow"/>
          <w:sz w:val="22"/>
          <w:szCs w:val="22"/>
        </w:rPr>
        <w:t>.2023</w:t>
      </w:r>
      <w:r>
        <w:rPr>
          <w:rFonts w:ascii="Arial Narrow" w:hAnsi="Arial Narrow" w:cs="Arial Narrow"/>
          <w:sz w:val="22"/>
          <w:szCs w:val="22"/>
        </w:rPr>
        <w:t>.</w:t>
      </w:r>
    </w:p>
    <w:p w:rsidR="00434821" w:rsidRDefault="001663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434821" w:rsidRDefault="0016630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  <w:bookmarkStart w:id="0" w:name="_GoBack"/>
      <w:bookmarkEnd w:id="0"/>
    </w:p>
    <w:p w:rsidR="00434821" w:rsidRDefault="0043482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 xml:space="preserve">: </w:t>
      </w:r>
      <w:r>
        <w:rPr>
          <w:rFonts w:ascii="Arial Narrow" w:hAnsi="Arial Narrow" w:cs="Arial Narrow"/>
          <w:bCs/>
          <w:sz w:val="22"/>
          <w:szCs w:val="22"/>
        </w:rPr>
        <w:t>spoločnosť nie je súčasťou konsolidovaného celku</w:t>
      </w:r>
    </w:p>
    <w:p w:rsidR="00434821" w:rsidRDefault="0043482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434821" w:rsidRDefault="0043482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43482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434821">
        <w:trPr>
          <w:trHeight w:val="537"/>
        </w:trPr>
        <w:tc>
          <w:tcPr>
            <w:tcW w:w="2492" w:type="pct"/>
            <w:vAlign w:val="center"/>
          </w:tcPr>
          <w:p w:rsidR="00434821" w:rsidRDefault="00166304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434821" w:rsidRDefault="001663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434821" w:rsidRDefault="001663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34821">
        <w:trPr>
          <w:trHeight w:val="163"/>
        </w:trPr>
        <w:tc>
          <w:tcPr>
            <w:tcW w:w="2492" w:type="pct"/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:rsidR="00434821" w:rsidRDefault="0016630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34821" w:rsidRDefault="0043482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4348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434821" w:rsidRDefault="0043482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34821" w:rsidRDefault="00166304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434821" w:rsidRDefault="0016630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434821" w:rsidRDefault="0016630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 podmienkach a výške iných </w:t>
      </w:r>
      <w:r>
        <w:rPr>
          <w:rFonts w:ascii="Arial Narrow" w:hAnsi="Arial Narrow" w:cs="Arial Narrow"/>
          <w:bCs/>
          <w:sz w:val="22"/>
          <w:szCs w:val="22"/>
        </w:rPr>
        <w:t>zabezpečení: žiadne</w:t>
      </w:r>
    </w:p>
    <w:p w:rsidR="00434821" w:rsidRDefault="0016630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434821" w:rsidRDefault="00166304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434821" w:rsidRDefault="0043482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34821" w:rsidRDefault="004348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434821" w:rsidRDefault="0043482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34821" w:rsidRDefault="001663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434821" w:rsidRDefault="004348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</w:t>
      </w:r>
      <w:r>
        <w:rPr>
          <w:rFonts w:ascii="Arial Narrow" w:hAnsi="Arial Narrow" w:cs="Arial Narrow"/>
          <w:sz w:val="22"/>
          <w:szCs w:val="22"/>
        </w:rPr>
        <w:t xml:space="preserve">y a účtovné metódy, ktoré sú dôležité na posúdenie majetku, záväzkov, finančnej situácie a výsledku hospodárenia konzistentne. </w:t>
      </w:r>
    </w:p>
    <w:p w:rsidR="00434821" w:rsidRDefault="00434821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>, a ktoré by pre spoločnosť predstavovali</w:t>
      </w:r>
      <w:r>
        <w:rPr>
          <w:rFonts w:ascii="Arial Narrow" w:hAnsi="Arial Narrow" w:cs="Arial Narrow"/>
          <w:sz w:val="22"/>
          <w:szCs w:val="22"/>
        </w:rPr>
        <w:t xml:space="preserve">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434821" w:rsidRDefault="004348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</w:t>
      </w:r>
      <w:r>
        <w:rPr>
          <w:rFonts w:ascii="Arial Narrow" w:hAnsi="Arial Narrow" w:cs="Arial Narrow"/>
          <w:sz w:val="22"/>
          <w:szCs w:val="22"/>
        </w:rPr>
        <w:t>záväzkov (vrátane rozhodujúcich odhadov):</w:t>
      </w:r>
    </w:p>
    <w:p w:rsidR="00434821" w:rsidRDefault="0016630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434821" w:rsidRDefault="0043482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Vlastné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náklady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tok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Časové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34821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34821">
        <w:tc>
          <w:tcPr>
            <w:tcW w:w="706" w:type="dxa"/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34821">
        <w:tc>
          <w:tcPr>
            <w:tcW w:w="706" w:type="dxa"/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34821">
        <w:tc>
          <w:tcPr>
            <w:tcW w:w="706" w:type="dxa"/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434821" w:rsidRDefault="0016630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434821" w:rsidRDefault="00434821">
      <w:pPr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434821" w:rsidRDefault="001663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</w:t>
      </w:r>
      <w:r>
        <w:rPr>
          <w:rFonts w:ascii="Arial Narrow" w:hAnsi="Arial Narrow" w:cs="Arial Narrow"/>
          <w:sz w:val="22"/>
          <w:szCs w:val="22"/>
        </w:rPr>
        <w:t xml:space="preserve">ka ocenila odborným odhadom budúcej menovitej hodnoty potrebnej na ich úhradu. </w:t>
      </w:r>
    </w:p>
    <w:p w:rsidR="00434821" w:rsidRDefault="001663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434821" w:rsidRDefault="001663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434821" w:rsidRDefault="00166304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434821" w:rsidRDefault="001663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</w:t>
      </w:r>
      <w:r>
        <w:rPr>
          <w:rFonts w:ascii="Arial Narrow" w:hAnsi="Arial Narrow" w:cs="Arial Narrow"/>
          <w:sz w:val="22"/>
          <w:szCs w:val="22"/>
        </w:rPr>
        <w:t>sné listy), deriváty (opcie, futures, swapy, forwardy), nástroje peňažného trhu (pokladničné poukážky, vkladové listy).</w:t>
      </w:r>
    </w:p>
    <w:p w:rsidR="00434821" w:rsidRDefault="001663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434821" w:rsidRDefault="001663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z w:val="22"/>
          <w:szCs w:val="22"/>
          <w:u w:val="single"/>
        </w:rPr>
        <w:t>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434821" w:rsidRDefault="001663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</w:t>
      </w:r>
      <w:r>
        <w:rPr>
          <w:rFonts w:ascii="Arial Narrow" w:hAnsi="Arial Narrow" w:cs="Arial Narrow"/>
          <w:sz w:val="22"/>
          <w:szCs w:val="22"/>
        </w:rPr>
        <w:t>äzkov.</w:t>
      </w:r>
    </w:p>
    <w:p w:rsidR="00434821" w:rsidRDefault="001663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434821" w:rsidRDefault="001663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</w:t>
      </w:r>
      <w:r>
        <w:rPr>
          <w:rFonts w:ascii="Arial Narrow" w:hAnsi="Arial Narrow" w:cs="Arial Narrow"/>
          <w:sz w:val="22"/>
          <w:szCs w:val="22"/>
        </w:rPr>
        <w:t>5/5 ZoU; § 22/1 PU).</w:t>
      </w:r>
    </w:p>
    <w:p w:rsidR="00434821" w:rsidRDefault="001663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434821" w:rsidRDefault="0016630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</w:t>
      </w:r>
      <w:r>
        <w:rPr>
          <w:rFonts w:ascii="Arial Narrow" w:hAnsi="Arial Narrow" w:cs="Arial Narrow"/>
          <w:sz w:val="22"/>
          <w:szCs w:val="22"/>
        </w:rPr>
        <w:t>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434821" w:rsidRDefault="001663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434821" w:rsidRDefault="00434821"/>
    <w:p w:rsidR="00434821" w:rsidRDefault="00166304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434821">
        <w:tc>
          <w:tcPr>
            <w:tcW w:w="4218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434821" w:rsidRDefault="001663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434821" w:rsidRDefault="001663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434821" w:rsidRDefault="001663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434821" w:rsidRDefault="0016630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434821">
        <w:tc>
          <w:tcPr>
            <w:tcW w:w="4218" w:type="dxa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34821">
        <w:tc>
          <w:tcPr>
            <w:tcW w:w="4218" w:type="dxa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34821">
        <w:tc>
          <w:tcPr>
            <w:tcW w:w="4218" w:type="dxa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434821">
        <w:tc>
          <w:tcPr>
            <w:tcW w:w="4218" w:type="dxa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34821">
        <w:tc>
          <w:tcPr>
            <w:tcW w:w="4218" w:type="dxa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434821">
        <w:tc>
          <w:tcPr>
            <w:tcW w:w="4218" w:type="dxa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34821">
        <w:tc>
          <w:tcPr>
            <w:tcW w:w="4218" w:type="dxa"/>
          </w:tcPr>
          <w:p w:rsidR="00434821" w:rsidRDefault="0016630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434821" w:rsidRDefault="001663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434821" w:rsidRDefault="00166304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434821" w:rsidRDefault="00434821">
      <w:pPr>
        <w:jc w:val="both"/>
        <w:rPr>
          <w:rFonts w:ascii="Arial Narrow" w:hAnsi="Arial Narrow" w:cs="Arial"/>
          <w:sz w:val="22"/>
          <w:szCs w:val="22"/>
        </w:rPr>
      </w:pPr>
    </w:p>
    <w:p w:rsidR="00434821" w:rsidRDefault="00434821">
      <w:pPr>
        <w:jc w:val="both"/>
        <w:rPr>
          <w:rFonts w:ascii="Arial Narrow" w:hAnsi="Arial Narrow" w:cs="Arial"/>
          <w:sz w:val="22"/>
          <w:szCs w:val="22"/>
        </w:rPr>
      </w:pPr>
    </w:p>
    <w:p w:rsidR="00434821" w:rsidRDefault="00166304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434821" w:rsidRDefault="001663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434821" w:rsidRDefault="001663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</w:t>
      </w:r>
      <w:r>
        <w:rPr>
          <w:rFonts w:ascii="Arial Narrow" w:hAnsi="Arial Narrow" w:cs="Arial"/>
          <w:sz w:val="22"/>
          <w:szCs w:val="22"/>
        </w:rPr>
        <w:t xml:space="preserve">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434821" w:rsidRDefault="001663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</w:t>
      </w:r>
      <w:r>
        <w:rPr>
          <w:rFonts w:ascii="Arial Narrow" w:hAnsi="Arial Narrow" w:cs="Arial"/>
          <w:sz w:val="22"/>
          <w:szCs w:val="22"/>
          <w:u w:val="single"/>
        </w:rPr>
        <w:t>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434821" w:rsidRDefault="001663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</w:t>
      </w:r>
      <w:r>
        <w:rPr>
          <w:rFonts w:ascii="Arial Narrow" w:hAnsi="Arial Narrow" w:cs="Arial Narrow"/>
          <w:sz w:val="22"/>
          <w:szCs w:val="22"/>
        </w:rPr>
        <w:t xml:space="preserve"> PU).</w:t>
      </w:r>
    </w:p>
    <w:p w:rsidR="00434821" w:rsidRDefault="001663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434821" w:rsidRDefault="001663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434821" w:rsidRDefault="00166304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</w:t>
      </w:r>
      <w:r>
        <w:rPr>
          <w:rFonts w:ascii="Arial Narrow" w:hAnsi="Arial Narrow" w:cs="Arial Narrow"/>
          <w:sz w:val="22"/>
          <w:szCs w:val="22"/>
        </w:rPr>
        <w:t>U; § 29/2 ZDP).</w:t>
      </w:r>
    </w:p>
    <w:p w:rsidR="00434821" w:rsidRDefault="00166304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434821" w:rsidRDefault="0043482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434821" w:rsidRDefault="0043482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434821" w:rsidRDefault="00166304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434821">
        <w:tc>
          <w:tcPr>
            <w:tcW w:w="1601" w:type="pct"/>
            <w:shd w:val="clear" w:color="auto" w:fill="auto"/>
          </w:tcPr>
          <w:p w:rsidR="00434821" w:rsidRDefault="001663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vného prípadu</w:t>
            </w:r>
          </w:p>
        </w:tc>
        <w:tc>
          <w:tcPr>
            <w:tcW w:w="541" w:type="pct"/>
            <w:shd w:val="clear" w:color="auto" w:fill="auto"/>
          </w:tcPr>
          <w:p w:rsidR="00434821" w:rsidRDefault="001663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434821" w:rsidRDefault="001663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434821" w:rsidRDefault="001663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434821" w:rsidRDefault="00166304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434821">
        <w:tc>
          <w:tcPr>
            <w:tcW w:w="1601" w:type="pct"/>
            <w:shd w:val="clear" w:color="auto" w:fill="auto"/>
          </w:tcPr>
          <w:p w:rsidR="00434821" w:rsidRDefault="0043482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434821" w:rsidRDefault="0043482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434821" w:rsidRDefault="0043482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434821" w:rsidRDefault="0043482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434821" w:rsidRDefault="0043482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34821">
        <w:tc>
          <w:tcPr>
            <w:tcW w:w="1601" w:type="pct"/>
            <w:shd w:val="clear" w:color="auto" w:fill="auto"/>
          </w:tcPr>
          <w:p w:rsidR="00434821" w:rsidRDefault="0043482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434821" w:rsidRDefault="0043482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434821" w:rsidRDefault="0043482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434821" w:rsidRDefault="0043482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434821" w:rsidRDefault="00434821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34821" w:rsidRDefault="004348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434821">
      <w:pPr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434821" w:rsidRDefault="004348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434821">
        <w:trPr>
          <w:trHeight w:val="693"/>
          <w:jc w:val="center"/>
        </w:trPr>
        <w:tc>
          <w:tcPr>
            <w:tcW w:w="2463" w:type="pct"/>
            <w:vAlign w:val="center"/>
          </w:tcPr>
          <w:p w:rsidR="00434821" w:rsidRDefault="00166304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434821" w:rsidRDefault="00166304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434821" w:rsidRDefault="00166304">
            <w:pPr>
              <w:pStyle w:val="TopHeader"/>
            </w:pPr>
            <w:r>
              <w:t>Bezprostredne predchádzajúce účtovné obdobie</w:t>
            </w:r>
          </w:p>
        </w:tc>
      </w:tr>
      <w:tr w:rsidR="00434821">
        <w:trPr>
          <w:trHeight w:val="207"/>
          <w:jc w:val="center"/>
        </w:trPr>
        <w:tc>
          <w:tcPr>
            <w:tcW w:w="2463" w:type="pct"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434821" w:rsidRDefault="0016630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434821" w:rsidRDefault="00166304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splatnosti </w:t>
      </w:r>
      <w:r>
        <w:rPr>
          <w:rFonts w:ascii="Arial Narrow" w:hAnsi="Arial Narrow" w:cs="Arial Narrow"/>
          <w:sz w:val="22"/>
          <w:szCs w:val="22"/>
        </w:rPr>
        <w:t>záväzkov a závierkovým dňom (§ 12 PU).]</w:t>
      </w:r>
    </w:p>
    <w:p w:rsidR="00434821" w:rsidRDefault="004348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43482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34821" w:rsidRDefault="0043482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34821" w:rsidRDefault="0043482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34821" w:rsidRDefault="0016630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434821" w:rsidRDefault="00166304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434821" w:rsidRDefault="00434821">
      <w:pPr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434821" w:rsidRDefault="00434821">
      <w:pPr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</w:t>
      </w:r>
      <w:r>
        <w:rPr>
          <w:rFonts w:ascii="Arial Narrow" w:hAnsi="Arial Narrow" w:cs="Arial Narrow"/>
          <w:sz w:val="22"/>
          <w:szCs w:val="22"/>
        </w:rPr>
        <w:t>zákonná povinnosť alebo zmluvná povinnosť odobrať určité množstvo produktu, uskutočniť investície a veľké opravy: žiadne</w:t>
      </w:r>
    </w:p>
    <w:p w:rsidR="00434821" w:rsidRDefault="00434821">
      <w:pPr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1663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434821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434821" w:rsidRDefault="00166304">
            <w:pPr>
              <w:pStyle w:val="TopHeader"/>
            </w:pPr>
            <w:r>
              <w:lastRenderedPageBreak/>
              <w:t xml:space="preserve">Názov podsúvahovej </w:t>
            </w:r>
            <w:r>
              <w:t>položky</w:t>
            </w:r>
          </w:p>
        </w:tc>
        <w:tc>
          <w:tcPr>
            <w:tcW w:w="1701" w:type="dxa"/>
            <w:noWrap/>
            <w:vAlign w:val="center"/>
          </w:tcPr>
          <w:p w:rsidR="00434821" w:rsidRDefault="00166304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434821" w:rsidRDefault="00166304">
            <w:pPr>
              <w:pStyle w:val="TopHeader"/>
            </w:pPr>
            <w:r>
              <w:t>Bezprostredne predchádzajúce účtovné obdobie</w:t>
            </w:r>
          </w:p>
        </w:tc>
      </w:tr>
      <w:tr w:rsidR="00434821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34821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3482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3482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434821" w:rsidRDefault="0043482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434821" w:rsidRDefault="0043482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3482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434821" w:rsidRDefault="0043482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434821" w:rsidRDefault="0043482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34821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34821" w:rsidRDefault="0016630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434821" w:rsidRDefault="0043482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434821" w:rsidRDefault="0043482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34821" w:rsidRDefault="00434821">
      <w:pPr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43482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34821" w:rsidRDefault="001663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KTORÉ NASTALI PO ZÁVIERKOVOM DNI</w:t>
      </w:r>
    </w:p>
    <w:p w:rsidR="00434821" w:rsidRDefault="001663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434821" w:rsidRDefault="0043482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34821" w:rsidRDefault="001663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závierkovom dni do času zostavenia účtovnej závierky nastali významné udalosti, ktoré by mali významný finančný vplyv (t.j. do dňa podpísania </w:t>
      </w:r>
      <w:r>
        <w:rPr>
          <w:rFonts w:ascii="Arial Narrow" w:hAnsi="Arial Narrow" w:cs="Arial Narrow"/>
          <w:sz w:val="22"/>
          <w:szCs w:val="22"/>
        </w:rPr>
        <w:t>výkazov podľa § 17/5 ZoU) a ktoré nie sú zohľadnené v súvahe alebo vo výkaze ziskov a strát.</w:t>
      </w: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</w:t>
      </w:r>
      <w:r>
        <w:rPr>
          <w:rFonts w:ascii="Arial Narrow" w:hAnsi="Arial Narrow" w:cs="Arial Narrow"/>
          <w:sz w:val="22"/>
          <w:szCs w:val="22"/>
        </w:rPr>
        <w:t>té rozhodnutia o predaji účtovnej jednotky alebo jej časti:</w:t>
      </w: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</w:t>
      </w:r>
      <w:r>
        <w:rPr>
          <w:rFonts w:ascii="Arial Narrow" w:hAnsi="Arial Narrow" w:cs="Arial Narrow"/>
          <w:sz w:val="22"/>
          <w:szCs w:val="22"/>
        </w:rPr>
        <w:t xml:space="preserve">dlhopisy a iné cenné papiere: </w:t>
      </w: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434821" w:rsidRDefault="0016630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</w:t>
      </w:r>
      <w:r>
        <w:rPr>
          <w:rFonts w:ascii="Arial Narrow" w:hAnsi="Arial Narrow" w:cs="Arial Narrow"/>
          <w:sz w:val="22"/>
          <w:szCs w:val="22"/>
        </w:rPr>
        <w:t>volení významných pre činnosť účtovnej jednotky:</w:t>
      </w:r>
    </w:p>
    <w:p w:rsidR="00434821" w:rsidRDefault="00434821">
      <w:pPr>
        <w:jc w:val="both"/>
        <w:rPr>
          <w:rFonts w:ascii="Arial Narrow" w:hAnsi="Arial Narrow" w:cs="Arial Narrow"/>
          <w:sz w:val="22"/>
          <w:szCs w:val="22"/>
        </w:rPr>
      </w:pPr>
    </w:p>
    <w:p w:rsidR="00434821" w:rsidRDefault="0043482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34821" w:rsidRDefault="0016630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434821" w:rsidRDefault="0043482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34821" w:rsidRDefault="0016630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:rsidR="00434821" w:rsidRDefault="0016630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</w:t>
      </w:r>
    </w:p>
    <w:p w:rsidR="00434821" w:rsidRDefault="00166304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</w:t>
      </w:r>
      <w:r>
        <w:rPr>
          <w:rFonts w:ascii="Arial Narrow" w:hAnsi="Arial Narrow" w:cs="Arial Narrow"/>
          <w:bCs/>
          <w:sz w:val="22"/>
          <w:szCs w:val="22"/>
        </w:rPr>
        <w:t>ch vzťahoch s orgánmi verejnej moci (§ 23d/6 ZoU): NIE</w:t>
      </w:r>
    </w:p>
    <w:sectPr w:rsidR="00434821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66304">
      <w:r>
        <w:separator/>
      </w:r>
    </w:p>
  </w:endnote>
  <w:endnote w:type="continuationSeparator" w:id="0">
    <w:p w:rsidR="00000000" w:rsidRDefault="001663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821" w:rsidRDefault="0016630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434821" w:rsidRDefault="0043482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66304">
      <w:r>
        <w:separator/>
      </w:r>
    </w:p>
  </w:footnote>
  <w:footnote w:type="continuationSeparator" w:id="0">
    <w:p w:rsidR="00000000" w:rsidRDefault="001663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4821" w:rsidRDefault="0016630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52529959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2121064088</w:t>
    </w:r>
  </w:p>
  <w:p w:rsidR="00434821" w:rsidRDefault="0043482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3482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34821" w:rsidRDefault="0016630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34821" w:rsidRDefault="00434821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34821" w:rsidRDefault="0016630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4821" w:rsidRDefault="00166304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4821" w:rsidRDefault="00166304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4821" w:rsidRDefault="00166304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4821" w:rsidRDefault="00166304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4821" w:rsidRDefault="00166304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4821" w:rsidRDefault="00166304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4821" w:rsidRDefault="00166304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4821" w:rsidRDefault="00166304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4821" w:rsidRDefault="00166304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4821" w:rsidRDefault="00166304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434821" w:rsidRDefault="0043482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6304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821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67E0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1BC21C29-5381-4383-9805-C55FCBC57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qFormat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D82291-EEAA-43F3-840E-AD5C50490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1635</Words>
  <Characters>10137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2024-06-12T09:28:00Z</dcterms:created>
  <dcterms:modified xsi:type="dcterms:W3CDTF">2024-06-12T09:28:00Z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1B816EBB62344E599C04CE8508F6B5D8</vt:lpwstr>
  </property>
</Properties>
</file>