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225E8F" w14:textId="77777777" w:rsidR="00114A9E" w:rsidRPr="00114A9E" w:rsidRDefault="00114A9E" w:rsidP="00114A9E">
      <w:pPr>
        <w:spacing w:after="200" w:line="276" w:lineRule="auto"/>
        <w:rPr>
          <w:rFonts w:ascii="Calibri" w:eastAsia="Calibri" w:hAnsi="Calibri" w:cs="Times New Roman"/>
          <w:b/>
          <w:sz w:val="28"/>
          <w:szCs w:val="28"/>
        </w:rPr>
      </w:pPr>
    </w:p>
    <w:p w14:paraId="0392567D" w14:textId="77777777" w:rsidR="00114A9E" w:rsidRPr="00114A9E" w:rsidRDefault="00114A9E" w:rsidP="00114A9E">
      <w:pPr>
        <w:numPr>
          <w:ilvl w:val="0"/>
          <w:numId w:val="1"/>
        </w:numPr>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07.Informácie o účtovnej jednotke:</w:t>
      </w:r>
    </w:p>
    <w:p w14:paraId="200CB847" w14:textId="77777777" w:rsidR="00114A9E" w:rsidRPr="00114A9E" w:rsidRDefault="00114A9E" w:rsidP="00114A9E">
      <w:pPr>
        <w:spacing w:after="200" w:line="276" w:lineRule="auto"/>
        <w:ind w:left="720"/>
        <w:contextualSpacing/>
        <w:rPr>
          <w:rFonts w:ascii="Calibri" w:eastAsia="Calibri" w:hAnsi="Calibri" w:cs="Times New Roman"/>
          <w:b/>
          <w:sz w:val="28"/>
          <w:szCs w:val="28"/>
        </w:rPr>
      </w:pPr>
    </w:p>
    <w:p w14:paraId="23063E7B"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Spoločnosť </w:t>
      </w:r>
      <w:r>
        <w:rPr>
          <w:rFonts w:ascii="Calibri" w:eastAsia="Calibri" w:hAnsi="Calibri" w:cs="Times New Roman"/>
          <w:sz w:val="24"/>
          <w:szCs w:val="24"/>
        </w:rPr>
        <w:t>Podlaha pre každého</w:t>
      </w:r>
      <w:r w:rsidRPr="00114A9E">
        <w:rPr>
          <w:rFonts w:ascii="Calibri" w:eastAsia="Calibri" w:hAnsi="Calibri" w:cs="Times New Roman"/>
          <w:sz w:val="24"/>
          <w:szCs w:val="24"/>
        </w:rPr>
        <w:t xml:space="preserve">, s.r.o., bola založená v obchodnom registri zakladateľskou listinou dňa </w:t>
      </w:r>
      <w:r>
        <w:rPr>
          <w:rFonts w:ascii="Calibri" w:eastAsia="Calibri" w:hAnsi="Calibri" w:cs="Times New Roman"/>
          <w:sz w:val="24"/>
          <w:szCs w:val="24"/>
        </w:rPr>
        <w:t>20.6.201</w:t>
      </w:r>
      <w:r w:rsidR="006647E9">
        <w:rPr>
          <w:rFonts w:ascii="Calibri" w:eastAsia="Calibri" w:hAnsi="Calibri" w:cs="Times New Roman"/>
          <w:sz w:val="24"/>
          <w:szCs w:val="24"/>
        </w:rPr>
        <w:t>3</w:t>
      </w:r>
      <w:r w:rsidRPr="00114A9E">
        <w:rPr>
          <w:rFonts w:ascii="Calibri" w:eastAsia="Calibri" w:hAnsi="Calibri" w:cs="Times New Roman"/>
          <w:sz w:val="24"/>
          <w:szCs w:val="24"/>
        </w:rPr>
        <w:t xml:space="preserve">  . Je zapísaná v obchodnom registri Okresného súdu Banská Bystrica, oddiel s.r.o., vložka </w:t>
      </w:r>
      <w:r>
        <w:rPr>
          <w:rFonts w:ascii="Calibri" w:eastAsia="Calibri" w:hAnsi="Calibri" w:cs="Times New Roman"/>
          <w:sz w:val="24"/>
          <w:szCs w:val="24"/>
        </w:rPr>
        <w:t>26799</w:t>
      </w:r>
      <w:r w:rsidRPr="00114A9E">
        <w:rPr>
          <w:rFonts w:ascii="Calibri" w:eastAsia="Calibri" w:hAnsi="Calibri" w:cs="Times New Roman"/>
          <w:sz w:val="24"/>
          <w:szCs w:val="24"/>
        </w:rPr>
        <w:t xml:space="preserve">/S. Deň zápisu </w:t>
      </w:r>
      <w:r>
        <w:rPr>
          <w:rFonts w:ascii="Calibri" w:eastAsia="Calibri" w:hAnsi="Calibri" w:cs="Times New Roman"/>
          <w:sz w:val="24"/>
          <w:szCs w:val="24"/>
        </w:rPr>
        <w:t>20</w:t>
      </w:r>
      <w:r w:rsidRPr="00114A9E">
        <w:rPr>
          <w:rFonts w:ascii="Calibri" w:eastAsia="Calibri" w:hAnsi="Calibri" w:cs="Times New Roman"/>
          <w:sz w:val="24"/>
          <w:szCs w:val="24"/>
        </w:rPr>
        <w:t>.</w:t>
      </w:r>
      <w:r>
        <w:rPr>
          <w:rFonts w:ascii="Calibri" w:eastAsia="Calibri" w:hAnsi="Calibri" w:cs="Times New Roman"/>
          <w:sz w:val="24"/>
          <w:szCs w:val="24"/>
        </w:rPr>
        <w:t>6</w:t>
      </w:r>
      <w:r w:rsidRPr="00114A9E">
        <w:rPr>
          <w:rFonts w:ascii="Calibri" w:eastAsia="Calibri" w:hAnsi="Calibri" w:cs="Times New Roman"/>
          <w:sz w:val="24"/>
          <w:szCs w:val="24"/>
        </w:rPr>
        <w:t>.</w:t>
      </w:r>
      <w:r>
        <w:rPr>
          <w:rFonts w:ascii="Calibri" w:eastAsia="Calibri" w:hAnsi="Calibri" w:cs="Times New Roman"/>
          <w:sz w:val="24"/>
          <w:szCs w:val="24"/>
        </w:rPr>
        <w:t>201</w:t>
      </w:r>
      <w:r w:rsidR="006647E9">
        <w:rPr>
          <w:rFonts w:ascii="Calibri" w:eastAsia="Calibri" w:hAnsi="Calibri" w:cs="Times New Roman"/>
          <w:sz w:val="24"/>
          <w:szCs w:val="24"/>
        </w:rPr>
        <w:t>3</w:t>
      </w:r>
      <w:r w:rsidRPr="00114A9E">
        <w:rPr>
          <w:rFonts w:ascii="Calibri" w:eastAsia="Calibri" w:hAnsi="Calibri" w:cs="Times New Roman"/>
          <w:sz w:val="24"/>
          <w:szCs w:val="24"/>
        </w:rPr>
        <w:t>.</w:t>
      </w:r>
    </w:p>
    <w:p w14:paraId="4197C17C"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Hlavné činnosti spoločnosti sú: </w:t>
      </w:r>
    </w:p>
    <w:p w14:paraId="75E692DA" w14:textId="77777777" w:rsidR="00114A9E" w:rsidRPr="00114A9E" w:rsidRDefault="00114A9E" w:rsidP="00114A9E">
      <w:pPr>
        <w:spacing w:after="200" w:line="276" w:lineRule="auto"/>
        <w:ind w:left="1080"/>
        <w:contextualSpacing/>
        <w:rPr>
          <w:rFonts w:ascii="Calibri" w:eastAsia="Calibri" w:hAnsi="Calibri" w:cs="Times New Roman"/>
          <w:sz w:val="24"/>
          <w:szCs w:val="24"/>
        </w:rPr>
      </w:pPr>
      <w:r w:rsidRPr="00114A9E">
        <w:rPr>
          <w:rFonts w:ascii="Calibri" w:eastAsia="Calibri" w:hAnsi="Calibri" w:cs="Times New Roman"/>
          <w:sz w:val="24"/>
          <w:szCs w:val="24"/>
        </w:rPr>
        <w:t xml:space="preserve">Predaj </w:t>
      </w:r>
      <w:r w:rsidR="00B25FD8">
        <w:rPr>
          <w:rFonts w:ascii="Calibri" w:eastAsia="Calibri" w:hAnsi="Calibri" w:cs="Times New Roman"/>
          <w:sz w:val="24"/>
          <w:szCs w:val="24"/>
        </w:rPr>
        <w:t>tovaru na účely jeho predaja konečnému spotrebiteľovi/maloobchod/ alebo iným prevádzkovateľom živnosti/veľkoobchod/</w:t>
      </w:r>
      <w:r w:rsidRPr="00114A9E">
        <w:rPr>
          <w:rFonts w:ascii="Calibri" w:eastAsia="Calibri" w:hAnsi="Calibri" w:cs="Times New Roman"/>
          <w:sz w:val="24"/>
          <w:szCs w:val="24"/>
        </w:rPr>
        <w:t>.</w:t>
      </w:r>
    </w:p>
    <w:p w14:paraId="299CA91C" w14:textId="4D2D0299"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K dátumu zostavenia účtovnej uzávierky mala spoločnosť </w:t>
      </w:r>
      <w:r w:rsidR="00576756">
        <w:rPr>
          <w:rFonts w:ascii="Calibri" w:eastAsia="Calibri" w:hAnsi="Calibri" w:cs="Times New Roman"/>
          <w:sz w:val="24"/>
          <w:szCs w:val="24"/>
        </w:rPr>
        <w:t>4</w:t>
      </w:r>
      <w:r w:rsidRPr="00114A9E">
        <w:rPr>
          <w:rFonts w:ascii="Calibri" w:eastAsia="Calibri" w:hAnsi="Calibri" w:cs="Times New Roman"/>
          <w:sz w:val="24"/>
          <w:szCs w:val="24"/>
        </w:rPr>
        <w:t xml:space="preserve"> zamestnancov, z toho </w:t>
      </w:r>
      <w:r w:rsidR="0096795B">
        <w:rPr>
          <w:rFonts w:ascii="Calibri" w:eastAsia="Calibri" w:hAnsi="Calibri" w:cs="Times New Roman"/>
          <w:sz w:val="24"/>
          <w:szCs w:val="24"/>
        </w:rPr>
        <w:t>1 vedúceho.</w:t>
      </w:r>
    </w:p>
    <w:p w14:paraId="7A107102"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Obchodná spoločnosť nie je obmedzene ručiacim spoločníkom v žiadnej spoločnosti.</w:t>
      </w:r>
    </w:p>
    <w:p w14:paraId="63CC51C3" w14:textId="455A741E"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Účtovná uzávier</w:t>
      </w:r>
      <w:r w:rsidR="00F90D50">
        <w:rPr>
          <w:rFonts w:ascii="Calibri" w:eastAsia="Calibri" w:hAnsi="Calibri" w:cs="Times New Roman"/>
          <w:sz w:val="24"/>
          <w:szCs w:val="24"/>
        </w:rPr>
        <w:t>ka spoločnosti bola k 31.12.20</w:t>
      </w:r>
      <w:r w:rsidR="002818A7">
        <w:rPr>
          <w:rFonts w:ascii="Calibri" w:eastAsia="Calibri" w:hAnsi="Calibri" w:cs="Times New Roman"/>
          <w:sz w:val="24"/>
          <w:szCs w:val="24"/>
        </w:rPr>
        <w:t>2</w:t>
      </w:r>
      <w:r w:rsidR="00DB78DF">
        <w:rPr>
          <w:rFonts w:ascii="Calibri" w:eastAsia="Calibri" w:hAnsi="Calibri" w:cs="Times New Roman"/>
          <w:sz w:val="24"/>
          <w:szCs w:val="24"/>
        </w:rPr>
        <w:t>2</w:t>
      </w:r>
      <w:r w:rsidRPr="00114A9E">
        <w:rPr>
          <w:rFonts w:ascii="Calibri" w:eastAsia="Calibri" w:hAnsi="Calibri" w:cs="Times New Roman"/>
          <w:sz w:val="24"/>
          <w:szCs w:val="24"/>
        </w:rPr>
        <w:t xml:space="preserve"> zostavená ako riadna účtovná uzávierka podľa § 17ods. 6 zákona č. 431/2002 Z.z. o účtovníctve v znení neskorších predpisov.</w:t>
      </w:r>
    </w:p>
    <w:p w14:paraId="30697F61" w14:textId="5406464E" w:rsidR="00114A9E" w:rsidRPr="00114A9E" w:rsidRDefault="00F90D50" w:rsidP="00114A9E">
      <w:pPr>
        <w:numPr>
          <w:ilvl w:val="0"/>
          <w:numId w:val="2"/>
        </w:numPr>
        <w:spacing w:after="200" w:line="276" w:lineRule="auto"/>
        <w:contextualSpacing/>
        <w:rPr>
          <w:rFonts w:ascii="Calibri" w:eastAsia="Calibri" w:hAnsi="Calibri" w:cs="Times New Roman"/>
          <w:sz w:val="24"/>
          <w:szCs w:val="24"/>
        </w:rPr>
      </w:pPr>
      <w:r>
        <w:rPr>
          <w:rFonts w:ascii="Calibri" w:eastAsia="Calibri" w:hAnsi="Calibri" w:cs="Times New Roman"/>
          <w:sz w:val="24"/>
          <w:szCs w:val="24"/>
        </w:rPr>
        <w:t>Účtovná uzávierka za rok 20</w:t>
      </w:r>
      <w:r w:rsidR="002818A7">
        <w:rPr>
          <w:rFonts w:ascii="Calibri" w:eastAsia="Calibri" w:hAnsi="Calibri" w:cs="Times New Roman"/>
          <w:sz w:val="24"/>
          <w:szCs w:val="24"/>
        </w:rPr>
        <w:t>2</w:t>
      </w:r>
      <w:r w:rsidR="00B90F09">
        <w:rPr>
          <w:rFonts w:ascii="Calibri" w:eastAsia="Calibri" w:hAnsi="Calibri" w:cs="Times New Roman"/>
          <w:sz w:val="24"/>
          <w:szCs w:val="24"/>
        </w:rPr>
        <w:t>2</w:t>
      </w:r>
      <w:r>
        <w:rPr>
          <w:rFonts w:ascii="Calibri" w:eastAsia="Calibri" w:hAnsi="Calibri" w:cs="Times New Roman"/>
          <w:sz w:val="24"/>
          <w:szCs w:val="24"/>
        </w:rPr>
        <w:t xml:space="preserve"> </w:t>
      </w:r>
      <w:r w:rsidR="00114A9E" w:rsidRPr="00114A9E">
        <w:rPr>
          <w:rFonts w:ascii="Calibri" w:eastAsia="Calibri" w:hAnsi="Calibri" w:cs="Times New Roman"/>
          <w:sz w:val="24"/>
          <w:szCs w:val="24"/>
        </w:rPr>
        <w:t xml:space="preserve">bola uložená do registra účtovných uzávierok </w:t>
      </w:r>
      <w:r w:rsidR="002818A7">
        <w:rPr>
          <w:rFonts w:ascii="Calibri" w:eastAsia="Calibri" w:hAnsi="Calibri" w:cs="Times New Roman"/>
          <w:sz w:val="24"/>
          <w:szCs w:val="24"/>
        </w:rPr>
        <w:t>2</w:t>
      </w:r>
      <w:r w:rsidR="00CC5F23">
        <w:rPr>
          <w:rFonts w:ascii="Calibri" w:eastAsia="Calibri" w:hAnsi="Calibri" w:cs="Times New Roman"/>
          <w:sz w:val="24"/>
          <w:szCs w:val="24"/>
        </w:rPr>
        <w:t>6</w:t>
      </w:r>
      <w:r w:rsidR="00114A9E" w:rsidRPr="00114A9E">
        <w:rPr>
          <w:rFonts w:ascii="Calibri" w:eastAsia="Calibri" w:hAnsi="Calibri" w:cs="Times New Roman"/>
          <w:sz w:val="24"/>
          <w:szCs w:val="24"/>
        </w:rPr>
        <w:t>.</w:t>
      </w:r>
      <w:r w:rsidR="00BB21E6">
        <w:rPr>
          <w:rFonts w:ascii="Calibri" w:eastAsia="Calibri" w:hAnsi="Calibri" w:cs="Times New Roman"/>
          <w:sz w:val="24"/>
          <w:szCs w:val="24"/>
        </w:rPr>
        <w:t>6</w:t>
      </w:r>
      <w:r>
        <w:rPr>
          <w:rFonts w:ascii="Calibri" w:eastAsia="Calibri" w:hAnsi="Calibri" w:cs="Times New Roman"/>
          <w:sz w:val="24"/>
          <w:szCs w:val="24"/>
        </w:rPr>
        <w:t>.20</w:t>
      </w:r>
      <w:r w:rsidR="002818A7">
        <w:rPr>
          <w:rFonts w:ascii="Calibri" w:eastAsia="Calibri" w:hAnsi="Calibri" w:cs="Times New Roman"/>
          <w:sz w:val="24"/>
          <w:szCs w:val="24"/>
        </w:rPr>
        <w:t>2</w:t>
      </w:r>
      <w:r w:rsidR="00B90F09">
        <w:rPr>
          <w:rFonts w:ascii="Calibri" w:eastAsia="Calibri" w:hAnsi="Calibri" w:cs="Times New Roman"/>
          <w:sz w:val="24"/>
          <w:szCs w:val="24"/>
        </w:rPr>
        <w:t>3</w:t>
      </w:r>
      <w:r>
        <w:rPr>
          <w:rFonts w:ascii="Calibri" w:eastAsia="Calibri" w:hAnsi="Calibri" w:cs="Times New Roman"/>
          <w:sz w:val="24"/>
          <w:szCs w:val="24"/>
        </w:rPr>
        <w:t xml:space="preserve"> schválená dňa </w:t>
      </w:r>
      <w:r w:rsidR="002818A7">
        <w:rPr>
          <w:rFonts w:ascii="Calibri" w:eastAsia="Calibri" w:hAnsi="Calibri" w:cs="Times New Roman"/>
          <w:sz w:val="24"/>
          <w:szCs w:val="24"/>
        </w:rPr>
        <w:t>2</w:t>
      </w:r>
      <w:r w:rsidR="00CC5F23">
        <w:rPr>
          <w:rFonts w:ascii="Calibri" w:eastAsia="Calibri" w:hAnsi="Calibri" w:cs="Times New Roman"/>
          <w:sz w:val="24"/>
          <w:szCs w:val="24"/>
        </w:rPr>
        <w:t>6</w:t>
      </w:r>
      <w:r w:rsidR="002818A7">
        <w:rPr>
          <w:rFonts w:ascii="Calibri" w:eastAsia="Calibri" w:hAnsi="Calibri" w:cs="Times New Roman"/>
          <w:sz w:val="24"/>
          <w:szCs w:val="24"/>
        </w:rPr>
        <w:t>.06.202</w:t>
      </w:r>
      <w:r w:rsidR="00B90F09">
        <w:rPr>
          <w:rFonts w:ascii="Calibri" w:eastAsia="Calibri" w:hAnsi="Calibri" w:cs="Times New Roman"/>
          <w:sz w:val="24"/>
          <w:szCs w:val="24"/>
        </w:rPr>
        <w:t>3</w:t>
      </w:r>
      <w:r>
        <w:rPr>
          <w:rFonts w:ascii="Calibri" w:eastAsia="Calibri" w:hAnsi="Calibri" w:cs="Times New Roman"/>
          <w:sz w:val="24"/>
          <w:szCs w:val="24"/>
        </w:rPr>
        <w:t xml:space="preserve"> </w:t>
      </w:r>
      <w:r w:rsidR="00114A9E" w:rsidRPr="00114A9E">
        <w:rPr>
          <w:rFonts w:ascii="Calibri" w:eastAsia="Calibri" w:hAnsi="Calibri" w:cs="Times New Roman"/>
          <w:sz w:val="24"/>
          <w:szCs w:val="24"/>
        </w:rPr>
        <w:t>.</w:t>
      </w:r>
    </w:p>
    <w:p w14:paraId="5A488866" w14:textId="77777777" w:rsidR="00114A9E" w:rsidRPr="00114A9E" w:rsidRDefault="00114A9E" w:rsidP="00114A9E">
      <w:pPr>
        <w:spacing w:after="200" w:line="276" w:lineRule="auto"/>
        <w:rPr>
          <w:rFonts w:ascii="Calibri" w:eastAsia="Calibri" w:hAnsi="Calibri" w:cs="Times New Roman"/>
          <w:sz w:val="24"/>
          <w:szCs w:val="24"/>
        </w:rPr>
      </w:pPr>
    </w:p>
    <w:p w14:paraId="2BA59AEE" w14:textId="77777777" w:rsidR="00114A9E" w:rsidRPr="00114A9E" w:rsidRDefault="00114A9E" w:rsidP="00114A9E">
      <w:pPr>
        <w:numPr>
          <w:ilvl w:val="0"/>
          <w:numId w:val="3"/>
        </w:numPr>
        <w:spacing w:after="200" w:line="276" w:lineRule="auto"/>
        <w:contextualSpacing/>
        <w:rPr>
          <w:rFonts w:ascii="Calibri" w:eastAsia="Calibri" w:hAnsi="Calibri" w:cs="Times New Roman"/>
          <w:b/>
        </w:rPr>
      </w:pPr>
      <w:r w:rsidRPr="00114A9E">
        <w:rPr>
          <w:rFonts w:ascii="Calibri" w:eastAsia="Calibri" w:hAnsi="Calibri" w:cs="Times New Roman"/>
          <w:b/>
          <w:sz w:val="24"/>
          <w:szCs w:val="24"/>
        </w:rPr>
        <w:t>Informácie o počte zamestnancov</w:t>
      </w:r>
    </w:p>
    <w:tbl>
      <w:tblPr>
        <w:tblStyle w:val="Mriekatabuky1"/>
        <w:tblW w:w="9782" w:type="dxa"/>
        <w:tblInd w:w="-318" w:type="dxa"/>
        <w:tblLook w:val="04A0" w:firstRow="1" w:lastRow="0" w:firstColumn="1" w:lastColumn="0" w:noHBand="0" w:noVBand="1"/>
      </w:tblPr>
      <w:tblGrid>
        <w:gridCol w:w="3085"/>
        <w:gridCol w:w="2778"/>
        <w:gridCol w:w="3919"/>
      </w:tblGrid>
      <w:tr w:rsidR="00114A9E" w:rsidRPr="00114A9E" w14:paraId="782C2988" w14:textId="77777777" w:rsidTr="002D2998">
        <w:tc>
          <w:tcPr>
            <w:tcW w:w="3085" w:type="dxa"/>
          </w:tcPr>
          <w:p w14:paraId="0B356931"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p w14:paraId="1B113047" w14:textId="77777777" w:rsidR="00114A9E" w:rsidRPr="00114A9E" w:rsidRDefault="00114A9E" w:rsidP="00114A9E">
            <w:pPr>
              <w:rPr>
                <w:rFonts w:ascii="Calibri" w:eastAsia="Calibri" w:hAnsi="Calibri" w:cs="Times New Roman"/>
                <w:b/>
                <w:sz w:val="28"/>
                <w:szCs w:val="28"/>
              </w:rPr>
            </w:pPr>
          </w:p>
        </w:tc>
        <w:tc>
          <w:tcPr>
            <w:tcW w:w="2778" w:type="dxa"/>
          </w:tcPr>
          <w:p w14:paraId="7D75E576"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Bežné účtovné obdobie</w:t>
            </w:r>
          </w:p>
        </w:tc>
        <w:tc>
          <w:tcPr>
            <w:tcW w:w="3919" w:type="dxa"/>
          </w:tcPr>
          <w:p w14:paraId="2EF0DF9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p w14:paraId="69BFA50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0CF1B607" w14:textId="77777777" w:rsidTr="002D2998">
        <w:tc>
          <w:tcPr>
            <w:tcW w:w="3085" w:type="dxa"/>
          </w:tcPr>
          <w:p w14:paraId="514234A0"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 xml:space="preserve">Priemerný prepočítaný počet zamestnancov </w:t>
            </w:r>
          </w:p>
        </w:tc>
        <w:tc>
          <w:tcPr>
            <w:tcW w:w="2778" w:type="dxa"/>
          </w:tcPr>
          <w:p w14:paraId="73E9BF74" w14:textId="420562DA" w:rsidR="00114A9E" w:rsidRPr="00114A9E" w:rsidRDefault="008A669D" w:rsidP="00114A9E">
            <w:pPr>
              <w:rPr>
                <w:rFonts w:ascii="Calibri" w:eastAsia="Calibri" w:hAnsi="Calibri" w:cs="Times New Roman"/>
                <w:b/>
              </w:rPr>
            </w:pPr>
            <w:r>
              <w:rPr>
                <w:rFonts w:ascii="Calibri" w:eastAsia="Calibri" w:hAnsi="Calibri" w:cs="Times New Roman"/>
                <w:b/>
              </w:rPr>
              <w:t>4</w:t>
            </w:r>
          </w:p>
        </w:tc>
        <w:tc>
          <w:tcPr>
            <w:tcW w:w="3919" w:type="dxa"/>
          </w:tcPr>
          <w:p w14:paraId="6962C378" w14:textId="6D81081F" w:rsidR="00114A9E" w:rsidRPr="00114A9E" w:rsidRDefault="008A669D" w:rsidP="00114A9E">
            <w:pPr>
              <w:rPr>
                <w:rFonts w:ascii="Calibri" w:eastAsia="Calibri" w:hAnsi="Calibri" w:cs="Times New Roman"/>
                <w:b/>
              </w:rPr>
            </w:pPr>
            <w:r>
              <w:rPr>
                <w:rFonts w:ascii="Calibri" w:eastAsia="Calibri" w:hAnsi="Calibri" w:cs="Times New Roman"/>
                <w:b/>
              </w:rPr>
              <w:t>4</w:t>
            </w:r>
          </w:p>
        </w:tc>
      </w:tr>
      <w:tr w:rsidR="00114A9E" w:rsidRPr="00114A9E" w14:paraId="6BCE6D8C" w14:textId="77777777" w:rsidTr="002D2998">
        <w:tc>
          <w:tcPr>
            <w:tcW w:w="3085" w:type="dxa"/>
          </w:tcPr>
          <w:p w14:paraId="2FE0DF72"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Stav zamestnancov ku dňu, ku ktorému sa zostavuje účtovná závierka , z toho:</w:t>
            </w:r>
          </w:p>
        </w:tc>
        <w:tc>
          <w:tcPr>
            <w:tcW w:w="2778" w:type="dxa"/>
          </w:tcPr>
          <w:p w14:paraId="60E8D508" w14:textId="2B50BDC7" w:rsidR="00114A9E" w:rsidRPr="00114A9E" w:rsidRDefault="008A669D" w:rsidP="00114A9E">
            <w:pPr>
              <w:rPr>
                <w:rFonts w:ascii="Calibri" w:eastAsia="Calibri" w:hAnsi="Calibri" w:cs="Times New Roman"/>
                <w:b/>
              </w:rPr>
            </w:pPr>
            <w:r>
              <w:rPr>
                <w:rFonts w:ascii="Calibri" w:eastAsia="Calibri" w:hAnsi="Calibri" w:cs="Times New Roman"/>
                <w:b/>
              </w:rPr>
              <w:t>4</w:t>
            </w:r>
          </w:p>
        </w:tc>
        <w:tc>
          <w:tcPr>
            <w:tcW w:w="3919" w:type="dxa"/>
          </w:tcPr>
          <w:p w14:paraId="5F416BB8" w14:textId="3F65F7A4" w:rsidR="00114A9E" w:rsidRPr="00114A9E" w:rsidRDefault="008A669D" w:rsidP="00114A9E">
            <w:pPr>
              <w:rPr>
                <w:rFonts w:ascii="Calibri" w:eastAsia="Calibri" w:hAnsi="Calibri" w:cs="Times New Roman"/>
                <w:b/>
              </w:rPr>
            </w:pPr>
            <w:r>
              <w:rPr>
                <w:rFonts w:ascii="Calibri" w:eastAsia="Calibri" w:hAnsi="Calibri" w:cs="Times New Roman"/>
                <w:b/>
              </w:rPr>
              <w:t>4</w:t>
            </w:r>
          </w:p>
        </w:tc>
      </w:tr>
      <w:tr w:rsidR="00114A9E" w:rsidRPr="00114A9E" w14:paraId="6A1C9822" w14:textId="77777777" w:rsidTr="002D2998">
        <w:tc>
          <w:tcPr>
            <w:tcW w:w="3085" w:type="dxa"/>
          </w:tcPr>
          <w:p w14:paraId="694D8FCA" w14:textId="77777777" w:rsidR="00114A9E" w:rsidRPr="00114A9E" w:rsidRDefault="00114A9E" w:rsidP="00114A9E">
            <w:pPr>
              <w:rPr>
                <w:rFonts w:ascii="Calibri" w:eastAsia="Calibri" w:hAnsi="Calibri" w:cs="Times New Roman"/>
              </w:rPr>
            </w:pPr>
            <w:r w:rsidRPr="00114A9E">
              <w:rPr>
                <w:rFonts w:ascii="Calibri" w:eastAsia="Calibri" w:hAnsi="Calibri" w:cs="Times New Roman"/>
              </w:rPr>
              <w:t>Počet vedúcich zamestnancov</w:t>
            </w:r>
          </w:p>
        </w:tc>
        <w:tc>
          <w:tcPr>
            <w:tcW w:w="2778" w:type="dxa"/>
          </w:tcPr>
          <w:p w14:paraId="5F922301" w14:textId="77777777" w:rsidR="00114A9E" w:rsidRPr="00114A9E" w:rsidRDefault="00114A9E" w:rsidP="00114A9E">
            <w:pPr>
              <w:rPr>
                <w:rFonts w:ascii="Calibri" w:eastAsia="Calibri" w:hAnsi="Calibri" w:cs="Times New Roman"/>
                <w:b/>
              </w:rPr>
            </w:pPr>
            <w:r w:rsidRPr="00114A9E">
              <w:rPr>
                <w:rFonts w:ascii="Calibri" w:eastAsia="Calibri" w:hAnsi="Calibri" w:cs="Times New Roman"/>
                <w:b/>
              </w:rPr>
              <w:t>1</w:t>
            </w:r>
          </w:p>
        </w:tc>
        <w:tc>
          <w:tcPr>
            <w:tcW w:w="3919" w:type="dxa"/>
          </w:tcPr>
          <w:p w14:paraId="0455C96A" w14:textId="77777777" w:rsidR="00114A9E" w:rsidRPr="00114A9E" w:rsidRDefault="00114A9E" w:rsidP="00114A9E">
            <w:pPr>
              <w:rPr>
                <w:rFonts w:ascii="Calibri" w:eastAsia="Calibri" w:hAnsi="Calibri" w:cs="Times New Roman"/>
                <w:b/>
              </w:rPr>
            </w:pPr>
            <w:r w:rsidRPr="00114A9E">
              <w:rPr>
                <w:rFonts w:ascii="Calibri" w:eastAsia="Calibri" w:hAnsi="Calibri" w:cs="Times New Roman"/>
                <w:b/>
              </w:rPr>
              <w:t>1</w:t>
            </w:r>
          </w:p>
        </w:tc>
      </w:tr>
    </w:tbl>
    <w:p w14:paraId="66054C22" w14:textId="77777777" w:rsidR="00114A9E" w:rsidRPr="00114A9E" w:rsidRDefault="00114A9E" w:rsidP="00114A9E">
      <w:pPr>
        <w:spacing w:after="200" w:line="276" w:lineRule="auto"/>
        <w:rPr>
          <w:rFonts w:ascii="Calibri" w:eastAsia="Calibri" w:hAnsi="Calibri" w:cs="Times New Roman"/>
          <w:b/>
        </w:rPr>
      </w:pPr>
    </w:p>
    <w:p w14:paraId="744690E3" w14:textId="77777777" w:rsidR="00114A9E" w:rsidRPr="00114A9E" w:rsidRDefault="00114A9E" w:rsidP="00114A9E">
      <w:pPr>
        <w:spacing w:after="200" w:line="276" w:lineRule="auto"/>
        <w:rPr>
          <w:rFonts w:ascii="Calibri" w:eastAsia="Calibri" w:hAnsi="Calibri" w:cs="Times New Roman"/>
          <w:b/>
        </w:rPr>
      </w:pPr>
    </w:p>
    <w:p w14:paraId="52313AD1" w14:textId="77777777" w:rsidR="00114A9E" w:rsidRPr="00114A9E" w:rsidRDefault="00114A9E" w:rsidP="00114A9E">
      <w:pPr>
        <w:spacing w:after="200" w:line="276" w:lineRule="auto"/>
        <w:rPr>
          <w:rFonts w:ascii="Calibri" w:eastAsia="Calibri" w:hAnsi="Calibri" w:cs="Times New Roman"/>
          <w:b/>
        </w:rPr>
      </w:pPr>
      <w:r w:rsidRPr="00114A9E">
        <w:rPr>
          <w:rFonts w:ascii="Calibri" w:eastAsia="Calibri" w:hAnsi="Calibri" w:cs="Times New Roman"/>
          <w:b/>
        </w:rPr>
        <w:t xml:space="preserve">                 Informácie o konsolidovanom celku :</w:t>
      </w:r>
    </w:p>
    <w:p w14:paraId="45AA428F" w14:textId="77777777" w:rsidR="00114A9E" w:rsidRPr="00114A9E" w:rsidRDefault="00114A9E" w:rsidP="00114A9E">
      <w:pPr>
        <w:tabs>
          <w:tab w:val="left" w:pos="1365"/>
        </w:tabs>
        <w:spacing w:after="200" w:line="276" w:lineRule="auto"/>
        <w:rPr>
          <w:rFonts w:ascii="Calibri" w:eastAsia="Calibri" w:hAnsi="Calibri" w:cs="Times New Roman"/>
        </w:rPr>
      </w:pPr>
      <w:r w:rsidRPr="00114A9E">
        <w:rPr>
          <w:rFonts w:ascii="Calibri" w:eastAsia="Calibri" w:hAnsi="Calibri" w:cs="Times New Roman"/>
          <w:b/>
        </w:rPr>
        <w:t xml:space="preserve">                 </w:t>
      </w:r>
      <w:r w:rsidRPr="00114A9E">
        <w:rPr>
          <w:rFonts w:ascii="Calibri" w:eastAsia="Calibri" w:hAnsi="Calibri" w:cs="Times New Roman"/>
        </w:rPr>
        <w:t>Spoločnosť nie je súčasťou konsolidovaného celku.</w:t>
      </w:r>
    </w:p>
    <w:p w14:paraId="2FC85199" w14:textId="77777777" w:rsidR="00114A9E" w:rsidRPr="00114A9E" w:rsidRDefault="00114A9E" w:rsidP="00114A9E">
      <w:pPr>
        <w:tabs>
          <w:tab w:val="left" w:pos="1365"/>
        </w:tabs>
        <w:spacing w:after="200" w:line="276" w:lineRule="auto"/>
        <w:rPr>
          <w:rFonts w:ascii="Calibri" w:eastAsia="Calibri" w:hAnsi="Calibri" w:cs="Times New Roman"/>
        </w:rPr>
      </w:pPr>
    </w:p>
    <w:p w14:paraId="32EF38C5" w14:textId="77777777" w:rsidR="00114A9E" w:rsidRPr="00114A9E" w:rsidRDefault="00114A9E" w:rsidP="00114A9E">
      <w:pPr>
        <w:tabs>
          <w:tab w:val="left" w:pos="1365"/>
        </w:tabs>
        <w:spacing w:after="200" w:line="276" w:lineRule="auto"/>
        <w:rPr>
          <w:rFonts w:ascii="Calibri" w:eastAsia="Calibri" w:hAnsi="Calibri" w:cs="Times New Roman"/>
          <w:b/>
        </w:rPr>
      </w:pPr>
    </w:p>
    <w:p w14:paraId="1E619D68"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orgánoch účtovnej jednotky</w:t>
      </w:r>
    </w:p>
    <w:p w14:paraId="21E06F55"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b/>
          <w:sz w:val="28"/>
          <w:szCs w:val="28"/>
        </w:rPr>
      </w:pPr>
    </w:p>
    <w:p w14:paraId="3A1BCD78" w14:textId="77777777" w:rsidR="00114A9E" w:rsidRPr="00114A9E" w:rsidRDefault="00830C34"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lastRenderedPageBreak/>
        <w:t>Konatel</w:t>
      </w:r>
      <w:r w:rsidR="001F5B90">
        <w:rPr>
          <w:rFonts w:ascii="Calibri" w:eastAsia="Calibri" w:hAnsi="Calibri" w:cs="Times New Roman"/>
          <w:sz w:val="24"/>
          <w:szCs w:val="24"/>
        </w:rPr>
        <w:t>ia</w:t>
      </w:r>
      <w:r w:rsidR="00114A9E" w:rsidRPr="00114A9E">
        <w:rPr>
          <w:rFonts w:ascii="Calibri" w:eastAsia="Calibri" w:hAnsi="Calibri" w:cs="Times New Roman"/>
          <w:sz w:val="24"/>
          <w:szCs w:val="24"/>
        </w:rPr>
        <w:t xml:space="preserve">: </w:t>
      </w:r>
      <w:r w:rsidR="00817F84">
        <w:rPr>
          <w:rFonts w:ascii="Calibri" w:eastAsia="Calibri" w:hAnsi="Calibri" w:cs="Times New Roman"/>
          <w:sz w:val="24"/>
          <w:szCs w:val="24"/>
        </w:rPr>
        <w:t xml:space="preserve"> Andrej </w:t>
      </w:r>
      <w:proofErr w:type="spellStart"/>
      <w:r w:rsidR="00817F84">
        <w:rPr>
          <w:rFonts w:ascii="Calibri" w:eastAsia="Calibri" w:hAnsi="Calibri" w:cs="Times New Roman"/>
          <w:sz w:val="24"/>
          <w:szCs w:val="24"/>
        </w:rPr>
        <w:t>Radovič</w:t>
      </w:r>
      <w:proofErr w:type="spellEnd"/>
      <w:r w:rsidR="00817F84">
        <w:rPr>
          <w:rFonts w:ascii="Calibri" w:eastAsia="Calibri" w:hAnsi="Calibri" w:cs="Times New Roman"/>
          <w:sz w:val="24"/>
          <w:szCs w:val="24"/>
        </w:rPr>
        <w:t xml:space="preserve">, Roman </w:t>
      </w:r>
      <w:proofErr w:type="spellStart"/>
      <w:r w:rsidR="00817F84">
        <w:rPr>
          <w:rFonts w:ascii="Calibri" w:eastAsia="Calibri" w:hAnsi="Calibri" w:cs="Times New Roman"/>
          <w:sz w:val="24"/>
          <w:szCs w:val="24"/>
        </w:rPr>
        <w:t>Janšo</w:t>
      </w:r>
      <w:proofErr w:type="spellEnd"/>
      <w:r w:rsidR="00817F84">
        <w:rPr>
          <w:rFonts w:ascii="Calibri" w:eastAsia="Calibri" w:hAnsi="Calibri" w:cs="Times New Roman"/>
          <w:sz w:val="24"/>
          <w:szCs w:val="24"/>
        </w:rPr>
        <w:t xml:space="preserve">, Milan </w:t>
      </w:r>
      <w:proofErr w:type="spellStart"/>
      <w:r w:rsidR="00817F84">
        <w:rPr>
          <w:rFonts w:ascii="Calibri" w:eastAsia="Calibri" w:hAnsi="Calibri" w:cs="Times New Roman"/>
          <w:sz w:val="24"/>
          <w:szCs w:val="24"/>
        </w:rPr>
        <w:t>Strigáč</w:t>
      </w:r>
      <w:proofErr w:type="spellEnd"/>
    </w:p>
    <w:p w14:paraId="57A65A45" w14:textId="6D22DBDC" w:rsidR="00114A9E" w:rsidRPr="00114A9E" w:rsidRDefault="00BA7AAC"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t>Konateľom</w:t>
      </w:r>
      <w:r w:rsidR="00F90D50">
        <w:rPr>
          <w:rFonts w:ascii="Calibri" w:eastAsia="Calibri" w:hAnsi="Calibri" w:cs="Times New Roman"/>
          <w:sz w:val="24"/>
          <w:szCs w:val="24"/>
        </w:rPr>
        <w:t xml:space="preserve"> neboli v roku 20</w:t>
      </w:r>
      <w:r w:rsidR="002818A7">
        <w:rPr>
          <w:rFonts w:ascii="Calibri" w:eastAsia="Calibri" w:hAnsi="Calibri" w:cs="Times New Roman"/>
          <w:sz w:val="24"/>
          <w:szCs w:val="24"/>
        </w:rPr>
        <w:t>2</w:t>
      </w:r>
      <w:r w:rsidR="00B90F09">
        <w:rPr>
          <w:rFonts w:ascii="Calibri" w:eastAsia="Calibri" w:hAnsi="Calibri" w:cs="Times New Roman"/>
          <w:sz w:val="24"/>
          <w:szCs w:val="24"/>
        </w:rPr>
        <w:t>3</w:t>
      </w:r>
      <w:r w:rsidR="00114A9E" w:rsidRPr="00114A9E">
        <w:rPr>
          <w:rFonts w:ascii="Calibri" w:eastAsia="Calibri" w:hAnsi="Calibri" w:cs="Times New Roman"/>
          <w:sz w:val="24"/>
          <w:szCs w:val="24"/>
        </w:rPr>
        <w:t xml:space="preserve"> poskytnuté pôžičky, záruky alebo iné formy zabezpečenia, ani finančné prostriedky alebo iné plnenia na súkromné účely.</w:t>
      </w:r>
    </w:p>
    <w:p w14:paraId="23E1F59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r w:rsidRPr="00114A9E">
        <w:rPr>
          <w:rFonts w:ascii="Calibri" w:eastAsia="Calibri" w:hAnsi="Calibri" w:cs="Times New Roman"/>
          <w:sz w:val="24"/>
          <w:szCs w:val="24"/>
        </w:rPr>
        <w:t>Spoločníci:</w:t>
      </w:r>
      <w:r w:rsidR="001F5B90">
        <w:rPr>
          <w:rFonts w:ascii="Calibri" w:eastAsia="Calibri" w:hAnsi="Calibri" w:cs="Times New Roman"/>
          <w:sz w:val="24"/>
          <w:szCs w:val="24"/>
        </w:rPr>
        <w:t xml:space="preserve"> Andrej </w:t>
      </w:r>
      <w:proofErr w:type="spellStart"/>
      <w:r w:rsidR="001F5B90">
        <w:rPr>
          <w:rFonts w:ascii="Calibri" w:eastAsia="Calibri" w:hAnsi="Calibri" w:cs="Times New Roman"/>
          <w:sz w:val="24"/>
          <w:szCs w:val="24"/>
        </w:rPr>
        <w:t>Radovič</w:t>
      </w:r>
      <w:proofErr w:type="spellEnd"/>
      <w:r w:rsidR="001F5B90">
        <w:rPr>
          <w:rFonts w:ascii="Calibri" w:eastAsia="Calibri" w:hAnsi="Calibri" w:cs="Times New Roman"/>
          <w:sz w:val="24"/>
          <w:szCs w:val="24"/>
        </w:rPr>
        <w:t xml:space="preserve">, Roman </w:t>
      </w:r>
      <w:proofErr w:type="spellStart"/>
      <w:r w:rsidR="001F5B90">
        <w:rPr>
          <w:rFonts w:ascii="Calibri" w:eastAsia="Calibri" w:hAnsi="Calibri" w:cs="Times New Roman"/>
          <w:sz w:val="24"/>
          <w:szCs w:val="24"/>
        </w:rPr>
        <w:t>Janšo</w:t>
      </w:r>
      <w:proofErr w:type="spellEnd"/>
      <w:r w:rsidR="001F5B90">
        <w:rPr>
          <w:rFonts w:ascii="Calibri" w:eastAsia="Calibri" w:hAnsi="Calibri" w:cs="Times New Roman"/>
          <w:sz w:val="24"/>
          <w:szCs w:val="24"/>
        </w:rPr>
        <w:t xml:space="preserve">, Milan </w:t>
      </w:r>
      <w:proofErr w:type="spellStart"/>
      <w:r w:rsidR="001F5B90">
        <w:rPr>
          <w:rFonts w:ascii="Calibri" w:eastAsia="Calibri" w:hAnsi="Calibri" w:cs="Times New Roman"/>
          <w:sz w:val="24"/>
          <w:szCs w:val="24"/>
        </w:rPr>
        <w:t>Strigáč</w:t>
      </w:r>
      <w:proofErr w:type="spellEnd"/>
    </w:p>
    <w:p w14:paraId="2E966FC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5C49FBCE"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1D4DEC9F"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Informácie o použitých účtovných zásadách a účtovných metódach :  </w:t>
      </w:r>
    </w:p>
    <w:p w14:paraId="517B60FC"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Základné účtovné metódy použité pri zostavovaní tejto individuálnej účtovnej závierky sú opísané nižšie . Tieto metódy sa uplatňujú konzistentne počas všetkých účtovných období, ak nie je uvedené inak.</w:t>
      </w:r>
    </w:p>
    <w:p w14:paraId="0544797E"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Spoločnosť zostavila účtovnú závierku za predpokladu nepretržitého pokračovania vo svojej činnosti.</w:t>
      </w:r>
    </w:p>
    <w:p w14:paraId="2EF5975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1EBC94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Spôsob oceňovania jednotlivých zložiek majetku a záväzkov :</w:t>
      </w:r>
    </w:p>
    <w:p w14:paraId="4391BBF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r w:rsidRPr="00114A9E">
        <w:rPr>
          <w:rFonts w:ascii="Calibri" w:eastAsia="Calibri" w:hAnsi="Calibri" w:cs="Times New Roman"/>
          <w:b/>
          <w:sz w:val="24"/>
          <w:szCs w:val="24"/>
        </w:rPr>
        <w:t>Dlhodobý nehmotný majetok</w:t>
      </w:r>
    </w:p>
    <w:p w14:paraId="48E5C25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nakupovaný sa oceňuje obstarávacou cenou, ktorá zahŕňa cenu obstarania a náklady súvisiace s obstaraním ( clo, prepravu, montáž, poistné a pod.) Súčasťou obstarávacej ceny dlhodobého nehmotného majetku nie sú úroky z úverov súvisiacich s obstaraním majetku, ktoré vznikli do momentu zaradenia majetku do užívania.</w:t>
      </w:r>
    </w:p>
    <w:p w14:paraId="315D268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vytvorený vlastnou činnosťou sa oceňuje vlastnými nákladmi. Vlastnými nákladmi sú všetky priame náklady vynaložené na výrobu alebo na inú činnosť a nepriame náklady, ktoré sa vzťahujú na výrobu a činnosť.</w:t>
      </w:r>
    </w:p>
    <w:p w14:paraId="5D9BAEE1" w14:textId="77777777" w:rsidR="00114A9E" w:rsidRPr="00114A9E" w:rsidRDefault="00114A9E" w:rsidP="00114A9E">
      <w:pPr>
        <w:tabs>
          <w:tab w:val="left" w:pos="1365"/>
        </w:tabs>
        <w:spacing w:after="200" w:line="276" w:lineRule="auto"/>
        <w:ind w:left="644"/>
        <w:rPr>
          <w:rFonts w:ascii="Calibri" w:eastAsia="Calibri" w:hAnsi="Calibri" w:cs="Times New Roman"/>
          <w:sz w:val="24"/>
          <w:szCs w:val="24"/>
        </w:rPr>
      </w:pPr>
      <w:r w:rsidRPr="00114A9E">
        <w:rPr>
          <w:rFonts w:ascii="Calibri" w:eastAsia="Calibri" w:hAnsi="Calibri" w:cs="Times New Roman"/>
          <w:b/>
          <w:sz w:val="24"/>
          <w:szCs w:val="24"/>
        </w:rPr>
        <w:t>Dlhodobý hmotný majetok</w:t>
      </w:r>
    </w:p>
    <w:p w14:paraId="3890E387"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hmotný majetok nakupovaný sa oceňuje obstarávacou cenou, ktorá zahŕňa cenu obstarania a náklady súvisiace s obstaraním (clo, prepravu, montáž, poistné a pod.) Súčasťou obstarávacej ceny dlhodobého hmotného majetku nie sú úroku z úverov súvisiacich s obstaraním majetku, ktoré vznikli do momentu zaradenia majetku do užívania.</w:t>
      </w:r>
    </w:p>
    <w:p w14:paraId="29757A33"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dlhodobého hmotného majetku patrí majetok, ku ktorému má účtovná jednotka vlastnícke právo. Súčasťou dlhodobého hmot. majetku je aj majetok, ktorý spoločnosť obstarala na základe zmluvy o finančnom prenájme.</w:t>
      </w:r>
    </w:p>
    <w:p w14:paraId="1ADDCD4C"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Odpisy dlhodobého hmot. majetku sú stanovené podľa predpokladanej doby jeho používania a predpokladaného priebehu jeho opotrebenia. Pozemky sa neodpisujú.</w:t>
      </w:r>
    </w:p>
    <w:p w14:paraId="4A199D1F"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Vypracuje sa odpisový plán pre jednotlivé druhy majetku so stanovenou metódou odpisovania a ročnou odpisovou sadzbou.</w:t>
      </w:r>
    </w:p>
    <w:p w14:paraId="53AD9729"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Technické zhodnotenie dlhodobého hmotného majetku nie je technickým zhodnotením, ak neprevyšuje úhrnne za účtovné obdobie sumu 1700 eur.</w:t>
      </w:r>
    </w:p>
    <w:p w14:paraId="458CE51F"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493EBF50"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073E2CDE"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774BFB17"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Cenné papiere a podiely</w:t>
      </w:r>
    </w:p>
    <w:p w14:paraId="38EC9545"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Cenné papiere a podiely sa oceňujú pri nadobudnutí obstarávacou cenou, vrátane nákladov súvisiacich s obstaraním.</w:t>
      </w:r>
    </w:p>
    <w:p w14:paraId="672751E7"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Ku dňu, ku ktorému sa zostavuje účtovná závierka spoločnosť nevlastnila cenné papiere a podiely</w:t>
      </w:r>
    </w:p>
    <w:p w14:paraId="6A7E02F3"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Zásoby</w:t>
      </w:r>
    </w:p>
    <w:p w14:paraId="7F442407"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zásob patrí skladovaný materiál a skladovaný tovar a priame náklady na neukončené servisné opravy.</w:t>
      </w:r>
    </w:p>
    <w:p w14:paraId="74271521"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Materiál a tovar sa prvotne oceňujú obstarávacou cenou, ktorú tvorí cena obstarania a náklady súvisiace s obstaraním (prepravné, poistné, provízie, skonto). Úroky z úverov nie sú súčasťou obstarávacej ceny.</w:t>
      </w:r>
    </w:p>
    <w:p w14:paraId="1A62851B"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Nakupované zásoby sa:</w:t>
      </w:r>
    </w:p>
    <w:p w14:paraId="509928DC"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Vyskladňujú váženým aritmetickým priemerom z obstarávaných cien</w:t>
      </w:r>
    </w:p>
    <w:p w14:paraId="1EC167C6"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Úbytok vedľajších nákladov, pripadajúcich na spotrebované zásoby sa určí – úbytok zásob za mesiac*priemerné percento /100</w:t>
      </w:r>
    </w:p>
    <w:p w14:paraId="7CB6E753" w14:textId="77777777" w:rsidR="00114A9E" w:rsidRPr="00114A9E" w:rsidRDefault="00114A9E" w:rsidP="00114A9E">
      <w:pPr>
        <w:tabs>
          <w:tab w:val="left" w:pos="1365"/>
        </w:tabs>
        <w:spacing w:after="200" w:line="276" w:lineRule="auto"/>
        <w:ind w:left="1080"/>
        <w:contextualSpacing/>
        <w:rPr>
          <w:rFonts w:ascii="Calibri" w:eastAsia="Calibri" w:hAnsi="Calibri" w:cs="Times New Roman"/>
          <w:sz w:val="24"/>
          <w:szCs w:val="24"/>
        </w:rPr>
      </w:pPr>
    </w:p>
    <w:p w14:paraId="0FD55789"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Pohľadávky</w:t>
      </w:r>
    </w:p>
    <w:p w14:paraId="068BEA54"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40A95DE6"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s dobou splatnosti od dňa, ktorému sa zostavuje účtovná závierka menej ako 12 mesiacov sú dlhodobé a pohľadávky s dobou splatnosti odo dňa ku ktorému sa zostavuje účtovná závierka menej ako 12 mesiacov sa vykazujú ako krátkodobé.</w:t>
      </w:r>
    </w:p>
    <w:p w14:paraId="3C842209"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Ak je zostatková doba splatnosti pohľadávky dlhšia ako jeden rok, vytvára sa opravná položka, ktorá predstavuje rozdiel medzi menovitou a súčasnou hodnotou pohľadávky.</w:t>
      </w:r>
    </w:p>
    <w:p w14:paraId="341A992C"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7B73080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7079C42"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4A024DF1"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5574F8B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3760FA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Peňažné prostriedky, ekvivalenty peňažných prostriedkov a peňažné ekvivalenty</w:t>
      </w:r>
    </w:p>
    <w:p w14:paraId="6343094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Peňažné prostriedky a ceniny sa oceňujú ich menovitou hodnotou. Zníženie ich hodnoty sa vyjadruje opravnou položkou. 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14:paraId="1DC6D41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6FC22E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Náklady budúcich období a príjmy budúcich období</w:t>
      </w:r>
    </w:p>
    <w:p w14:paraId="0776F4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Náklady budúcich období a príjmy budúcich období sa vykazujú vo výške, ktorá je potrebná na dodržanie zásady vecnej a časovej súvislosti s účtovným obdobím.</w:t>
      </w:r>
    </w:p>
    <w:p w14:paraId="7983133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Rezervy</w:t>
      </w:r>
    </w:p>
    <w:p w14:paraId="34859BF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 ku ktorému sa zostavuje účtovná závierka pri zohľadnení rizík a neistôt.</w:t>
      </w:r>
    </w:p>
    <w:p w14:paraId="04BC60C5"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Záväzky </w:t>
      </w:r>
    </w:p>
    <w:p w14:paraId="49D90E7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70D3E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Odložené dane</w:t>
      </w:r>
    </w:p>
    <w:p w14:paraId="423302ED"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Odložené dane sa vzťahujú na :</w:t>
      </w:r>
    </w:p>
    <w:p w14:paraId="3A04243A"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Dočasné rozdiely medzi účtovnou hodnotou majetku a účtovnou hodnotou záväzkov vykázanou v súvahe a ich daňovou základňou,</w:t>
      </w:r>
    </w:p>
    <w:p w14:paraId="4BEE8EA6"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Možnosť umorovať daňovú stratu v budúcnosti, ktorou sa rozumie možnosť odpočítať daňovú stratu od základu dane v budúcnosti,</w:t>
      </w:r>
    </w:p>
    <w:p w14:paraId="19E35E62"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Možnosť previesť nevyužité daňové odpočty a iné daňové nároky do budúcich období. Odložená daň z príjmov sa účtuje použitím záväzkovej metódy. </w:t>
      </w:r>
      <w:r w:rsidRPr="00114A9E">
        <w:rPr>
          <w:rFonts w:ascii="Calibri" w:eastAsia="Calibri" w:hAnsi="Calibri" w:cs="Times New Roman"/>
          <w:sz w:val="24"/>
          <w:szCs w:val="24"/>
        </w:rPr>
        <w:lastRenderedPageBreak/>
        <w:t>O odloženej dani z príjmov sa neúčtuje , ak vzniká pri prvotnom zaúčtovaní majetku alebo záväzku v účtovníctve ,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 Odložené daňové pohľadávky sa účtujú, ak je pravdepodobné, že v budúcnosti bude generovaný zisk, voči ktorému sa budú môcť dočasné rozdiely zrealizovať.</w:t>
      </w:r>
    </w:p>
    <w:p w14:paraId="42A8948B"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p>
    <w:p w14:paraId="5857622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Výdavky budúcich období a výnosy budúcich období</w:t>
      </w:r>
    </w:p>
    <w:p w14:paraId="2B5D3AD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Výdavky budúcich období a výnosy budúcich období sa vykazujú vo výške, ktorá je potrebná na dodržanie zásady vecnej a časovej súvislosti s účtovným obdobím.</w:t>
      </w:r>
    </w:p>
    <w:p w14:paraId="32A778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Cudzia mena</w:t>
      </w:r>
    </w:p>
    <w:p w14:paraId="5DB3FB7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sa ku dňu uskutočnenia účtovného prípadu prepočítavajú a menu euro referenčným výmenným kurzom určeným a vyhláseným Európskou centrálnou bankou alebo Národnou bankou Slovenskej republiky v deň predchádzajúci dňu uskutočnenia účtovného prípadu.</w:t>
      </w:r>
    </w:p>
    <w:p w14:paraId="5CC389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(okrem prijatých a poskytnutých preddavkov)sa ku dňu, ku ktorému sa zostavuje účtovná závierka, prepočítavajú na menu euro referenčným výmenným kurzom určeným a vyhláseným Európskou centrálnou bankou alebo Národnou bankou Slovenska v deň, ku ktorému sa zostavuje účtovná závierka a účtujú sa vplyvom na výsledok hospodárenia.</w:t>
      </w:r>
    </w:p>
    <w:p w14:paraId="547382D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Prijaté a poskytnuté preddavky v cudzej mene sa prepočítavajú a menu euro referenčným výmenným kurzom určeným a vyhláseným Európskou centrálnou bankou alebo Národnou </w:t>
      </w:r>
    </w:p>
    <w:p w14:paraId="6E6EF147"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312B311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bankou Slovenska v deň predchádzajúci dňu uskutočnenia účtovného prípadu. Ku dňu,ku ktorému sa zostavuje účtovná závierka sa na menu euro neprepočítavajú.</w:t>
      </w:r>
    </w:p>
    <w:p w14:paraId="6106582D"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Výnosy </w:t>
      </w:r>
    </w:p>
    <w:p w14:paraId="4B71B1F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Tržba za vlastné výkony a tovar neobsahuje daň z pridanej hodnoty. Sú tiež znížené o zľavy a zrážky (rabaty, bonusy, skontá, dobropisy a pod.)bez ohľadu na to, či zákazník mal vopred nárok, alebo či ide o dodatočne uznanú zľavu.</w:t>
      </w:r>
    </w:p>
    <w:p w14:paraId="63C5B8C8"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lastRenderedPageBreak/>
        <w:t>Oprava chýb minulých účtovných období</w:t>
      </w:r>
    </w:p>
    <w:p w14:paraId="334EBF40" w14:textId="1E00AF9E" w:rsidR="00114A9E" w:rsidRPr="00114A9E" w:rsidRDefault="00F90D5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V roku 20</w:t>
      </w:r>
      <w:r w:rsidR="00887CCA">
        <w:rPr>
          <w:rFonts w:ascii="Calibri" w:eastAsia="Calibri" w:hAnsi="Calibri" w:cs="Times New Roman"/>
          <w:sz w:val="24"/>
          <w:szCs w:val="24"/>
        </w:rPr>
        <w:t>2</w:t>
      </w:r>
      <w:r w:rsidR="00B90F09">
        <w:rPr>
          <w:rFonts w:ascii="Calibri" w:eastAsia="Calibri" w:hAnsi="Calibri" w:cs="Times New Roman"/>
          <w:sz w:val="24"/>
          <w:szCs w:val="24"/>
        </w:rPr>
        <w:t>3</w:t>
      </w:r>
      <w:r w:rsidR="00114A9E" w:rsidRPr="00114A9E">
        <w:rPr>
          <w:rFonts w:ascii="Calibri" w:eastAsia="Calibri" w:hAnsi="Calibri" w:cs="Times New Roman"/>
          <w:sz w:val="24"/>
          <w:szCs w:val="24"/>
        </w:rPr>
        <w:t xml:space="preserve"> spoločnosť neúčtovala o oprave chýb minulých účtovných období.</w:t>
      </w:r>
    </w:p>
    <w:p w14:paraId="6F0BD7F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3469C14E"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k položkám úvahy z výkazu ziskov a strát</w:t>
      </w:r>
    </w:p>
    <w:p w14:paraId="5829906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p w14:paraId="4D956256"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tbl>
      <w:tblPr>
        <w:tblStyle w:val="Mriekatabuky1"/>
        <w:tblW w:w="9923" w:type="dxa"/>
        <w:tblInd w:w="-176" w:type="dxa"/>
        <w:tblLook w:val="04A0" w:firstRow="1" w:lastRow="0" w:firstColumn="1" w:lastColumn="0" w:noHBand="0" w:noVBand="1"/>
      </w:tblPr>
      <w:tblGrid>
        <w:gridCol w:w="3424"/>
        <w:gridCol w:w="2615"/>
        <w:gridCol w:w="3884"/>
      </w:tblGrid>
      <w:tr w:rsidR="00114A9E" w:rsidRPr="00114A9E" w14:paraId="26D7521C" w14:textId="77777777" w:rsidTr="00114A9E">
        <w:tc>
          <w:tcPr>
            <w:tcW w:w="3424" w:type="dxa"/>
            <w:tcBorders>
              <w:top w:val="single" w:sz="4" w:space="0" w:color="auto"/>
              <w:left w:val="single" w:sz="4" w:space="0" w:color="auto"/>
              <w:bottom w:val="nil"/>
              <w:right w:val="single" w:sz="4" w:space="0" w:color="auto"/>
            </w:tcBorders>
            <w:shd w:val="clear" w:color="auto" w:fill="FDE9D9"/>
          </w:tcPr>
          <w:p w14:paraId="76EA4971"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tc>
        <w:tc>
          <w:tcPr>
            <w:tcW w:w="2615" w:type="dxa"/>
            <w:tcBorders>
              <w:top w:val="single" w:sz="4" w:space="0" w:color="auto"/>
              <w:left w:val="single" w:sz="4" w:space="0" w:color="auto"/>
              <w:bottom w:val="nil"/>
              <w:right w:val="single" w:sz="4" w:space="0" w:color="auto"/>
            </w:tcBorders>
            <w:shd w:val="clear" w:color="auto" w:fill="FDE9D9"/>
          </w:tcPr>
          <w:p w14:paraId="151069D7"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Bežné účtovné </w:t>
            </w:r>
          </w:p>
        </w:tc>
        <w:tc>
          <w:tcPr>
            <w:tcW w:w="3884" w:type="dxa"/>
            <w:tcBorders>
              <w:top w:val="single" w:sz="4" w:space="0" w:color="auto"/>
              <w:left w:val="single" w:sz="4" w:space="0" w:color="auto"/>
              <w:bottom w:val="nil"/>
              <w:right w:val="single" w:sz="4" w:space="0" w:color="auto"/>
            </w:tcBorders>
            <w:shd w:val="clear" w:color="auto" w:fill="FDE9D9"/>
          </w:tcPr>
          <w:p w14:paraId="31B92543"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tc>
      </w:tr>
      <w:tr w:rsidR="00114A9E" w:rsidRPr="00114A9E" w14:paraId="7663DD1F" w14:textId="77777777" w:rsidTr="00114A9E">
        <w:tc>
          <w:tcPr>
            <w:tcW w:w="3424" w:type="dxa"/>
            <w:tcBorders>
              <w:top w:val="nil"/>
              <w:left w:val="single" w:sz="4" w:space="0" w:color="auto"/>
              <w:bottom w:val="single" w:sz="4" w:space="0" w:color="auto"/>
              <w:right w:val="single" w:sz="4" w:space="0" w:color="auto"/>
            </w:tcBorders>
            <w:shd w:val="clear" w:color="auto" w:fill="FDE9D9"/>
          </w:tcPr>
          <w:p w14:paraId="2D75BCB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shd w:val="clear" w:color="auto" w:fill="FDE9D9"/>
          </w:tcPr>
          <w:p w14:paraId="18D46E7A"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obdobie</w:t>
            </w:r>
          </w:p>
        </w:tc>
        <w:tc>
          <w:tcPr>
            <w:tcW w:w="3884" w:type="dxa"/>
            <w:tcBorders>
              <w:top w:val="nil"/>
              <w:left w:val="single" w:sz="4" w:space="0" w:color="auto"/>
              <w:bottom w:val="single" w:sz="4" w:space="0" w:color="auto"/>
              <w:right w:val="single" w:sz="4" w:space="0" w:color="auto"/>
            </w:tcBorders>
            <w:shd w:val="clear" w:color="auto" w:fill="FDE9D9"/>
          </w:tcPr>
          <w:p w14:paraId="289EFD30"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41BCA268" w14:textId="77777777" w:rsidTr="002D2998">
        <w:tc>
          <w:tcPr>
            <w:tcW w:w="3424" w:type="dxa"/>
            <w:tcBorders>
              <w:top w:val="single" w:sz="4" w:space="0" w:color="auto"/>
              <w:bottom w:val="single" w:sz="4" w:space="0" w:color="auto"/>
            </w:tcBorders>
          </w:tcPr>
          <w:p w14:paraId="7026E16D"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po lehote splatnosti</w:t>
            </w:r>
          </w:p>
        </w:tc>
        <w:tc>
          <w:tcPr>
            <w:tcW w:w="2615" w:type="dxa"/>
            <w:tcBorders>
              <w:top w:val="single" w:sz="4" w:space="0" w:color="auto"/>
              <w:bottom w:val="single" w:sz="4" w:space="0" w:color="auto"/>
            </w:tcBorders>
          </w:tcPr>
          <w:p w14:paraId="1EA2F37B" w14:textId="04D5DCDD" w:rsidR="00114A9E" w:rsidRPr="00114A9E" w:rsidRDefault="00657AEF"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0</w:t>
            </w:r>
          </w:p>
        </w:tc>
        <w:tc>
          <w:tcPr>
            <w:tcW w:w="3884" w:type="dxa"/>
            <w:tcBorders>
              <w:top w:val="single" w:sz="4" w:space="0" w:color="auto"/>
              <w:bottom w:val="single" w:sz="4" w:space="0" w:color="auto"/>
            </w:tcBorders>
          </w:tcPr>
          <w:p w14:paraId="6C638A46" w14:textId="0C9A3828" w:rsidR="00114A9E" w:rsidRPr="00114A9E" w:rsidRDefault="00B90F09"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0</w:t>
            </w:r>
          </w:p>
        </w:tc>
      </w:tr>
      <w:tr w:rsidR="00114A9E" w:rsidRPr="00114A9E" w14:paraId="1A11B05A" w14:textId="77777777" w:rsidTr="002D2998">
        <w:tc>
          <w:tcPr>
            <w:tcW w:w="3424" w:type="dxa"/>
            <w:tcBorders>
              <w:top w:val="single" w:sz="4" w:space="0" w:color="auto"/>
              <w:left w:val="single" w:sz="4" w:space="0" w:color="auto"/>
              <w:bottom w:val="nil"/>
              <w:right w:val="single" w:sz="4" w:space="0" w:color="auto"/>
            </w:tcBorders>
          </w:tcPr>
          <w:p w14:paraId="7CAF36BC"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 splatnosti do jedného roka vrátane</w:t>
            </w:r>
          </w:p>
        </w:tc>
        <w:tc>
          <w:tcPr>
            <w:tcW w:w="2615" w:type="dxa"/>
            <w:tcBorders>
              <w:top w:val="single" w:sz="4" w:space="0" w:color="auto"/>
              <w:left w:val="single" w:sz="4" w:space="0" w:color="auto"/>
              <w:bottom w:val="nil"/>
              <w:right w:val="single" w:sz="4" w:space="0" w:color="auto"/>
            </w:tcBorders>
          </w:tcPr>
          <w:p w14:paraId="68D3CB06" w14:textId="513960CB" w:rsidR="00114A9E" w:rsidRPr="00114A9E" w:rsidRDefault="00B90F09"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34761,3</w:t>
            </w:r>
          </w:p>
        </w:tc>
        <w:tc>
          <w:tcPr>
            <w:tcW w:w="3884" w:type="dxa"/>
            <w:tcBorders>
              <w:top w:val="single" w:sz="4" w:space="0" w:color="auto"/>
              <w:left w:val="single" w:sz="4" w:space="0" w:color="auto"/>
              <w:bottom w:val="nil"/>
              <w:right w:val="single" w:sz="4" w:space="0" w:color="auto"/>
            </w:tcBorders>
          </w:tcPr>
          <w:p w14:paraId="2020816B" w14:textId="35CF1A02" w:rsidR="00114A9E" w:rsidRPr="00114A9E" w:rsidRDefault="00B90F09"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14214,09</w:t>
            </w:r>
          </w:p>
        </w:tc>
      </w:tr>
      <w:tr w:rsidR="00114A9E" w:rsidRPr="00114A9E" w14:paraId="1FE795A4" w14:textId="77777777" w:rsidTr="002D2998">
        <w:tc>
          <w:tcPr>
            <w:tcW w:w="3424" w:type="dxa"/>
            <w:tcBorders>
              <w:top w:val="nil"/>
              <w:left w:val="single" w:sz="4" w:space="0" w:color="auto"/>
              <w:bottom w:val="single" w:sz="4" w:space="0" w:color="auto"/>
              <w:right w:val="single" w:sz="4" w:space="0" w:color="auto"/>
            </w:tcBorders>
          </w:tcPr>
          <w:p w14:paraId="33A7354D"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tcPr>
          <w:p w14:paraId="30B4A53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1D31F097"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7AD7E154" w14:textId="77777777" w:rsidTr="002D2998">
        <w:tc>
          <w:tcPr>
            <w:tcW w:w="3424" w:type="dxa"/>
            <w:tcBorders>
              <w:top w:val="single" w:sz="4" w:space="0" w:color="auto"/>
              <w:bottom w:val="single" w:sz="4" w:space="0" w:color="auto"/>
            </w:tcBorders>
          </w:tcPr>
          <w:p w14:paraId="126484AE"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Krátkodobé záväzky spolu</w:t>
            </w:r>
          </w:p>
        </w:tc>
        <w:tc>
          <w:tcPr>
            <w:tcW w:w="2615" w:type="dxa"/>
            <w:tcBorders>
              <w:top w:val="single" w:sz="4" w:space="0" w:color="auto"/>
              <w:bottom w:val="single" w:sz="4" w:space="0" w:color="auto"/>
            </w:tcBorders>
          </w:tcPr>
          <w:p w14:paraId="3542C15B" w14:textId="0A70D035" w:rsidR="00114A9E" w:rsidRPr="00114A9E" w:rsidRDefault="00B90F09"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34761,3</w:t>
            </w:r>
          </w:p>
        </w:tc>
        <w:tc>
          <w:tcPr>
            <w:tcW w:w="3884" w:type="dxa"/>
            <w:tcBorders>
              <w:top w:val="single" w:sz="4" w:space="0" w:color="auto"/>
              <w:bottom w:val="single" w:sz="4" w:space="0" w:color="auto"/>
            </w:tcBorders>
          </w:tcPr>
          <w:p w14:paraId="5D009819" w14:textId="2488E41D" w:rsidR="00114A9E" w:rsidRPr="00114A9E" w:rsidRDefault="00B90F09"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14214,09</w:t>
            </w:r>
          </w:p>
        </w:tc>
      </w:tr>
      <w:tr w:rsidR="00114A9E" w:rsidRPr="00114A9E" w14:paraId="0CF37B13" w14:textId="77777777" w:rsidTr="002D2998">
        <w:tc>
          <w:tcPr>
            <w:tcW w:w="3424" w:type="dxa"/>
            <w:tcBorders>
              <w:top w:val="single" w:sz="4" w:space="0" w:color="auto"/>
              <w:left w:val="single" w:sz="4" w:space="0" w:color="auto"/>
              <w:bottom w:val="nil"/>
              <w:right w:val="single" w:sz="4" w:space="0" w:color="auto"/>
            </w:tcBorders>
          </w:tcPr>
          <w:p w14:paraId="46EC4315"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 xml:space="preserve">Záväzky so zostatkovou dobou splatnosti jeden rok až päť </w:t>
            </w:r>
          </w:p>
        </w:tc>
        <w:tc>
          <w:tcPr>
            <w:tcW w:w="2615" w:type="dxa"/>
            <w:tcBorders>
              <w:top w:val="single" w:sz="4" w:space="0" w:color="auto"/>
              <w:left w:val="single" w:sz="4" w:space="0" w:color="auto"/>
              <w:bottom w:val="nil"/>
              <w:right w:val="single" w:sz="4" w:space="0" w:color="auto"/>
            </w:tcBorders>
          </w:tcPr>
          <w:p w14:paraId="70D6684C" w14:textId="11C5736E" w:rsidR="00114A9E" w:rsidRPr="00114A9E" w:rsidRDefault="00B90F09"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 xml:space="preserve"> 4562,79</w:t>
            </w:r>
          </w:p>
        </w:tc>
        <w:tc>
          <w:tcPr>
            <w:tcW w:w="3884" w:type="dxa"/>
            <w:tcBorders>
              <w:top w:val="single" w:sz="4" w:space="0" w:color="auto"/>
              <w:left w:val="single" w:sz="4" w:space="0" w:color="auto"/>
              <w:bottom w:val="nil"/>
              <w:right w:val="single" w:sz="4" w:space="0" w:color="auto"/>
            </w:tcBorders>
          </w:tcPr>
          <w:p w14:paraId="6C6C2C7C" w14:textId="059F973E" w:rsidR="00114A9E" w:rsidRPr="00114A9E" w:rsidRDefault="00B90F09"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8571,46</w:t>
            </w:r>
          </w:p>
        </w:tc>
      </w:tr>
      <w:tr w:rsidR="00114A9E" w:rsidRPr="00114A9E" w14:paraId="53F7AEBE" w14:textId="77777777" w:rsidTr="002D2998">
        <w:tc>
          <w:tcPr>
            <w:tcW w:w="3424" w:type="dxa"/>
            <w:tcBorders>
              <w:top w:val="nil"/>
              <w:left w:val="single" w:sz="4" w:space="0" w:color="auto"/>
              <w:bottom w:val="single" w:sz="4" w:space="0" w:color="auto"/>
              <w:right w:val="single" w:sz="4" w:space="0" w:color="auto"/>
            </w:tcBorders>
          </w:tcPr>
          <w:p w14:paraId="73C53C46"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rokov</w:t>
            </w:r>
          </w:p>
        </w:tc>
        <w:tc>
          <w:tcPr>
            <w:tcW w:w="2615" w:type="dxa"/>
            <w:tcBorders>
              <w:top w:val="nil"/>
              <w:left w:val="single" w:sz="4" w:space="0" w:color="auto"/>
              <w:bottom w:val="single" w:sz="4" w:space="0" w:color="auto"/>
              <w:right w:val="single" w:sz="4" w:space="0" w:color="auto"/>
            </w:tcBorders>
          </w:tcPr>
          <w:p w14:paraId="70A6485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3632BFDF"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0C1A73A0" w14:textId="77777777" w:rsidTr="002D2998">
        <w:tc>
          <w:tcPr>
            <w:tcW w:w="3424" w:type="dxa"/>
            <w:tcBorders>
              <w:top w:val="single" w:sz="4" w:space="0" w:color="auto"/>
              <w:left w:val="single" w:sz="4" w:space="0" w:color="auto"/>
              <w:bottom w:val="nil"/>
              <w:right w:val="single" w:sz="4" w:space="0" w:color="auto"/>
            </w:tcBorders>
          </w:tcPr>
          <w:p w14:paraId="5FF79BF8"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w:t>
            </w:r>
          </w:p>
        </w:tc>
        <w:tc>
          <w:tcPr>
            <w:tcW w:w="2615" w:type="dxa"/>
            <w:tcBorders>
              <w:top w:val="single" w:sz="4" w:space="0" w:color="auto"/>
              <w:left w:val="single" w:sz="4" w:space="0" w:color="auto"/>
              <w:bottom w:val="nil"/>
              <w:right w:val="single" w:sz="4" w:space="0" w:color="auto"/>
            </w:tcBorders>
          </w:tcPr>
          <w:p w14:paraId="392756F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3540A583"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349AB9CC" w14:textId="77777777" w:rsidTr="002D2998">
        <w:tc>
          <w:tcPr>
            <w:tcW w:w="3424" w:type="dxa"/>
            <w:tcBorders>
              <w:top w:val="nil"/>
              <w:left w:val="single" w:sz="4" w:space="0" w:color="auto"/>
              <w:bottom w:val="single" w:sz="4" w:space="0" w:color="auto"/>
              <w:right w:val="single" w:sz="4" w:space="0" w:color="auto"/>
            </w:tcBorders>
          </w:tcPr>
          <w:p w14:paraId="6DD27D37"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splatnosti nad päť rokov</w:t>
            </w:r>
          </w:p>
        </w:tc>
        <w:tc>
          <w:tcPr>
            <w:tcW w:w="2615" w:type="dxa"/>
            <w:tcBorders>
              <w:top w:val="nil"/>
              <w:left w:val="single" w:sz="4" w:space="0" w:color="auto"/>
              <w:bottom w:val="single" w:sz="4" w:space="0" w:color="auto"/>
              <w:right w:val="single" w:sz="4" w:space="0" w:color="auto"/>
            </w:tcBorders>
          </w:tcPr>
          <w:p w14:paraId="3F1A9ABF"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7AAF5D49"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45A0352D" w14:textId="77777777" w:rsidTr="002D2998">
        <w:tc>
          <w:tcPr>
            <w:tcW w:w="3424" w:type="dxa"/>
          </w:tcPr>
          <w:p w14:paraId="2ED69FC0"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Dlhodobé záväzky spolu</w:t>
            </w:r>
          </w:p>
        </w:tc>
        <w:tc>
          <w:tcPr>
            <w:tcW w:w="2615" w:type="dxa"/>
          </w:tcPr>
          <w:p w14:paraId="7ABB5E04" w14:textId="7EB7A3D1" w:rsidR="00114A9E" w:rsidRPr="00114A9E" w:rsidRDefault="00B90F09"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4562,79</w:t>
            </w:r>
          </w:p>
        </w:tc>
        <w:tc>
          <w:tcPr>
            <w:tcW w:w="3884" w:type="dxa"/>
          </w:tcPr>
          <w:p w14:paraId="0112B46C" w14:textId="6C1BD8F8" w:rsidR="00114A9E" w:rsidRPr="00114A9E" w:rsidRDefault="00B90F09"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8571,46</w:t>
            </w:r>
          </w:p>
        </w:tc>
      </w:tr>
    </w:tbl>
    <w:p w14:paraId="2E24E40E"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584DB0D2"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378549EC"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0F71B037"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1781DA6A"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iných aktívach a pasívach</w:t>
      </w:r>
    </w:p>
    <w:p w14:paraId="6BA4E35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Spoločnosť nemá podmienené záväzky.</w:t>
      </w:r>
    </w:p>
    <w:p w14:paraId="2FB211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Najatý majetok </w:t>
      </w:r>
    </w:p>
    <w:p w14:paraId="5D4397E6"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Spoločnosť má v nájme obchodné priestory, pre účel</w:t>
      </w:r>
      <w:r w:rsidR="00B64F50">
        <w:rPr>
          <w:rFonts w:ascii="Calibri" w:eastAsia="Calibri" w:hAnsi="Calibri" w:cs="Times New Roman"/>
          <w:sz w:val="24"/>
          <w:szCs w:val="24"/>
        </w:rPr>
        <w:t>y prevádzkovania maloobchodnej predajne Podlaha pre každého, Zvolenská cesta 37, 974 05 B. Bystrica</w:t>
      </w:r>
      <w:r w:rsidRPr="00114A9E">
        <w:rPr>
          <w:rFonts w:ascii="Calibri" w:eastAsia="Calibri" w:hAnsi="Calibri" w:cs="Times New Roman"/>
          <w:sz w:val="24"/>
          <w:szCs w:val="24"/>
        </w:rPr>
        <w:t>, zmluv</w:t>
      </w:r>
      <w:r w:rsidR="00B64F50">
        <w:rPr>
          <w:rFonts w:ascii="Calibri" w:eastAsia="Calibri" w:hAnsi="Calibri" w:cs="Times New Roman"/>
          <w:sz w:val="24"/>
          <w:szCs w:val="24"/>
        </w:rPr>
        <w:t>a je</w:t>
      </w:r>
      <w:r w:rsidRPr="00114A9E">
        <w:rPr>
          <w:rFonts w:ascii="Calibri" w:eastAsia="Calibri" w:hAnsi="Calibri" w:cs="Times New Roman"/>
          <w:sz w:val="24"/>
          <w:szCs w:val="24"/>
        </w:rPr>
        <w:t xml:space="preserve"> uzatvoren</w:t>
      </w:r>
      <w:r w:rsidR="00B64F50">
        <w:rPr>
          <w:rFonts w:ascii="Calibri" w:eastAsia="Calibri" w:hAnsi="Calibri" w:cs="Times New Roman"/>
          <w:sz w:val="24"/>
          <w:szCs w:val="24"/>
        </w:rPr>
        <w:t xml:space="preserve">á </w:t>
      </w:r>
      <w:r w:rsidRPr="00114A9E">
        <w:rPr>
          <w:rFonts w:ascii="Calibri" w:eastAsia="Calibri" w:hAnsi="Calibri" w:cs="Times New Roman"/>
          <w:sz w:val="24"/>
          <w:szCs w:val="24"/>
        </w:rPr>
        <w:t xml:space="preserve">na dobu určitú, </w:t>
      </w:r>
      <w:r w:rsidR="004B79AC">
        <w:rPr>
          <w:rFonts w:ascii="Calibri" w:eastAsia="Calibri" w:hAnsi="Calibri" w:cs="Times New Roman"/>
          <w:sz w:val="24"/>
          <w:szCs w:val="24"/>
        </w:rPr>
        <w:t xml:space="preserve"> na sedem</w:t>
      </w:r>
      <w:r w:rsidRPr="00114A9E">
        <w:rPr>
          <w:rFonts w:ascii="Calibri" w:eastAsia="Calibri" w:hAnsi="Calibri" w:cs="Times New Roman"/>
          <w:sz w:val="24"/>
          <w:szCs w:val="24"/>
        </w:rPr>
        <w:t xml:space="preserve"> rokov a mesačný nájom s energi</w:t>
      </w:r>
      <w:r w:rsidR="004B79AC">
        <w:rPr>
          <w:rFonts w:ascii="Calibri" w:eastAsia="Calibri" w:hAnsi="Calibri" w:cs="Times New Roman"/>
          <w:sz w:val="24"/>
          <w:szCs w:val="24"/>
        </w:rPr>
        <w:t>ami sa pohybuje v hodnote cca 2267</w:t>
      </w:r>
      <w:r w:rsidRPr="00114A9E">
        <w:rPr>
          <w:rFonts w:ascii="Calibri" w:eastAsia="Calibri" w:hAnsi="Calibri" w:cs="Times New Roman"/>
          <w:sz w:val="24"/>
          <w:szCs w:val="24"/>
        </w:rPr>
        <w:t xml:space="preserve"> Eur.</w:t>
      </w:r>
    </w:p>
    <w:p w14:paraId="05273D6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D6B7301"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b/>
          <w:sz w:val="28"/>
          <w:szCs w:val="28"/>
        </w:rPr>
        <w:lastRenderedPageBreak/>
        <w:t>Informácie o skutočnostiach, ktoré nastali po dni, ku ktorému sa zostavuje účtovná závierka do dňa zostavenia účtovnej závierky</w:t>
      </w:r>
    </w:p>
    <w:p w14:paraId="2E27DE5B" w14:textId="77777777" w:rsidR="00114A9E" w:rsidRPr="00114A9E" w:rsidRDefault="00114A9E" w:rsidP="00114A9E">
      <w:pPr>
        <w:tabs>
          <w:tab w:val="left" w:pos="1365"/>
        </w:tabs>
        <w:spacing w:after="200" w:line="276" w:lineRule="auto"/>
        <w:ind w:left="284"/>
        <w:rPr>
          <w:rFonts w:ascii="Calibri" w:eastAsia="Calibri" w:hAnsi="Calibri" w:cs="Times New Roman"/>
          <w:sz w:val="24"/>
          <w:szCs w:val="24"/>
        </w:rPr>
      </w:pPr>
      <w:r w:rsidRPr="00114A9E">
        <w:rPr>
          <w:rFonts w:ascii="Calibri" w:eastAsia="Calibri" w:hAnsi="Calibri" w:cs="Times New Roman"/>
          <w:sz w:val="24"/>
          <w:szCs w:val="24"/>
        </w:rPr>
        <w:t>Do dňa zostavenia účtovnej závierky nevnikli žiadne skutočnosti, ktoré by mali vplyv na finančnú situáciu spoločnosti.</w:t>
      </w:r>
    </w:p>
    <w:p w14:paraId="4A8A1F9A"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2FEB28E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6B8D8E4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3097D12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B40523C"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7D9FAC0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19849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A584BB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285E27E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3F2E13E6"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b/>
          <w:sz w:val="24"/>
          <w:szCs w:val="24"/>
        </w:rPr>
      </w:pPr>
    </w:p>
    <w:p w14:paraId="65BE3ADD"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4DE52818"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p>
    <w:p w14:paraId="6B400B90" w14:textId="77777777" w:rsidR="007414D2" w:rsidRDefault="007414D2"/>
    <w:sectPr w:rsidR="007414D2" w:rsidSect="002C17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559C2"/>
    <w:multiLevelType w:val="hybridMultilevel"/>
    <w:tmpl w:val="00A620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5003950"/>
    <w:multiLevelType w:val="hybridMultilevel"/>
    <w:tmpl w:val="2D8010BE"/>
    <w:lvl w:ilvl="0" w:tplc="28628B44">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286E3F17"/>
    <w:multiLevelType w:val="hybridMultilevel"/>
    <w:tmpl w:val="DC2AF69A"/>
    <w:lvl w:ilvl="0" w:tplc="0214FE5C">
      <w:start w:val="1"/>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3" w15:restartNumberingAfterBreak="0">
    <w:nsid w:val="29AA1533"/>
    <w:multiLevelType w:val="hybridMultilevel"/>
    <w:tmpl w:val="CB94A022"/>
    <w:lvl w:ilvl="0" w:tplc="47864D02">
      <w:start w:val="1"/>
      <w:numFmt w:val="lowerLetter"/>
      <w:lvlText w:val="%1)"/>
      <w:lvlJc w:val="left"/>
      <w:pPr>
        <w:ind w:left="990" w:hanging="360"/>
      </w:pPr>
      <w:rPr>
        <w:rFonts w:hint="default"/>
      </w:rPr>
    </w:lvl>
    <w:lvl w:ilvl="1" w:tplc="041B0019" w:tentative="1">
      <w:start w:val="1"/>
      <w:numFmt w:val="lowerLetter"/>
      <w:lvlText w:val="%2."/>
      <w:lvlJc w:val="left"/>
      <w:pPr>
        <w:ind w:left="1710" w:hanging="360"/>
      </w:pPr>
    </w:lvl>
    <w:lvl w:ilvl="2" w:tplc="041B001B" w:tentative="1">
      <w:start w:val="1"/>
      <w:numFmt w:val="lowerRoman"/>
      <w:lvlText w:val="%3."/>
      <w:lvlJc w:val="right"/>
      <w:pPr>
        <w:ind w:left="2430" w:hanging="180"/>
      </w:pPr>
    </w:lvl>
    <w:lvl w:ilvl="3" w:tplc="041B000F" w:tentative="1">
      <w:start w:val="1"/>
      <w:numFmt w:val="decimal"/>
      <w:lvlText w:val="%4."/>
      <w:lvlJc w:val="left"/>
      <w:pPr>
        <w:ind w:left="3150" w:hanging="360"/>
      </w:pPr>
    </w:lvl>
    <w:lvl w:ilvl="4" w:tplc="041B0019" w:tentative="1">
      <w:start w:val="1"/>
      <w:numFmt w:val="lowerLetter"/>
      <w:lvlText w:val="%5."/>
      <w:lvlJc w:val="left"/>
      <w:pPr>
        <w:ind w:left="3870" w:hanging="360"/>
      </w:pPr>
    </w:lvl>
    <w:lvl w:ilvl="5" w:tplc="041B001B" w:tentative="1">
      <w:start w:val="1"/>
      <w:numFmt w:val="lowerRoman"/>
      <w:lvlText w:val="%6."/>
      <w:lvlJc w:val="right"/>
      <w:pPr>
        <w:ind w:left="4590" w:hanging="180"/>
      </w:pPr>
    </w:lvl>
    <w:lvl w:ilvl="6" w:tplc="041B000F" w:tentative="1">
      <w:start w:val="1"/>
      <w:numFmt w:val="decimal"/>
      <w:lvlText w:val="%7."/>
      <w:lvlJc w:val="left"/>
      <w:pPr>
        <w:ind w:left="5310" w:hanging="360"/>
      </w:pPr>
    </w:lvl>
    <w:lvl w:ilvl="7" w:tplc="041B0019" w:tentative="1">
      <w:start w:val="1"/>
      <w:numFmt w:val="lowerLetter"/>
      <w:lvlText w:val="%8."/>
      <w:lvlJc w:val="left"/>
      <w:pPr>
        <w:ind w:left="6030" w:hanging="360"/>
      </w:pPr>
    </w:lvl>
    <w:lvl w:ilvl="8" w:tplc="041B001B" w:tentative="1">
      <w:start w:val="1"/>
      <w:numFmt w:val="lowerRoman"/>
      <w:lvlText w:val="%9."/>
      <w:lvlJc w:val="right"/>
      <w:pPr>
        <w:ind w:left="6750" w:hanging="180"/>
      </w:pPr>
    </w:lvl>
  </w:abstractNum>
  <w:abstractNum w:abstractNumId="4" w15:restartNumberingAfterBreak="0">
    <w:nsid w:val="2B575710"/>
    <w:multiLevelType w:val="hybridMultilevel"/>
    <w:tmpl w:val="4D5AEDC6"/>
    <w:lvl w:ilvl="0" w:tplc="65A28D26">
      <w:start w:val="1"/>
      <w:numFmt w:val="decimal"/>
      <w:lvlText w:val="%1."/>
      <w:lvlJc w:val="left"/>
      <w:pPr>
        <w:ind w:left="1275" w:hanging="360"/>
      </w:pPr>
      <w:rPr>
        <w:rFonts w:hint="default"/>
      </w:r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5" w15:restartNumberingAfterBreak="0">
    <w:nsid w:val="2D2A5DEA"/>
    <w:multiLevelType w:val="hybridMultilevel"/>
    <w:tmpl w:val="B2D08094"/>
    <w:lvl w:ilvl="0" w:tplc="981A9AF2">
      <w:start w:val="1"/>
      <w:numFmt w:val="decimal"/>
      <w:lvlText w:val="%1."/>
      <w:lvlJc w:val="left"/>
      <w:pPr>
        <w:ind w:left="1110" w:hanging="360"/>
      </w:pPr>
      <w:rPr>
        <w:rFonts w:hint="default"/>
      </w:rPr>
    </w:lvl>
    <w:lvl w:ilvl="1" w:tplc="041B0019" w:tentative="1">
      <w:start w:val="1"/>
      <w:numFmt w:val="lowerLetter"/>
      <w:lvlText w:val="%2."/>
      <w:lvlJc w:val="left"/>
      <w:pPr>
        <w:ind w:left="1830" w:hanging="360"/>
      </w:pPr>
    </w:lvl>
    <w:lvl w:ilvl="2" w:tplc="041B001B" w:tentative="1">
      <w:start w:val="1"/>
      <w:numFmt w:val="lowerRoman"/>
      <w:lvlText w:val="%3."/>
      <w:lvlJc w:val="right"/>
      <w:pPr>
        <w:ind w:left="2550" w:hanging="180"/>
      </w:pPr>
    </w:lvl>
    <w:lvl w:ilvl="3" w:tplc="041B000F" w:tentative="1">
      <w:start w:val="1"/>
      <w:numFmt w:val="decimal"/>
      <w:lvlText w:val="%4."/>
      <w:lvlJc w:val="left"/>
      <w:pPr>
        <w:ind w:left="3270" w:hanging="360"/>
      </w:pPr>
    </w:lvl>
    <w:lvl w:ilvl="4" w:tplc="041B0019" w:tentative="1">
      <w:start w:val="1"/>
      <w:numFmt w:val="lowerLetter"/>
      <w:lvlText w:val="%5."/>
      <w:lvlJc w:val="left"/>
      <w:pPr>
        <w:ind w:left="3990" w:hanging="360"/>
      </w:pPr>
    </w:lvl>
    <w:lvl w:ilvl="5" w:tplc="041B001B" w:tentative="1">
      <w:start w:val="1"/>
      <w:numFmt w:val="lowerRoman"/>
      <w:lvlText w:val="%6."/>
      <w:lvlJc w:val="right"/>
      <w:pPr>
        <w:ind w:left="4710" w:hanging="180"/>
      </w:pPr>
    </w:lvl>
    <w:lvl w:ilvl="6" w:tplc="041B000F" w:tentative="1">
      <w:start w:val="1"/>
      <w:numFmt w:val="decimal"/>
      <w:lvlText w:val="%7."/>
      <w:lvlJc w:val="left"/>
      <w:pPr>
        <w:ind w:left="5430" w:hanging="360"/>
      </w:pPr>
    </w:lvl>
    <w:lvl w:ilvl="7" w:tplc="041B0019" w:tentative="1">
      <w:start w:val="1"/>
      <w:numFmt w:val="lowerLetter"/>
      <w:lvlText w:val="%8."/>
      <w:lvlJc w:val="left"/>
      <w:pPr>
        <w:ind w:left="6150" w:hanging="360"/>
      </w:pPr>
    </w:lvl>
    <w:lvl w:ilvl="8" w:tplc="041B001B" w:tentative="1">
      <w:start w:val="1"/>
      <w:numFmt w:val="lowerRoman"/>
      <w:lvlText w:val="%9."/>
      <w:lvlJc w:val="right"/>
      <w:pPr>
        <w:ind w:left="6870" w:hanging="180"/>
      </w:pPr>
    </w:lvl>
  </w:abstractNum>
  <w:abstractNum w:abstractNumId="6" w15:restartNumberingAfterBreak="0">
    <w:nsid w:val="42684F7C"/>
    <w:multiLevelType w:val="hybridMultilevel"/>
    <w:tmpl w:val="1A84C490"/>
    <w:lvl w:ilvl="0" w:tplc="E050DF40">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15:restartNumberingAfterBreak="0">
    <w:nsid w:val="51D81E5E"/>
    <w:multiLevelType w:val="hybridMultilevel"/>
    <w:tmpl w:val="899CA760"/>
    <w:lvl w:ilvl="0" w:tplc="A148BB2E">
      <w:start w:val="1"/>
      <w:numFmt w:val="upp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C7B6FD5"/>
    <w:multiLevelType w:val="hybridMultilevel"/>
    <w:tmpl w:val="6A0A69C4"/>
    <w:lvl w:ilvl="0" w:tplc="BB82133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74A3744C"/>
    <w:multiLevelType w:val="hybridMultilevel"/>
    <w:tmpl w:val="41B2CF60"/>
    <w:lvl w:ilvl="0" w:tplc="92D4547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1339960801">
    <w:abstractNumId w:val="7"/>
  </w:num>
  <w:num w:numId="2" w16cid:durableId="1476950736">
    <w:abstractNumId w:val="9"/>
  </w:num>
  <w:num w:numId="3" w16cid:durableId="129714353">
    <w:abstractNumId w:val="4"/>
  </w:num>
  <w:num w:numId="4" w16cid:durableId="853029829">
    <w:abstractNumId w:val="1"/>
  </w:num>
  <w:num w:numId="5" w16cid:durableId="2079358297">
    <w:abstractNumId w:val="6"/>
  </w:num>
  <w:num w:numId="6" w16cid:durableId="1205370739">
    <w:abstractNumId w:val="5"/>
  </w:num>
  <w:num w:numId="7" w16cid:durableId="1085686234">
    <w:abstractNumId w:val="0"/>
  </w:num>
  <w:num w:numId="8" w16cid:durableId="90661933">
    <w:abstractNumId w:val="8"/>
  </w:num>
  <w:num w:numId="9" w16cid:durableId="1466268927">
    <w:abstractNumId w:val="2"/>
  </w:num>
  <w:num w:numId="10" w16cid:durableId="15404372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A9E"/>
    <w:rsid w:val="00012B1C"/>
    <w:rsid w:val="000427D8"/>
    <w:rsid w:val="00080D90"/>
    <w:rsid w:val="000963C6"/>
    <w:rsid w:val="000A3579"/>
    <w:rsid w:val="000D1721"/>
    <w:rsid w:val="00114A9E"/>
    <w:rsid w:val="001F5B90"/>
    <w:rsid w:val="002818A7"/>
    <w:rsid w:val="002E3D93"/>
    <w:rsid w:val="002F606B"/>
    <w:rsid w:val="003E63D4"/>
    <w:rsid w:val="004B79AC"/>
    <w:rsid w:val="005657FE"/>
    <w:rsid w:val="00576756"/>
    <w:rsid w:val="00657AEF"/>
    <w:rsid w:val="00660173"/>
    <w:rsid w:val="006647E9"/>
    <w:rsid w:val="0067324A"/>
    <w:rsid w:val="006B009F"/>
    <w:rsid w:val="007414D2"/>
    <w:rsid w:val="00817F84"/>
    <w:rsid w:val="00830C34"/>
    <w:rsid w:val="00887CCA"/>
    <w:rsid w:val="008A669D"/>
    <w:rsid w:val="0096795B"/>
    <w:rsid w:val="00984399"/>
    <w:rsid w:val="00AE3C50"/>
    <w:rsid w:val="00B22870"/>
    <w:rsid w:val="00B25FD8"/>
    <w:rsid w:val="00B41FCE"/>
    <w:rsid w:val="00B64F50"/>
    <w:rsid w:val="00B90F09"/>
    <w:rsid w:val="00BA0106"/>
    <w:rsid w:val="00BA7AAC"/>
    <w:rsid w:val="00BB21E6"/>
    <w:rsid w:val="00C35E52"/>
    <w:rsid w:val="00CC5F23"/>
    <w:rsid w:val="00CE29C7"/>
    <w:rsid w:val="00D54FD7"/>
    <w:rsid w:val="00D550F5"/>
    <w:rsid w:val="00DB78DF"/>
    <w:rsid w:val="00E821A5"/>
    <w:rsid w:val="00EC6782"/>
    <w:rsid w:val="00F234DB"/>
    <w:rsid w:val="00F90D5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CBF68"/>
  <w15:chartTrackingRefBased/>
  <w15:docId w15:val="{8CDDCDD7-024D-4913-81FF-7C8F6D246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Mriekatabuky1">
    <w:name w:val="Mriežka tabuľky1"/>
    <w:basedOn w:val="Normlnatabuka"/>
    <w:next w:val="Mriekatabuky"/>
    <w:uiPriority w:val="59"/>
    <w:rsid w:val="00114A9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riekatabuky">
    <w:name w:val="Table Grid"/>
    <w:basedOn w:val="Normlnatabuka"/>
    <w:uiPriority w:val="39"/>
    <w:rsid w:val="00114A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1676</Words>
  <Characters>9559</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Administrátor</dc:creator>
  <cp:keywords/>
  <dc:description/>
  <cp:lastModifiedBy>Bibiána Janšová</cp:lastModifiedBy>
  <cp:revision>2</cp:revision>
  <cp:lastPrinted>2018-06-26T10:46:00Z</cp:lastPrinted>
  <dcterms:created xsi:type="dcterms:W3CDTF">2024-06-17T19:03:00Z</dcterms:created>
  <dcterms:modified xsi:type="dcterms:W3CDTF">2024-06-17T19:03:00Z</dcterms:modified>
</cp:coreProperties>
</file>