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Čl. I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Všeobecné údaje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(1) LMCTn, s.r.o.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     Debnárska 233/12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    976 55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Ľubietová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 Spoločník/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 Konatel: Ing. Miriama Majer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    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ČO: 47496827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    DI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Č: 2023914904, nie je platcom DPH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    SK NACE: 47.19.0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(2)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čtovná jednotka nekonsoliduje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údaj,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 účtovná jednotka je materskou účtovnou jednotkou a údaj, - nie je povinná zostavovať konsolidovanú závierku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1. pri oslobodení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ľa § 22 ods. 8 zákona obchodné meno a sídlo materskej účtovnej jednotky zostavujúcej konsolidovanú účtovnú závierku podľa osobitných predpisov,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4)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2. pri oslobodení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ľa § 22 ods. 12 zákona obchodné meno a sídlo dcérskych účtovných jednotiek.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4592"/>
        <w:gridCol w:w="4592"/>
      </w:tblGrid>
      <w:tr>
        <w:trPr>
          <w:trHeight w:val="283" w:hRule="auto"/>
          <w:jc w:val="center"/>
        </w:trPr>
        <w:tc>
          <w:tcPr>
            <w:tcW w:w="459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Obchodné meno dcérskej spolo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čnosti</w:t>
            </w:r>
          </w:p>
        </w:tc>
        <w:tc>
          <w:tcPr>
            <w:tcW w:w="4592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Sídlo dcérskej spolo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čnosti</w:t>
            </w:r>
          </w:p>
        </w:tc>
      </w:tr>
      <w:tr>
        <w:trPr>
          <w:trHeight w:val="283" w:hRule="auto"/>
          <w:jc w:val="center"/>
        </w:trPr>
        <w:tc>
          <w:tcPr>
            <w:tcW w:w="459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5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5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592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2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3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) Nariadenie Európskeho parlamentu a Rady (ES)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Nariadenie Komisie (ES)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č. 1126/2008 z 3. novembra 2008, ktorým sa v súlade s nariadením Európskeho parlamentu a Rady (ES) č. 1606/2002 prijímajú určité medzinárodné účtovné štandardy (Ú. v. EÚ L 320, 29. 11. 2008) v platnom znení.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(3) Priemerný prepo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čítaný počet zamestnancov.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  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čtovná jednotka nemá zamestnancov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Čl. II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Informácie o prijatých postupoch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(1) Informácia,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 je účtovná závierka zostavená za splnenia predpokladu, že účtovná jednotka bude nepretržite pokračovať vo svojej činnosti.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Áno </w:t>
        <w:tab/>
      </w:r>
    </w:p>
    <w:p>
      <w:pPr>
        <w:keepNext w:val="true"/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(2) Spôsob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ňovania jednotlivých položiek majetku a záväzkov, a to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288"/>
        <w:gridCol w:w="3288"/>
        <w:gridCol w:w="3288"/>
      </w:tblGrid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majetku a záväzkov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Spôsob ocenenia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Náklady spojené </w:t>
              <w:br/>
              <w:t xml:space="preserve">s obstaraním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obstarávacou cenou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preprava,poštovné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328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obstarané kúpou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obstarávacou cenoi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preprava,poštovné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obstarané vlastnou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4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nominálnou hodnotou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nominálnou hodnotou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vr. rezerv, dlhopisov, pôži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čiek...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nominálnou hodnotou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Derivátové operácie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nemá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(3) Spôsob zostavenia odpisového plánu pre jednotlivé druhy dlhodobého hmotného majetku a dlhodobého nehmotného majetku, pri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čom sa uvádza doba odpisovania, použité sadzby odpisov a odpisové metódy pri určení odpisov.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čtovná jednotka v roku 2023 neuplatnovala žiadne odpisy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2440"/>
        <w:gridCol w:w="1920"/>
        <w:gridCol w:w="1920"/>
        <w:gridCol w:w="2980"/>
      </w:tblGrid>
      <w:tr>
        <w:trPr>
          <w:trHeight w:val="283" w:hRule="auto"/>
          <w:jc w:val="center"/>
        </w:trPr>
        <w:tc>
          <w:tcPr>
            <w:tcW w:w="24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Doba odpisovania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Sadzba odpisov</w:t>
            </w:r>
          </w:p>
        </w:tc>
        <w:tc>
          <w:tcPr>
            <w:tcW w:w="29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Odpisová metóda</w:t>
            </w:r>
          </w:p>
        </w:tc>
      </w:tr>
      <w:tr>
        <w:trPr>
          <w:trHeight w:val="283" w:hRule="auto"/>
          <w:jc w:val="center"/>
        </w:trPr>
        <w:tc>
          <w:tcPr>
            <w:tcW w:w="244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244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244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(4) Zmeny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čtovných zásad a zmeny účtovných metód s uvedením dôvodu týchto zmien a vyčíslením ich vplyvu na finančnú hodnotu majetku, záväzkov, základného imania a výsledku hospodárenia účtovnej jednotky.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00"/>
        <w:gridCol w:w="2880"/>
        <w:gridCol w:w="2980"/>
      </w:tblGrid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zmeny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zásady                   alebo účtovnej metódy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29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vplyvu na príslušnú zložku majetku, záväzkov, vlastného imania a výsledku hospodárenia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jednotky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žiadne zmeny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72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81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8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72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81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8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72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(5) Informácie o dotáciách a ich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ňovanie v účtovníctve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ˇÚ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čtovná jednotka nečerpala žiadne dotácie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(6) Informácie 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00"/>
        <w:gridCol w:w="1920"/>
        <w:gridCol w:w="3940"/>
      </w:tblGrid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opravy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Suma</w:t>
            </w:r>
          </w:p>
        </w:tc>
        <w:tc>
          <w:tcPr>
            <w:tcW w:w="3940" w:type="dxa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Popis chyby a vplyvu opravy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významných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čtovných období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394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nevýznamných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čtovných období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94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Čl. III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Informácie, ktoré vysvet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ľujú a dopĺňajú súvahu a výkaz ziskov a strát </w:t>
      </w:r>
    </w:p>
    <w:p>
      <w:pPr>
        <w:keepNext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(1) Informácia o sume a dôvodoch vzniku jednotlivých položiek nákladov alebo výnosov, ktoré majú výnimo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čný rozsah alebo výskyt, napríklad výnosy z predaja podniku alebo časti podniku, náklady z dôvodu predaja podniku alebo časti podniku, škody z dôvodu živelných pohrôm.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4360"/>
        <w:gridCol w:w="2880"/>
        <w:gridCol w:w="2020"/>
      </w:tblGrid>
      <w:tr>
        <w:trPr>
          <w:trHeight w:val="283" w:hRule="auto"/>
          <w:jc w:val="center"/>
        </w:trPr>
        <w:tc>
          <w:tcPr>
            <w:tcW w:w="436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Udalos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288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</w:t>
            </w:r>
          </w:p>
        </w:tc>
        <w:tc>
          <w:tcPr>
            <w:tcW w:w="202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283" w:hRule="auto"/>
          <w:jc w:val="center"/>
        </w:trPr>
        <w:tc>
          <w:tcPr>
            <w:tcW w:w="436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43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(2) Informácie o záväzkoch, a to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celkovej sume záväzkov so zostatkovou dobou splatnosti dlhšou ako pä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ť rokov,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/>
      <w:tblGrid>
        <w:gridCol w:w="6450"/>
        <w:gridCol w:w="2880"/>
      </w:tblGrid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4"/>
              <w:left w:val="single" w:color="000000" w:sz="8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8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,42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celkovej sume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čených záväzkov, opis a spôsoby zabezpečenia záväzkov.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5320"/>
        <w:gridCol w:w="1920"/>
        <w:gridCol w:w="2020"/>
      </w:tblGrid>
      <w:tr>
        <w:trPr>
          <w:trHeight w:val="283" w:hRule="auto"/>
          <w:jc w:val="center"/>
        </w:trPr>
        <w:tc>
          <w:tcPr>
            <w:tcW w:w="5320" w:type="dxa"/>
            <w:vMerge w:val="restart"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formy 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čenia záväzku</w:t>
            </w:r>
          </w:p>
        </w:tc>
        <w:tc>
          <w:tcPr>
            <w:tcW w:w="394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záväzku 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čená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vMerge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Záložným právom</w:t>
            </w:r>
          </w:p>
        </w:tc>
        <w:tc>
          <w:tcPr>
            <w:tcW w:w="2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Inou formou 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(3) Informácie o vlastných akciách, a to </w:t>
      </w:r>
    </w:p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dôvode nadobudnutia vlastných akcií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 účtovného obdobia, </w:t>
      </w:r>
    </w:p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informáciách, ktorými sú </w:t>
      </w:r>
    </w:p>
    <w:p>
      <w:pPr>
        <w:spacing w:before="0" w:after="28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1.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>
      <w:pPr>
        <w:spacing w:before="0" w:after="28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2.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čet a hodnota, za ktorú sa vlastné akcie počas účtovného obdobia nadobudli a počet a hodnota, za ktorú sa vlastné akcie počas účtovného obdobia previedli na inú osobu,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c)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čte, menovitej hodnote a hodnote, za ktorú sa vlastné akcie nadobudli a ktoré účtovná jednotka má v držbe k poslednému dňu účtovného obdobia; uvádza sa aj ich percentuálny podiel na upísanom základnom imaní. </w:t>
      </w:r>
    </w:p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1480"/>
        <w:gridCol w:w="1920"/>
        <w:gridCol w:w="1920"/>
        <w:gridCol w:w="1920"/>
        <w:gridCol w:w="2020"/>
      </w:tblGrid>
      <w:tr>
        <w:trPr>
          <w:trHeight w:val="283" w:hRule="auto"/>
          <w:jc w:val="center"/>
        </w:trPr>
        <w:tc>
          <w:tcPr>
            <w:tcW w:w="148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 nadobudnu-tia vlastných akcií po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čas účtovného obdobia</w:t>
            </w:r>
          </w:p>
        </w:tc>
        <w:tc>
          <w:tcPr>
            <w:tcW w:w="7780" w:type="dxa"/>
            <w:gridSpan w:val="4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 w:val="restart"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020" w:type="dxa"/>
            <w:vMerge w:val="restart"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čet akcií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čet akcií</w:t>
            </w:r>
          </w:p>
        </w:tc>
        <w:tc>
          <w:tcPr>
            <w:tcW w:w="20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Podiel na ZI v %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Podiel na ZI v %</w:t>
            </w:r>
          </w:p>
        </w:tc>
        <w:tc>
          <w:tcPr>
            <w:tcW w:w="20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20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nadobudn.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za prevod</w:t>
            </w:r>
          </w:p>
        </w:tc>
        <w:tc>
          <w:tcPr>
            <w:tcW w:w="20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(4) Informácie o orgánoch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a to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výške jednotlivých druhov záruk alebo iných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čení poskytnutých pre členov štatutárneho orgánu, dozorného orgánu a iného orgánu účtovnej jednotky, a to v členení za jednotlivé orgány,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pôži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čkách poskytnutých členom štatutárneho orgánu, dozorného orgánu a iného orgánu účtovnej jednotky a to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1. celková suma poskytnutých pôži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čiek k poslednému dňu účtovného obdobia v členení za jednotlivé orgány, </w:t>
      </w:r>
    </w:p>
    <w:p>
      <w:pPr>
        <w:spacing w:before="0" w:after="0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2. celková suma splatených pôži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čiek k poslednému dňu účtovného obdobia v členení za jednotlivé orgány,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3. celková suma odpustených pôži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čiek a odpísaných pôžičiek k poslednému dňu účtovného obdobia v členení za jednotlivé orgány,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c) hlavných podmienkach, na základe ktorých im boli záruky alebo iné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čenie a pôžičky poskytnuté; pri pôžičkách sa uvádzajú úrokové sadzby,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>
        <w:trPr>
          <w:trHeight w:val="283" w:hRule="auto"/>
          <w:jc w:val="center"/>
        </w:trPr>
        <w:tc>
          <w:tcPr>
            <w:tcW w:w="340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príjmu, výhody</w:t>
            </w:r>
          </w:p>
        </w:tc>
        <w:tc>
          <w:tcPr>
            <w:tcW w:w="3122" w:type="dxa"/>
            <w:gridSpan w:val="3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príjmu, výhody sú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časných členov orgánov</w:t>
            </w:r>
          </w:p>
        </w:tc>
        <w:tc>
          <w:tcPr>
            <w:tcW w:w="3122" w:type="dxa"/>
            <w:gridSpan w:val="3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príjmu, výhody bývalých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členov orgánov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štatutárnych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dozorných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iných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štatutárnych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dozorných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iných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záruky alebo zabezp.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pôži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čky (ku dňu ÚZ)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Splatené pôži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čky (ku dňu ÚZ)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Odpustné alebo odpísané pôži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čné prostriedky a iné plnenie použité na súkromné účely na vyúčtovanie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d) celkovej sume použitých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čných prostriedkov alebo iného plnenia na súkromné účely členmi štatutárneho orgánu, dozorného orgánu a iného orgánu účtovnej jednotky, ktoré je potrebné vyúčtovať.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(5) Informácie o povinnostiach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a to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celkovej sume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00"/>
        <w:gridCol w:w="2880"/>
        <w:gridCol w:w="2980"/>
      </w:tblGrid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29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či dcérskej ÚJ                a ÚJ s podstatným vplyvom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Povinnosti nájomcu z operatívneho prenájmu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Povinnosti z uzatvorených úverových zmlúv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Povinnosti z licen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čných zmlúv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Povinnosti z koncesionárskych. zmlúv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Ostatné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celkovej sume významných podmienených záväzkov, ktorými sa rozumie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1. možná povinnos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ť, ktorá vznikla ako dôsledok minulej udalosti a ktorej existencia závisí od toho, či nastane alebo nenastane jedna alebo viac neistých udalostí v budúcnosti, ktorých vznik nezávisí od účtovnej jednotky, alebo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2. existujúca povinnos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ť, ktorá vznikla ako dôsledok minulej udalosti, ale ktorá sa nevykazuje v súvahe, pretože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2a. nie je pravdepodobné, že na splnenie tejto povinnosti bude potrebný úbytok ekonomických úžitkov, alebo </w:t>
      </w:r>
    </w:p>
    <w:p>
      <w:pPr>
        <w:spacing w:before="0" w:after="27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2b. výška tejto povinnosti sa nedá spo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ľahlivo oceniť,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15"/>
        <w:gridCol w:w="2626"/>
        <w:gridCol w:w="3234"/>
      </w:tblGrid>
      <w:tr>
        <w:trPr>
          <w:trHeight w:val="283" w:hRule="auto"/>
          <w:jc w:val="center"/>
        </w:trPr>
        <w:tc>
          <w:tcPr>
            <w:tcW w:w="3415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podmieneného záväzku</w:t>
            </w:r>
          </w:p>
        </w:tc>
        <w:tc>
          <w:tcPr>
            <w:tcW w:w="586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či dcérskej ÚJ                a ÚJ s podstatným vplyvom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súdnych rozhodnutí</w:t>
            </w:r>
          </w:p>
        </w:tc>
        <w:tc>
          <w:tcPr>
            <w:tcW w:w="2626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 poskytnutých záruk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všeobecne. záväzných. právnych. predpisov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zmluvy o podriadenom záväzku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 ru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podmienené záväzky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c) opise významných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čných povinností a významných podmienených záväzkov,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d) celkovej sume významných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čných povinností a významných podmienených záväzkoch voči dcérskej účtovnej jednotke a účtovnej jednotke s podstatným vplyvom,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e) opise významných povinností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 vyplývajúcich z dôchodkových programov pre zamestnancov.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