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15"/>
        <w:gridCol w:w="439"/>
        <w:gridCol w:w="2270"/>
        <w:gridCol w:w="1806"/>
      </w:tblGrid>
      <w:tr w:rsidR="009933C1" w:rsidRPr="009933C1" w14:paraId="2FF8E826" w14:textId="77777777" w:rsidTr="009933C1">
        <w:trPr>
          <w:trHeight w:val="466"/>
        </w:trPr>
        <w:tc>
          <w:tcPr>
            <w:tcW w:w="45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3A2CBE" w14:textId="77777777" w:rsidR="009933C1" w:rsidRPr="009933C1" w:rsidRDefault="009933C1" w:rsidP="009933C1">
            <w:pPr>
              <w:spacing w:before="144" w:after="144" w:line="240" w:lineRule="auto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 w:rsidRPr="009933C1"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 xml:space="preserve">Poznámky </w:t>
            </w:r>
            <w:proofErr w:type="spellStart"/>
            <w:r w:rsidRPr="009933C1"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>Úč</w:t>
            </w:r>
            <w:proofErr w:type="spellEnd"/>
            <w:r w:rsidRPr="009933C1"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 xml:space="preserve"> MÚJ 3 – 01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32F2B" w14:textId="77777777" w:rsidR="009933C1" w:rsidRPr="009933C1" w:rsidRDefault="009933C1" w:rsidP="009933C1">
            <w:pPr>
              <w:spacing w:before="144" w:after="144" w:line="240" w:lineRule="auto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 w:rsidRPr="009933C1"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> </w:t>
            </w:r>
          </w:p>
        </w:tc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FC55CA9" w14:textId="77777777" w:rsidR="009933C1" w:rsidRPr="009933C1" w:rsidRDefault="009933C1" w:rsidP="009933C1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 w:rsidRPr="009933C1"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 xml:space="preserve">IČO: </w:t>
            </w:r>
            <w:r w:rsidRPr="009933C1"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ab/>
              <w:t>55101429</w:t>
            </w:r>
          </w:p>
        </w:tc>
        <w:tc>
          <w:tcPr>
            <w:tcW w:w="180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80A9A5" w14:textId="77777777" w:rsidR="009933C1" w:rsidRPr="009933C1" w:rsidRDefault="009933C1" w:rsidP="009933C1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 w:rsidRPr="009933C1"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 xml:space="preserve">DIČ: </w:t>
            </w:r>
            <w:r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>2121875569</w:t>
            </w:r>
          </w:p>
        </w:tc>
      </w:tr>
    </w:tbl>
    <w:p w14:paraId="7AEEBF09" w14:textId="77777777" w:rsidR="009933C1" w:rsidRDefault="009933C1" w:rsidP="009933C1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 </w:t>
      </w:r>
    </w:p>
    <w:p w14:paraId="3423B62E" w14:textId="77777777" w:rsidR="009933C1" w:rsidRPr="009933C1" w:rsidRDefault="009933C1" w:rsidP="009933C1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</w:p>
    <w:p w14:paraId="5910CA91" w14:textId="77777777" w:rsidR="009933C1" w:rsidRPr="009933C1" w:rsidRDefault="009933C1" w:rsidP="009933C1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zostavené podľa opatrenia Ministerstva financií SR č. </w:t>
      </w:r>
      <w:hyperlink r:id="rId5" w:history="1">
        <w:r w:rsidRPr="009933C1">
          <w:rPr>
            <w:rFonts w:ascii="Arial" w:eastAsia="Times New Roman" w:hAnsi="Arial" w:cs="Arial"/>
            <w:color w:val="F19601"/>
            <w:kern w:val="0"/>
            <w:sz w:val="21"/>
            <w:szCs w:val="21"/>
            <w:lang w:eastAsia="sk-SK"/>
            <w14:ligatures w14:val="none"/>
          </w:rPr>
          <w:t>MF/15464/2013-74</w:t>
        </w:r>
      </w:hyperlink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 xml:space="preserve">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mikro</w:t>
      </w:r>
      <w:proofErr w:type="spellEnd"/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 xml:space="preserve"> účtovné jednotky v znení neskorších predpisov</w:t>
      </w:r>
    </w:p>
    <w:p w14:paraId="7437FDEE" w14:textId="77777777" w:rsidR="009933C1" w:rsidRPr="009933C1" w:rsidRDefault="009933C1" w:rsidP="009933C1">
      <w:pPr>
        <w:shd w:val="clear" w:color="auto" w:fill="FFFFFF"/>
        <w:spacing w:after="0" w:line="240" w:lineRule="auto"/>
        <w:jc w:val="center"/>
        <w:outlineLvl w:val="3"/>
        <w:rPr>
          <w:rFonts w:ascii="inherit" w:eastAsia="Times New Roman" w:hAnsi="inherit" w:cs="Arial"/>
          <w:color w:val="505050"/>
          <w:kern w:val="0"/>
          <w:sz w:val="25"/>
          <w:szCs w:val="25"/>
          <w:lang w:eastAsia="sk-SK"/>
          <w14:ligatures w14:val="none"/>
        </w:rPr>
      </w:pPr>
      <w:r w:rsidRPr="009933C1">
        <w:rPr>
          <w:rFonts w:ascii="inherit" w:eastAsia="Times New Roman" w:hAnsi="inherit" w:cs="Arial"/>
          <w:b/>
          <w:bCs/>
          <w:color w:val="505050"/>
          <w:kern w:val="0"/>
          <w:sz w:val="25"/>
          <w:szCs w:val="25"/>
          <w:lang w:eastAsia="sk-SK"/>
          <w14:ligatures w14:val="none"/>
        </w:rPr>
        <w:t>Článok I</w:t>
      </w:r>
      <w:r w:rsidRPr="009933C1">
        <w:rPr>
          <w:rFonts w:ascii="inherit" w:eastAsia="Times New Roman" w:hAnsi="inherit" w:cs="Arial"/>
          <w:b/>
          <w:bCs/>
          <w:color w:val="505050"/>
          <w:kern w:val="0"/>
          <w:sz w:val="25"/>
          <w:szCs w:val="25"/>
          <w:lang w:eastAsia="sk-SK"/>
          <w14:ligatures w14:val="none"/>
        </w:rPr>
        <w:br/>
        <w:t>Všeobecné údaje</w:t>
      </w:r>
    </w:p>
    <w:p w14:paraId="23158AD3" w14:textId="77777777" w:rsidR="009933C1" w:rsidRPr="009933C1" w:rsidRDefault="009933C1" w:rsidP="009933C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Identifikácia účtovnej jednotky: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 xml:space="preserve">Názov: </w:t>
      </w:r>
      <w:r w:rsidRPr="009933C1">
        <w:rPr>
          <w:rFonts w:ascii="Arial" w:eastAsia="Times New Roman" w:hAnsi="Arial" w:cs="Arial"/>
          <w:b/>
          <w:bCs/>
          <w:color w:val="505050"/>
          <w:kern w:val="0"/>
          <w:sz w:val="21"/>
          <w:szCs w:val="21"/>
          <w:lang w:eastAsia="sk-SK"/>
          <w14:ligatures w14:val="none"/>
        </w:rPr>
        <w:t>Drvený polystyrén s. r. o.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 xml:space="preserve">Sídlo: </w:t>
      </w:r>
      <w:r w:rsidRPr="009933C1">
        <w:rPr>
          <w:rFonts w:ascii="Arial" w:eastAsia="Times New Roman" w:hAnsi="Arial" w:cs="Arial"/>
          <w:b/>
          <w:bCs/>
          <w:color w:val="505050"/>
          <w:kern w:val="0"/>
          <w:sz w:val="21"/>
          <w:szCs w:val="21"/>
          <w:lang w:eastAsia="sk-SK"/>
          <w14:ligatures w14:val="none"/>
        </w:rPr>
        <w:t>Svinná 643</w:t>
      </w:r>
      <w:r>
        <w:rPr>
          <w:rFonts w:ascii="Arial" w:eastAsia="Times New Roman" w:hAnsi="Arial" w:cs="Arial"/>
          <w:b/>
          <w:bCs/>
          <w:color w:val="505050"/>
          <w:kern w:val="0"/>
          <w:sz w:val="21"/>
          <w:szCs w:val="21"/>
          <w:lang w:eastAsia="sk-SK"/>
          <w14:ligatures w14:val="none"/>
        </w:rPr>
        <w:t>,</w:t>
      </w:r>
      <w:r w:rsidRPr="009933C1">
        <w:rPr>
          <w:rFonts w:ascii="Arial" w:eastAsia="Times New Roman" w:hAnsi="Arial" w:cs="Arial"/>
          <w:b/>
          <w:bCs/>
          <w:color w:val="505050"/>
          <w:kern w:val="0"/>
          <w:sz w:val="21"/>
          <w:szCs w:val="21"/>
          <w:lang w:eastAsia="sk-SK"/>
          <w14:ligatures w14:val="none"/>
        </w:rPr>
        <w:t xml:space="preserve"> 913 24 Svinná</w:t>
      </w:r>
    </w:p>
    <w:p w14:paraId="0C7B81C5" w14:textId="77777777" w:rsidR="009933C1" w:rsidRPr="009933C1" w:rsidRDefault="009933C1" w:rsidP="009933C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Údaje o konsolidovanom celku – spoločnosť nie je súčasťou žiadneho konsolidovaného celku.</w:t>
      </w:r>
    </w:p>
    <w:p w14:paraId="792E101F" w14:textId="77777777" w:rsidR="009933C1" w:rsidRPr="009933C1" w:rsidRDefault="009933C1" w:rsidP="009933C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Priemerný prepočítaný počet zamestnancov:</w:t>
      </w:r>
    </w:p>
    <w:p w14:paraId="772D5FE2" w14:textId="77777777" w:rsidR="009933C1" w:rsidRPr="009933C1" w:rsidRDefault="009933C1" w:rsidP="009933C1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 xml:space="preserve">bezprostredne predchádzajúce účtovné obdobie: </w:t>
      </w:r>
      <w:r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0</w:t>
      </w:r>
    </w:p>
    <w:p w14:paraId="22C44D3A" w14:textId="77777777" w:rsidR="009933C1" w:rsidRPr="009933C1" w:rsidRDefault="009933C1" w:rsidP="009933C1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 xml:space="preserve">bežné účtovné obdobie: </w:t>
      </w:r>
      <w:r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0</w:t>
      </w:r>
    </w:p>
    <w:p w14:paraId="5FD361BE" w14:textId="77777777" w:rsidR="009933C1" w:rsidRPr="009933C1" w:rsidRDefault="009933C1" w:rsidP="009933C1">
      <w:pPr>
        <w:shd w:val="clear" w:color="auto" w:fill="FFFFFF"/>
        <w:spacing w:after="0" w:line="240" w:lineRule="auto"/>
        <w:jc w:val="center"/>
        <w:outlineLvl w:val="3"/>
        <w:rPr>
          <w:rFonts w:ascii="inherit" w:eastAsia="Times New Roman" w:hAnsi="inherit" w:cs="Arial"/>
          <w:color w:val="505050"/>
          <w:kern w:val="0"/>
          <w:sz w:val="25"/>
          <w:szCs w:val="25"/>
          <w:lang w:eastAsia="sk-SK"/>
          <w14:ligatures w14:val="none"/>
        </w:rPr>
      </w:pPr>
      <w:r w:rsidRPr="009933C1">
        <w:rPr>
          <w:rFonts w:ascii="inherit" w:eastAsia="Times New Roman" w:hAnsi="inherit" w:cs="Arial"/>
          <w:b/>
          <w:bCs/>
          <w:color w:val="505050"/>
          <w:kern w:val="0"/>
          <w:sz w:val="25"/>
          <w:szCs w:val="25"/>
          <w:lang w:eastAsia="sk-SK"/>
          <w14:ligatures w14:val="none"/>
        </w:rPr>
        <w:t>Článok II</w:t>
      </w:r>
      <w:r w:rsidRPr="009933C1">
        <w:rPr>
          <w:rFonts w:ascii="inherit" w:eastAsia="Times New Roman" w:hAnsi="inherit" w:cs="Arial"/>
          <w:b/>
          <w:bCs/>
          <w:color w:val="505050"/>
          <w:kern w:val="0"/>
          <w:sz w:val="25"/>
          <w:szCs w:val="25"/>
          <w:lang w:eastAsia="sk-SK"/>
          <w14:ligatures w14:val="none"/>
        </w:rPr>
        <w:br/>
        <w:t>Informácie o prijatých postupoch</w:t>
      </w:r>
    </w:p>
    <w:p w14:paraId="4B598E4A" w14:textId="77777777" w:rsidR="009933C1" w:rsidRPr="009933C1" w:rsidRDefault="009933C1" w:rsidP="009933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Účtovná závierka je zostavená za splnenia predpokladu nepretržitého pokračovania účtovnej jednotky v činnosti.</w:t>
      </w:r>
    </w:p>
    <w:p w14:paraId="45B485AC" w14:textId="77777777" w:rsidR="009933C1" w:rsidRPr="009933C1" w:rsidRDefault="009933C1" w:rsidP="009933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Spôsob oceňovania jednotlivých položiek majetku a záväzkov:</w:t>
      </w:r>
    </w:p>
    <w:p w14:paraId="3978FAB1" w14:textId="77777777" w:rsidR="009933C1" w:rsidRDefault="009933C1" w:rsidP="009933C1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Dlhodobý nehmotný majetok, dlhodobý hmotný majetok, dlhodobý finančný majetok: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 xml:space="preserve">Dlhodobý nehmotný majetok </w:t>
      </w:r>
      <w:r w:rsidR="00440E69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účtovná jednotka nevlastní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.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Dlhodobý hmotný majetok sa oceňuje obstarávacou cenou, ktorá zahŕňa aj náklady na obstaranie a v účtovnej závierke je vykázaný v obstarávacej cene zníženej o oprávky.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Dlhodobý finančný majetok účtovná jednotka nevlastní.</w:t>
      </w:r>
    </w:p>
    <w:p w14:paraId="71361EA8" w14:textId="77777777" w:rsidR="009933C1" w:rsidRPr="009933C1" w:rsidRDefault="009933C1" w:rsidP="009933C1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Zásoby obstarané kúpou, zásoby vytvorené vlastnou činnosťou: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Zásoby obstarané kúpou sa oceňujú obstarávacou cenou. Vyskladnenie zásob rovnakého druhu sa oceňuje cenou zistenou váženým aritmetickým priemerom z obstarávacích cien. V účtovnej závierke sú zásoby vykázané v obstarávacej cene zníženej o opravnú položku tvorenú ku dňu zostavenia účtovnej závierky vo výške rozdielu medzi účtovnou hodnotou ťažko predajného tovaru a predpokladanými príjmami z predaja tohto tovaru.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</w:t>
      </w:r>
      <w:r w:rsidR="00440E69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 xml:space="preserve"> vytvára aj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 xml:space="preserve"> zásoby vlastnou činnosťou </w:t>
      </w:r>
      <w:r w:rsidR="00440E69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– výroba dlažby z betónu.</w:t>
      </w:r>
    </w:p>
    <w:p w14:paraId="44430260" w14:textId="77777777" w:rsidR="009933C1" w:rsidRPr="009933C1" w:rsidRDefault="009933C1" w:rsidP="009933C1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Pohľadávky: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Pohľadávky sa pri ich vzniku oceňujú menovitou hodnotou. V účtovnej závierke sú vykázané v hodnote zníženej o opravnú položku tvorenú ku dňu zostavenia účtovnej závierky z dôvodu existencie reálneho predpokladu, že ich dlžník nezaplatí, vo výške rozdielu účtovnej hodnoty pohľadávky a predpokladaného zaplatenia pohľadávky.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pohľadávky nadobudnuté postúpením nemá.</w:t>
      </w:r>
    </w:p>
    <w:p w14:paraId="59BEF3B7" w14:textId="77777777" w:rsidR="009933C1" w:rsidRPr="009933C1" w:rsidRDefault="009933C1" w:rsidP="009933C1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Krátkodobý finančný majetok: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Peňažné prostriedky sa oceňujú menovitou hodnotou.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Iný krátkodobý finančný majetok účtovná jednotka nevlastní.</w:t>
      </w:r>
    </w:p>
    <w:p w14:paraId="0D98A154" w14:textId="77777777" w:rsidR="00440E69" w:rsidRDefault="009933C1" w:rsidP="00FD7B66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Záväzky vrátane rezerv, dlhopisov, pôžičiek a úverov: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 xml:space="preserve">Záväzky sa pri ich vzniku oceňujú menovitou hodnotou. Prevzaté záväzky 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lastRenderedPageBreak/>
        <w:t>účtovná jednotka nemá.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 xml:space="preserve">Účtovná jednotka </w:t>
      </w:r>
      <w:r w:rsidR="00440E69" w:rsidRPr="00440E69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ne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tvorila ku dňu, ku ktorému sa zostavuje účtovná závierka, krátkodobé rezervy</w:t>
      </w:r>
      <w:r w:rsidR="00440E69" w:rsidRPr="00440E69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.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dlhopisy neemitovala.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 xml:space="preserve">Účtovná jednotka </w:t>
      </w:r>
      <w:r w:rsidR="00440E69" w:rsidRPr="00440E69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ne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má záväzok z bankového úveru</w:t>
      </w:r>
      <w:r w:rsidR="00440E69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.</w:t>
      </w:r>
    </w:p>
    <w:p w14:paraId="3371D1EF" w14:textId="77777777" w:rsidR="009933C1" w:rsidRPr="009933C1" w:rsidRDefault="009933C1" w:rsidP="00FD7B66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Derivátové operácie: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derivátové operácie nevykonávala.</w:t>
      </w:r>
    </w:p>
    <w:tbl>
      <w:tblPr>
        <w:tblpPr w:leftFromText="141" w:rightFromText="141" w:vertAnchor="text" w:horzAnchor="margin" w:tblpXSpec="center" w:tblpY="2008"/>
        <w:tblW w:w="853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0"/>
        <w:gridCol w:w="1838"/>
        <w:gridCol w:w="1838"/>
        <w:gridCol w:w="1971"/>
      </w:tblGrid>
      <w:tr w:rsidR="009933C1" w:rsidRPr="009933C1" w14:paraId="14C9DE7F" w14:textId="77777777" w:rsidTr="00440E69">
        <w:trPr>
          <w:trHeight w:val="459"/>
        </w:trPr>
        <w:tc>
          <w:tcPr>
            <w:tcW w:w="2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08F7D11" w14:textId="77777777" w:rsidR="009933C1" w:rsidRPr="009933C1" w:rsidRDefault="009933C1" w:rsidP="00440E69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 w:rsidRPr="009933C1">
              <w:rPr>
                <w:rFonts w:ascii="Arial" w:eastAsia="Times New Roman" w:hAnsi="Arial" w:cs="Arial"/>
                <w:b/>
                <w:bCs/>
                <w:kern w:val="0"/>
                <w:sz w:val="21"/>
                <w:szCs w:val="21"/>
                <w:lang w:eastAsia="sk-SK"/>
                <w14:ligatures w14:val="none"/>
              </w:rPr>
              <w:t>Dohodový hmotný majetok</w:t>
            </w:r>
          </w:p>
        </w:tc>
        <w:tc>
          <w:tcPr>
            <w:tcW w:w="1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BBDB458" w14:textId="77777777" w:rsidR="009933C1" w:rsidRPr="009933C1" w:rsidRDefault="009933C1" w:rsidP="00440E69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 w:rsidRPr="009933C1">
              <w:rPr>
                <w:rFonts w:ascii="Arial" w:eastAsia="Times New Roman" w:hAnsi="Arial" w:cs="Arial"/>
                <w:b/>
                <w:bCs/>
                <w:kern w:val="0"/>
                <w:sz w:val="21"/>
                <w:szCs w:val="21"/>
                <w:lang w:eastAsia="sk-SK"/>
                <w14:ligatures w14:val="none"/>
              </w:rPr>
              <w:t>Doba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1"/>
                <w:szCs w:val="21"/>
                <w:lang w:eastAsia="sk-SK"/>
                <w14:ligatures w14:val="none"/>
              </w:rPr>
              <w:t xml:space="preserve"> </w:t>
            </w:r>
            <w:r w:rsidRPr="009933C1">
              <w:rPr>
                <w:rFonts w:ascii="Arial" w:eastAsia="Times New Roman" w:hAnsi="Arial" w:cs="Arial"/>
                <w:b/>
                <w:bCs/>
                <w:kern w:val="0"/>
                <w:sz w:val="21"/>
                <w:szCs w:val="21"/>
                <w:lang w:eastAsia="sk-SK"/>
                <w14:ligatures w14:val="none"/>
              </w:rPr>
              <w:t>odpisovania</w:t>
            </w:r>
          </w:p>
        </w:tc>
        <w:tc>
          <w:tcPr>
            <w:tcW w:w="1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7BC4C2B" w14:textId="77777777" w:rsidR="009933C1" w:rsidRPr="009933C1" w:rsidRDefault="009933C1" w:rsidP="00440E69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 w:rsidRPr="009933C1">
              <w:rPr>
                <w:rFonts w:ascii="Arial" w:eastAsia="Times New Roman" w:hAnsi="Arial" w:cs="Arial"/>
                <w:b/>
                <w:bCs/>
                <w:kern w:val="0"/>
                <w:sz w:val="21"/>
                <w:szCs w:val="21"/>
                <w:lang w:eastAsia="sk-SK"/>
                <w14:ligatures w14:val="none"/>
              </w:rPr>
              <w:t>Sadzba odpisov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DC2C9F0" w14:textId="77777777" w:rsidR="009933C1" w:rsidRPr="009933C1" w:rsidRDefault="009933C1" w:rsidP="00440E69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 w:rsidRPr="009933C1">
              <w:rPr>
                <w:rFonts w:ascii="Arial" w:eastAsia="Times New Roman" w:hAnsi="Arial" w:cs="Arial"/>
                <w:b/>
                <w:bCs/>
                <w:kern w:val="0"/>
                <w:sz w:val="21"/>
                <w:szCs w:val="21"/>
                <w:lang w:eastAsia="sk-SK"/>
                <w14:ligatures w14:val="none"/>
              </w:rPr>
              <w:t>Odpisová metóda</w:t>
            </w:r>
          </w:p>
        </w:tc>
      </w:tr>
      <w:tr w:rsidR="009933C1" w:rsidRPr="009933C1" w14:paraId="0A49C5EB" w14:textId="77777777" w:rsidTr="00440E69">
        <w:trPr>
          <w:trHeight w:val="472"/>
        </w:trPr>
        <w:tc>
          <w:tcPr>
            <w:tcW w:w="2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F696D9A" w14:textId="77777777" w:rsidR="009933C1" w:rsidRPr="009933C1" w:rsidRDefault="00440E69" w:rsidP="00440E69">
            <w:pPr>
              <w:spacing w:before="144" w:after="144" w:line="240" w:lineRule="auto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>Plachtová hala</w:t>
            </w:r>
          </w:p>
        </w:tc>
        <w:tc>
          <w:tcPr>
            <w:tcW w:w="1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A9E8104" w14:textId="77777777" w:rsidR="009933C1" w:rsidRPr="009933C1" w:rsidRDefault="00440E69" w:rsidP="00440E69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>12</w:t>
            </w:r>
            <w:r w:rsidR="009933C1" w:rsidRPr="009933C1"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 xml:space="preserve"> rokov</w:t>
            </w:r>
          </w:p>
        </w:tc>
        <w:tc>
          <w:tcPr>
            <w:tcW w:w="1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C848A7" w14:textId="77777777" w:rsidR="009933C1" w:rsidRPr="009933C1" w:rsidRDefault="00440E69" w:rsidP="00440E69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>8,3</w:t>
            </w:r>
            <w:r w:rsidR="009933C1" w:rsidRPr="009933C1"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> %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797EC1C" w14:textId="77777777" w:rsidR="009933C1" w:rsidRPr="009933C1" w:rsidRDefault="009933C1" w:rsidP="00440E69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</w:pPr>
            <w:r w:rsidRPr="009933C1">
              <w:rPr>
                <w:rFonts w:ascii="Arial" w:eastAsia="Times New Roman" w:hAnsi="Arial" w:cs="Arial"/>
                <w:kern w:val="0"/>
                <w:sz w:val="21"/>
                <w:szCs w:val="21"/>
                <w:lang w:eastAsia="sk-SK"/>
                <w14:ligatures w14:val="none"/>
              </w:rPr>
              <w:t>lineárna</w:t>
            </w:r>
          </w:p>
        </w:tc>
      </w:tr>
    </w:tbl>
    <w:p w14:paraId="4B3A7062" w14:textId="77777777" w:rsidR="009933C1" w:rsidRPr="009933C1" w:rsidRDefault="009933C1" w:rsidP="009933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Spôsob zostavenia odpisového plánu pre jednotlivé druhy dlhodobého hmotného majetku</w:t>
      </w:r>
      <w:r w:rsidR="00440E69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 xml:space="preserve">Účtovná jednotka vlastní dlhodobý </w:t>
      </w:r>
      <w:r w:rsidR="00440E69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hmotný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 xml:space="preserve"> majetok –</w:t>
      </w:r>
      <w:r w:rsidR="00440E69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 xml:space="preserve"> plachtovú halu, ktorú odpisuje. 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 xml:space="preserve">Odpisy dlhodobého hmotného majetku sú stanovené na základe predpokladanej doby používania majetku. Majetok sa odpisuje od mesiaca zaradenia dlhodobého majetku do používania. Ročný odpis je vo výške násobku mesačného odpisu a počtu mesiacov využívania majetku. 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</w:r>
    </w:p>
    <w:p w14:paraId="1BF6394B" w14:textId="77777777" w:rsidR="00440E69" w:rsidRDefault="00440E69" w:rsidP="00440E69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</w:p>
    <w:p w14:paraId="5000B5FB" w14:textId="77777777" w:rsidR="009933C1" w:rsidRPr="009933C1" w:rsidRDefault="009933C1" w:rsidP="009933C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Zmeny účtovných zásad a zmeny účtovných metód: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neuskutočnila zmeny účtovných zásad a účtovných metód.</w:t>
      </w:r>
    </w:p>
    <w:p w14:paraId="46523FD1" w14:textId="77777777" w:rsidR="009933C1" w:rsidRPr="009933C1" w:rsidRDefault="009933C1" w:rsidP="009933C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dotáciách a ich oceňovanie v účtovníctve: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nie je príjemcom dotácií.</w:t>
      </w:r>
    </w:p>
    <w:p w14:paraId="5C670266" w14:textId="77777777" w:rsidR="009933C1" w:rsidRPr="009933C1" w:rsidRDefault="009933C1" w:rsidP="009933C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účtovaní významných opráv chýb minulých účtovných období v bežnom účtovnom období a účtovanie nevýznamných chýb minulých účtovných období v bežnom účtovnom období: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neúčtovala o oprave chýb minulých účtovných období.</w:t>
      </w:r>
    </w:p>
    <w:p w14:paraId="76D3FC36" w14:textId="77777777" w:rsidR="009933C1" w:rsidRPr="009933C1" w:rsidRDefault="009933C1" w:rsidP="009933C1">
      <w:pPr>
        <w:shd w:val="clear" w:color="auto" w:fill="FFFFFF"/>
        <w:spacing w:after="0" w:line="240" w:lineRule="auto"/>
        <w:jc w:val="center"/>
        <w:outlineLvl w:val="3"/>
        <w:rPr>
          <w:rFonts w:ascii="inherit" w:eastAsia="Times New Roman" w:hAnsi="inherit" w:cs="Arial"/>
          <w:color w:val="505050"/>
          <w:kern w:val="0"/>
          <w:sz w:val="25"/>
          <w:szCs w:val="25"/>
          <w:lang w:eastAsia="sk-SK"/>
          <w14:ligatures w14:val="none"/>
        </w:rPr>
      </w:pPr>
      <w:r w:rsidRPr="009933C1">
        <w:rPr>
          <w:rFonts w:ascii="inherit" w:eastAsia="Times New Roman" w:hAnsi="inherit" w:cs="Arial"/>
          <w:b/>
          <w:bCs/>
          <w:color w:val="505050"/>
          <w:kern w:val="0"/>
          <w:sz w:val="25"/>
          <w:szCs w:val="25"/>
          <w:lang w:eastAsia="sk-SK"/>
          <w14:ligatures w14:val="none"/>
        </w:rPr>
        <w:t>Článok III</w:t>
      </w:r>
      <w:r w:rsidRPr="009933C1">
        <w:rPr>
          <w:rFonts w:ascii="inherit" w:eastAsia="Times New Roman" w:hAnsi="inherit" w:cs="Arial"/>
          <w:b/>
          <w:bCs/>
          <w:color w:val="505050"/>
          <w:kern w:val="0"/>
          <w:sz w:val="25"/>
          <w:szCs w:val="25"/>
          <w:lang w:eastAsia="sk-SK"/>
          <w14:ligatures w14:val="none"/>
        </w:rPr>
        <w:br/>
        <w:t>Informácie, ktoré vysvetľujú a dopĺňajú súvahu a výkaz ziskov a strát</w:t>
      </w:r>
    </w:p>
    <w:p w14:paraId="3D7F98CE" w14:textId="77777777" w:rsidR="009933C1" w:rsidRPr="009933C1" w:rsidRDefault="009933C1" w:rsidP="009933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Informácia o sume a dôvodoch vzniku jednotlivých položiek nákladov alebo výnosov, ktoré majú výnimočný rozsah alebo výskyt: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Účtovnej jednotke nevznikli náklady a výnosy s výnimočným rozsahom alebo výskytom.</w:t>
      </w:r>
    </w:p>
    <w:p w14:paraId="6315F3F8" w14:textId="77777777" w:rsidR="009933C1" w:rsidRPr="009933C1" w:rsidRDefault="009933C1" w:rsidP="009933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záväzkoch:</w:t>
      </w:r>
    </w:p>
    <w:p w14:paraId="5C3D68D4" w14:textId="77777777" w:rsidR="009933C1" w:rsidRPr="009933C1" w:rsidRDefault="009933C1" w:rsidP="009933C1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záväzky so zostatkovou dobou splatnosti dlhšou ako päť rokov: účtovná jednotka nemá,</w:t>
      </w:r>
    </w:p>
    <w:p w14:paraId="3AEB70E5" w14:textId="77777777" w:rsidR="009933C1" w:rsidRPr="009933C1" w:rsidRDefault="009933C1" w:rsidP="009933C1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zabezpečené záväzky: účtovná jednotka nemá.</w:t>
      </w:r>
    </w:p>
    <w:p w14:paraId="7556DFE6" w14:textId="77777777" w:rsidR="009933C1" w:rsidRPr="009933C1" w:rsidRDefault="009933C1" w:rsidP="009933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vlastných akciách: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nemá formu akciovej spoločnosti, vlastné akcie nenadobudla.</w:t>
      </w:r>
    </w:p>
    <w:p w14:paraId="20D86B2D" w14:textId="77777777" w:rsidR="009933C1" w:rsidRPr="009933C1" w:rsidRDefault="009933C1" w:rsidP="009933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Tvorba kapitálového fondu z príspevkov: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kapitálový fond z príspevkov netvorila.</w:t>
      </w:r>
    </w:p>
    <w:p w14:paraId="29945120" w14:textId="77777777" w:rsidR="009933C1" w:rsidRPr="009933C1" w:rsidRDefault="009933C1" w:rsidP="009933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orgánoch účtovnej jednotky:</w:t>
      </w:r>
    </w:p>
    <w:p w14:paraId="39F8FFCF" w14:textId="77777777" w:rsidR="009933C1" w:rsidRPr="009933C1" w:rsidRDefault="009933C1" w:rsidP="009933C1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výška jednotlivých druhov záruk alebo iných zabezpečení poskytnutých pre členov štatutárneho orgánu, dozorného orgánu a iného orgánu účtovnej jednotky: účtovná jednotka záruky a iné zabezpečenie neeviduje,</w:t>
      </w:r>
    </w:p>
    <w:p w14:paraId="207A711B" w14:textId="77777777" w:rsidR="009933C1" w:rsidRPr="009933C1" w:rsidRDefault="009933C1" w:rsidP="009933C1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pôžičky poskytnuté členom štatutárneho orgánu, dozorného orgánu a iného orgánu účtovnej jednotky: účtovná jednotka pôžičky neeviduje,</w:t>
      </w:r>
    </w:p>
    <w:p w14:paraId="1451E889" w14:textId="77777777" w:rsidR="009933C1" w:rsidRPr="009933C1" w:rsidRDefault="009933C1" w:rsidP="009933C1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hlavné podmienky, na základe ktorých boli záruky, iné zabezpečenia a pôžičky poskytnuté: neboli poskytnuté,</w:t>
      </w:r>
    </w:p>
    <w:p w14:paraId="25528D70" w14:textId="77777777" w:rsidR="009933C1" w:rsidRPr="009933C1" w:rsidRDefault="009933C1" w:rsidP="009933C1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lastRenderedPageBreak/>
        <w:t>celková suma použitých finančných prostriedkov alebo iného plnenia na súkromné účely členmi štatutárneho orgánu, dozorného orgánu a iného orgánu účtovnej jednotky, ktoré je potrebné vyúčtovať: účtovná jednotka na takýto účel finančné prostriedky nepoužila.</w:t>
      </w:r>
    </w:p>
    <w:p w14:paraId="6B08C7F8" w14:textId="77777777" w:rsidR="009933C1" w:rsidRPr="009933C1" w:rsidRDefault="009933C1" w:rsidP="009933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povinnostiach účtovnej jednotky:</w:t>
      </w:r>
    </w:p>
    <w:p w14:paraId="4AEC5D78" w14:textId="77777777" w:rsidR="009933C1" w:rsidRPr="009933C1" w:rsidRDefault="009933C1" w:rsidP="009933C1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celková suma finančných povinností, ktoré sa nevykazujú v súvahe, ale sú významné na posúdenie finančnej situácie účtovnej jednotky: účtovná jednotka takúto povinnosť nemá,</w:t>
      </w:r>
    </w:p>
    <w:p w14:paraId="68CA9F7B" w14:textId="77777777" w:rsidR="009933C1" w:rsidRPr="009933C1" w:rsidRDefault="009933C1" w:rsidP="009933C1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celková suma významných podmienených záväzkov: účtovná jednotka takúto povinnosť nemá,</w:t>
      </w:r>
    </w:p>
    <w:p w14:paraId="40551830" w14:textId="77777777" w:rsidR="009933C1" w:rsidRPr="009933C1" w:rsidRDefault="009933C1" w:rsidP="009933C1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opis významných finančných povinností a významných podmienených záväzkov: účtovná jednotka finančné povinnosti a podmienené záväzky nemá,</w:t>
      </w:r>
    </w:p>
    <w:p w14:paraId="1B8DAF7F" w14:textId="77777777" w:rsidR="009933C1" w:rsidRPr="009933C1" w:rsidRDefault="009933C1" w:rsidP="009933C1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celková suma významných finančných povinností a významných podmienených záväzkoch voči dcérskej účtovnej jednotke a účtovnej jednotke s podstatným vplyvom: účtovná jednotka takého záväzky nemá,</w:t>
      </w:r>
    </w:p>
    <w:p w14:paraId="25926E9C" w14:textId="77777777" w:rsidR="009933C1" w:rsidRPr="009933C1" w:rsidRDefault="009933C1" w:rsidP="009933C1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opis významných povinností účtovnej jednotky vyplývajúcich z dôchodkových programov pre zamestnancov: účtovná jednotka takého povinnosti nemá.</w:t>
      </w:r>
    </w:p>
    <w:p w14:paraId="7DAA177B" w14:textId="77777777" w:rsidR="009933C1" w:rsidRPr="009933C1" w:rsidRDefault="009933C1" w:rsidP="009933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</w:pP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t>Informácie o udelení výlučného práva alebo osobitného práva, ktorým sa udelilo právo poskytovať služby vo verejnom záujme:</w:t>
      </w:r>
      <w:r w:rsidRPr="009933C1">
        <w:rPr>
          <w:rFonts w:ascii="Arial" w:eastAsia="Times New Roman" w:hAnsi="Arial" w:cs="Arial"/>
          <w:color w:val="505050"/>
          <w:kern w:val="0"/>
          <w:sz w:val="21"/>
          <w:szCs w:val="21"/>
          <w:lang w:eastAsia="sk-SK"/>
          <w14:ligatures w14:val="none"/>
        </w:rPr>
        <w:br/>
        <w:t>Účtovná jednotka takého práva udelené nemá.</w:t>
      </w:r>
    </w:p>
    <w:p w14:paraId="0153CE76" w14:textId="77777777" w:rsidR="000E5B28" w:rsidRDefault="000E5B28"/>
    <w:sectPr w:rsidR="000E5B28" w:rsidSect="009933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F2D08"/>
    <w:multiLevelType w:val="multilevel"/>
    <w:tmpl w:val="8CECD7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37F4BA8"/>
    <w:multiLevelType w:val="multilevel"/>
    <w:tmpl w:val="766C8B6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F6947AE"/>
    <w:multiLevelType w:val="multilevel"/>
    <w:tmpl w:val="4290D9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2172718"/>
    <w:multiLevelType w:val="multilevel"/>
    <w:tmpl w:val="DF069E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86423253">
    <w:abstractNumId w:val="0"/>
  </w:num>
  <w:num w:numId="2" w16cid:durableId="1430665002">
    <w:abstractNumId w:val="3"/>
  </w:num>
  <w:num w:numId="3" w16cid:durableId="2099595953">
    <w:abstractNumId w:val="1"/>
  </w:num>
  <w:num w:numId="4" w16cid:durableId="7041348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33C1"/>
    <w:rsid w:val="000E5B28"/>
    <w:rsid w:val="00440E69"/>
    <w:rsid w:val="006E551E"/>
    <w:rsid w:val="008844BC"/>
    <w:rsid w:val="0094772E"/>
    <w:rsid w:val="009933C1"/>
    <w:rsid w:val="00AF1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EDD46"/>
  <w15:chartTrackingRefBased/>
  <w15:docId w15:val="{7FD62086-334B-4D7A-ADDD-C2D2FD7BB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9933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sk-SK"/>
      <w14:ligatures w14:val="none"/>
    </w:rPr>
  </w:style>
  <w:style w:type="paragraph" w:styleId="Nadpis4">
    <w:name w:val="heading 4"/>
    <w:basedOn w:val="Normlny"/>
    <w:link w:val="Nadpis4Char"/>
    <w:uiPriority w:val="9"/>
    <w:qFormat/>
    <w:rsid w:val="009933C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9933C1"/>
    <w:rPr>
      <w:rFonts w:ascii="Times New Roman" w:eastAsia="Times New Roman" w:hAnsi="Times New Roman" w:cs="Times New Roman"/>
      <w:b/>
      <w:bCs/>
      <w:kern w:val="0"/>
      <w:sz w:val="36"/>
      <w:szCs w:val="36"/>
      <w:lang w:eastAsia="sk-SK"/>
      <w14:ligatures w14:val="none"/>
    </w:rPr>
  </w:style>
  <w:style w:type="character" w:customStyle="1" w:styleId="Nadpis4Char">
    <w:name w:val="Nadpis 4 Char"/>
    <w:basedOn w:val="Predvolenpsmoodseku"/>
    <w:link w:val="Nadpis4"/>
    <w:uiPriority w:val="9"/>
    <w:rsid w:val="009933C1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9933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Hypertextovprepojenie">
    <w:name w:val="Hyperlink"/>
    <w:basedOn w:val="Predvolenpsmoodseku"/>
    <w:uiPriority w:val="99"/>
    <w:semiHidden/>
    <w:unhideWhenUsed/>
    <w:rsid w:val="009933C1"/>
    <w:rPr>
      <w:color w:val="0000FF"/>
      <w:u w:val="single"/>
    </w:rPr>
  </w:style>
  <w:style w:type="character" w:styleId="Vrazn">
    <w:name w:val="Strong"/>
    <w:basedOn w:val="Predvolenpsmoodseku"/>
    <w:uiPriority w:val="22"/>
    <w:qFormat/>
    <w:rsid w:val="009933C1"/>
    <w:rPr>
      <w:b/>
      <w:bCs/>
    </w:rPr>
  </w:style>
  <w:style w:type="paragraph" w:styleId="Bezriadkovania">
    <w:name w:val="No Spacing"/>
    <w:uiPriority w:val="1"/>
    <w:qFormat/>
    <w:rsid w:val="00440E6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53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9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70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5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anovecentrum.sk/form/goto.ashx?t=27&amp;p=4040954&amp;f=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925</Words>
  <Characters>5279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PHOENIX Group</Company>
  <LinksUpToDate>false</LinksUpToDate>
  <CharactersWithSpaces>6192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MATLAKOVA Monika</dc:creator>
  <cp:keywords/>
  <dc:description/>
  <cp:lastModifiedBy>MATLAKOVA Monika</cp:lastModifiedBy>
  <cp:revision>1</cp:revision>
  <dcterms:created xsi:type="dcterms:W3CDTF">2024-06-15T08:04:00Z</dcterms:created>
  <dcterms:modified xsi:type="dcterms:W3CDTF">2024-06-15T08:29:00Z</dcterms:modified>
</cp:coreProperties>
</file>