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Poznámky konsolidovanej účtovnej závierky obce Gôtovany</w:t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zostavenej k 31. decembru 2023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Čl. I.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VŠEOBECNÉ ÚDAJE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Identifikačné údaje konsolidujúcej účtovnej jednotky</w:t>
      </w:r>
    </w:p>
    <w:tbl>
      <w:tblPr>
        <w:tblW w:w="9189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7"/>
        <w:gridCol w:w="3551"/>
      </w:tblGrid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Názov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tLeast" w:line="100" w:before="0" w:after="0"/>
              <w:ind w:hanging="0" w:left="-109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Obec Gôtovany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Sídlo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hanging="709" w:left="741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Gôtovany 45, 032 14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IČO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hanging="709" w:left="741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</w:rPr>
              <w:t>00315192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Dátum založenia, vzniku konsolidujúcej účtovnej jednotky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hanging="709" w:left="741"/>
              <w:rPr>
                <w:color w:val="auto"/>
              </w:rPr>
            </w:pPr>
            <w:r>
              <w:rPr>
                <w:rFonts w:cs="Times New Roman" w:ascii="Times New Roman" w:hAnsi="Times New Roman"/>
                <w:bCs/>
                <w:color w:val="auto"/>
                <w:sz w:val="24"/>
                <w:szCs w:val="24"/>
              </w:rPr>
              <w:t>01.01.1990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/>
          <w:i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Identifikačné údaje o konsolidovaných účtovných jednotkách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Konsolidovaný celok Obce Gôtovany sa v roku 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oproti minulým účtovným obdobiam nezmenil.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Obec Gôtovany má v zriaďovateľskej pôsobnosti rozpočtovú organizáciu (RO):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5"/>
        <w:gridCol w:w="3585"/>
      </w:tblGrid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Názov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MŠ Gôtovany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Sídlo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Gôtovany 60, 032 14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IČO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42213894</w:t>
            </w:r>
          </w:p>
        </w:tc>
      </w:tr>
      <w:tr>
        <w:trPr/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0"/>
                <w:szCs w:val="24"/>
              </w:rPr>
              <w:t>Dátum založenia, vzniku konsolidovanej účtovnej jednotky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1.4.2002 (delimitáciou)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Prehľad o účtovných jednotkách konsolidovaného celku je uvedený v prílohe č. 1, v tabuľkovej časti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color w:val="auto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Konsolidovaná účtovná závierka konsolidovaného celku Obce Gôtovany k 31. decembru 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je zostavená ako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riadna konsolidovaná účtovná závierka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podľa zákona č. 431/2002 Z. z. o účtovníctve v znení neskorších predpisov,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za účtovné obdobie od 1. januára 202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do 31. decembra 202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Obec je súčasťou súhrnného celku verejnej správy Slovenskej republiky.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/>
          <w:i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Informácie o vedúcich predstaviteľoch a o zamestnancoch konsolidovaného celku</w:t>
      </w:r>
    </w:p>
    <w:tbl>
      <w:tblPr>
        <w:tblW w:w="6240" w:type="dxa"/>
        <w:jc w:val="left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02"/>
        <w:gridCol w:w="3737"/>
      </w:tblGrid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Starosta obce:</w:t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Mgr. Andrea Adamčiaková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Zástupca starostu:</w:t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Ing. Andrej Lúčan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Hlavný kontrolór obce</w:t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PhDr. Desana Stromková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3737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keepNext w:val="true"/>
        <w:spacing w:lineRule="auto" w:line="24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Materská škola </w:t>
      </w:r>
      <w:r>
        <w:rPr>
          <w:rFonts w:cs="Times New Roman" w:ascii="Times New Roman" w:hAnsi="Times New Roman"/>
          <w:bCs/>
          <w:color w:val="auto"/>
          <w:sz w:val="24"/>
          <w:szCs w:val="24"/>
        </w:rPr>
        <w:t>s právnou subjektivitou</w:t>
      </w:r>
    </w:p>
    <w:p>
      <w:pPr>
        <w:pStyle w:val="Normal"/>
        <w:spacing w:lineRule="auto" w:line="24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iCs/>
          <w:color w:val="auto"/>
          <w:sz w:val="24"/>
          <w:szCs w:val="24"/>
        </w:rPr>
        <w:t>Riaditeľka</w:t>
      </w: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:</w:t>
      </w:r>
      <w:r>
        <w:rPr>
          <w:rFonts w:cs="Times New Roman" w:ascii="Times New Roman" w:hAnsi="Times New Roman"/>
          <w:i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Mgr. Miriam Čupková</w:t>
      </w:r>
    </w:p>
    <w:p>
      <w:pPr>
        <w:pStyle w:val="Normal"/>
        <w:spacing w:lineRule="auto" w:line="24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iCs/>
          <w:color w:val="auto"/>
          <w:sz w:val="24"/>
          <w:szCs w:val="24"/>
        </w:rPr>
        <w:t>Počet žiakov: 34</w:t>
      </w:r>
    </w:p>
    <w:p>
      <w:pPr>
        <w:pStyle w:val="Normal"/>
        <w:spacing w:lineRule="auto" w:line="24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Materská škola v Gôtovanoch hospodári s vlastnými  finančnými prostriedkami a je napojená na rozpočet obce.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tbl>
      <w:tblPr>
        <w:tblW w:w="9401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9"/>
        <w:gridCol w:w="3626"/>
        <w:gridCol w:w="2116"/>
      </w:tblGrid>
      <w:tr>
        <w:trPr>
          <w:trHeight w:val="753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  <w:t>Organizácia – účtovná jednotka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ind w:hanging="0" w:left="40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  <w:t>priemerný počet zamestnancov</w:t>
            </w:r>
          </w:p>
          <w:p>
            <w:pPr>
              <w:pStyle w:val="Normal"/>
              <w:spacing w:lineRule="atLeast" w:line="100" w:before="0" w:after="0"/>
              <w:ind w:hanging="0" w:left="373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  <w:t>konsolidovaného celku počas</w:t>
            </w:r>
          </w:p>
          <w:p>
            <w:pPr>
              <w:pStyle w:val="Normal"/>
              <w:spacing w:lineRule="atLeast" w:line="100" w:before="0" w:after="0"/>
              <w:ind w:hanging="0" w:left="373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  <w:t>účtovného obdobia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ind w:hanging="0" w:left="579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18"/>
                <w:szCs w:val="24"/>
              </w:rPr>
              <w:t>Z toho riadiacich</w:t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Obec Gôtovany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Materská škola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Celkom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/>
          <w:i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Informácia o splnení predpokladu nepretržitého pokračovania v činnosti účtovnej jednotky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Konsolidovaná účtovná závierka Obce bola zostavená za predpokladu nepretržitého trvania činnosti v súlade so zákonom o účtovníctve a nadväzujúcimi právnymi predpismi</w:t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Informácie o metódach oceňovania použitých pri ocenení jednotlivých položiek konsolidovanej účtovnej závierky obce Gôtovany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Pri oceňovaní majetku a záväzkov sa uplatňuje zásada opatrnosti. Za základ sa berú všetky</w:t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riziká, straty a zníženia hodnoty, ktoré sa týkajú majetku a záväzkov a sú známe ku dňu</w:t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zostavenia účtovnej závierky.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Dlhodobý nehmotný a hmotný majetok nakupovaný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oceňuje obstarávacou cenou, ktorá zahrňuje cenu, za ktorú sa majetok obstaral ako aj náklady súvisiace s jeho obstaraním (dopravné, montáž a pod.).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Dlhodobý majetok vytvorený vlastnou činnosťou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oceňuje vlastnými nákladmi, ktoré predstavujú všetky priame náklady vynaložené na výrobu alebo inú činnosť a všetky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nepriame náklady vzťahujúce sa na výrobu alebo inú činnosť.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Dlhodobý nehmotný a hmotný majetok získaný bezodplatne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oceňuje reprodukčnou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obstarávacou cenou, teda cenou, za ktorú by sa majetok obstaral v čase, keď sa o ňom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účtuje.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Dlhodobý majetok nadobudnutý prevodom správy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oceňuje cenou, v ktorej sa doteraz viedol v účtovníctve.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Dlhodobý finančný majetok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oceňuje obstarávacou cenou.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Nakupované zásoby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oceňujú obstarávacou cenou, ktorá zahrňuje cenu, za ktorú sa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majetok obstaral ako aj náklady súvisiace s jeho obstaraním (napr.: prepravné,  provízia,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poistné a zľavy).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Zásoby vytvorené vlastnou činnosťou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oceňujú vlastnými nákladmi, ktoré predstavujú všetky priame náklady vynaložené na tvorbu zásob ako aj časťou nepriamych nákladov, ktoré sa k tvorbe zásob vzťahujú.</w:t>
      </w:r>
    </w:p>
    <w:p>
      <w:pPr>
        <w:pStyle w:val="Odstavecseseznamem1"/>
        <w:spacing w:lineRule="atLeast" w:line="100" w:before="0" w:after="0"/>
        <w:ind w:hanging="0" w:left="0"/>
        <w:jc w:val="both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Odstavecseseznamem1"/>
        <w:spacing w:lineRule="atLeast" w:line="100" w:before="0" w:after="0"/>
        <w:ind w:hanging="0" w:left="0"/>
        <w:jc w:val="both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Odstavecseseznamem1"/>
        <w:spacing w:lineRule="atLeast" w:line="100" w:before="0" w:after="0"/>
        <w:ind w:hanging="0" w:left="0"/>
        <w:jc w:val="both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Cenné papiere a podiely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oceňujú obstarávacími cenami, vrátane nákladov súvisiacich  s obstaraním.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Pohľadávky </w:t>
      </w:r>
      <w:r>
        <w:rPr>
          <w:rFonts w:cs="Times New Roman" w:ascii="Times New Roman" w:hAnsi="Times New Roman"/>
          <w:color w:val="auto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Krátkodobý finančný majetok - peňažné prostriedky a ceniny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sa oceňujú ich    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menovitou hodnotou.</w:t>
      </w:r>
    </w:p>
    <w:p>
      <w:pPr>
        <w:pStyle w:val="Odstavecseseznamem1"/>
        <w:numPr>
          <w:ilvl w:val="0"/>
          <w:numId w:val="1"/>
        </w:numPr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color w:val="auto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color w:val="auto"/>
          <w:sz w:val="24"/>
          <w:szCs w:val="24"/>
        </w:rPr>
        <w:t>sa pri ich prevzatí oceňujú obstarávacou cenou.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Ak sa pri inventarizácii zistí, že suma záväzkov je iná ako ich výška v účtovníctve, uvedú 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sa záväzky v účtovníctve a v účtovnej závierke v tomto zistenom ocenení.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Majetok obstaraný z transferov </w:t>
      </w:r>
      <w:r>
        <w:rPr>
          <w:rFonts w:cs="Times New Roman" w:ascii="Times New Roman" w:hAnsi="Times New Roman"/>
          <w:color w:val="auto"/>
          <w:sz w:val="24"/>
          <w:szCs w:val="24"/>
        </w:rPr>
        <w:t>sa oceňuje obstarávacou cenou.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Čl. II.</w:t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INFORMÁCIE O METÓDACH A POSTUPOCH KONSOLIDÁCIE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Konsolidovaná účtovná závierka Obce bola zostavená v súlade so zákonom č. 431/2002 Z. z.</w:t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 označovaní položiek konsolidovanej účtovnej závierky vo verejnej správe v znení neskorších predpisov.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rámci konsolidácie konsolidovaného celku obce Gôtovany boli eliminované vzájomné pohľadávky, záväzky, náklady a výnosy.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/>
          <w:i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Zahrnutie konsolidovaných účtovných jednotiek do konsolidovanej účtovnej závierky</w:t>
      </w:r>
    </w:p>
    <w:tbl>
      <w:tblPr>
        <w:tblW w:w="9220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700"/>
        <w:gridCol w:w="1701"/>
        <w:gridCol w:w="1600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Metóda 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Metóda podielovej konsolidácie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Metóda vlastného imania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Obec Gôtovany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Materská škola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Pri dcérskych účtovných jednotkách bola použitá metóda úplnej konsolidácie.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roku 2022, rovnako ako v predchádzajúcich účtovných obdobiach, sa medzi účtovnými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jednotkami konsolidovaného celku Obce Gôtovany neuskutočnil nákup, resp. predaj majetku, preto nebolo potrebné vykonať konsolidáciu medzivýsledku.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Čl. III.</w:t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INFORMÁCIE O ÚDAJOCH AKTÍV A PASÍV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a) Konsolidovaný celok verejnej správy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- uvedené v tabuľke č. 1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b) Aktíva a pasíva za konsolidovaný celok: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konsolidovanej súvahe 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je na strane aktív vykázaný majetok spolu vo výške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netto </w:t>
      </w:r>
      <w:r>
        <w:rPr>
          <w:rFonts w:cs="Times New Roman" w:ascii="Times New Roman" w:hAnsi="Times New Roman"/>
          <w:color w:val="auto"/>
          <w:sz w:val="24"/>
          <w:szCs w:val="24"/>
        </w:rPr>
        <w:t>1.157.157,64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z toho neobežný majetok predstavuje </w:t>
      </w:r>
      <w:r>
        <w:rPr>
          <w:rFonts w:cs="Times New Roman" w:ascii="Times New Roman" w:hAnsi="Times New Roman"/>
          <w:color w:val="auto"/>
          <w:sz w:val="24"/>
          <w:szCs w:val="24"/>
        </w:rPr>
        <w:t>948.513,63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 obežný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majetok </w:t>
      </w:r>
      <w:r>
        <w:rPr>
          <w:rFonts w:cs="Times New Roman" w:ascii="Times New Roman" w:hAnsi="Times New Roman"/>
          <w:color w:val="auto"/>
          <w:sz w:val="24"/>
          <w:szCs w:val="24"/>
        </w:rPr>
        <w:t>206.863,21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 Eur. Časové rozlíšenie na strane aktív – náklady a príjmy budúcich období činí </w:t>
      </w:r>
      <w:r>
        <w:rPr>
          <w:rFonts w:cs="Times New Roman" w:ascii="Times New Roman" w:hAnsi="Times New Roman"/>
          <w:color w:val="auto"/>
          <w:sz w:val="24"/>
          <w:szCs w:val="24"/>
        </w:rPr>
        <w:t>1.780,80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Vlastné imanie a záväzky na strane pasív súhlasia s výškou aktív v hodnote </w:t>
      </w:r>
      <w:r>
        <w:rPr>
          <w:rFonts w:cs="Times New Roman" w:ascii="Times New Roman" w:hAnsi="Times New Roman"/>
          <w:color w:val="auto"/>
          <w:sz w:val="24"/>
          <w:szCs w:val="24"/>
        </w:rPr>
        <w:t>1.157.157,64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</w:t>
      </w:r>
    </w:p>
    <w:p>
      <w:pPr>
        <w:pStyle w:val="Normal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Vlastné imanie je vykázané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469.162,49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 záväzky v hodnote </w:t>
      </w:r>
      <w:r>
        <w:rPr>
          <w:rFonts w:cs="Times New Roman" w:ascii="Times New Roman" w:hAnsi="Times New Roman"/>
          <w:color w:val="auto"/>
          <w:sz w:val="24"/>
          <w:szCs w:val="24"/>
        </w:rPr>
        <w:t>471.989,59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  <w:u w:val="single"/>
        </w:rPr>
        <w:t xml:space="preserve">Časové rozlíšenie na strane pasív - výdavky a výnosy budúcich období - činí </w:t>
      </w:r>
      <w:r>
        <w:rPr>
          <w:rFonts w:cs="Times New Roman" w:ascii="Times New Roman" w:hAnsi="Times New Roman"/>
          <w:color w:val="auto"/>
          <w:sz w:val="24"/>
          <w:szCs w:val="24"/>
          <w:u w:val="single"/>
        </w:rPr>
        <w:t>216.005,56</w:t>
      </w:r>
      <w:r>
        <w:rPr>
          <w:rFonts w:cs="Times New Roman" w:ascii="Times New Roman" w:hAnsi="Times New Roman"/>
          <w:color w:val="auto"/>
          <w:sz w:val="24"/>
          <w:szCs w:val="24"/>
          <w:u w:val="single"/>
        </w:rPr>
        <w:t xml:space="preserve"> Eur.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c) Prehľad a pohybe vlastného imania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Po agregácii činí vlastné imanie za konsolidovaný celok 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sumu </w:t>
      </w:r>
      <w:r>
        <w:rPr>
          <w:rFonts w:cs="Times New Roman" w:ascii="Times New Roman" w:hAnsi="Times New Roman"/>
          <w:color w:val="auto"/>
          <w:sz w:val="24"/>
          <w:szCs w:val="24"/>
        </w:rPr>
        <w:t>469.162,49</w:t>
      </w:r>
      <w:r>
        <w:rPr>
          <w:rFonts w:cs="Times New Roman" w:ascii="Times New Roman" w:hAnsi="Times New Roman"/>
          <w:color w:val="auto"/>
          <w:sz w:val="24"/>
          <w:szCs w:val="24"/>
        </w:rPr>
        <w:t>Eur.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porovnaní s rokom 202</w:t>
      </w:r>
      <w:r>
        <w:rPr>
          <w:rFonts w:cs="Times New Roman" w:ascii="Times New Roman" w:hAnsi="Times New Roman"/>
          <w:color w:val="auto"/>
          <w:sz w:val="24"/>
          <w:szCs w:val="24"/>
        </w:rPr>
        <w:t>2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došlo k jeho zvýšeniu o sumu </w:t>
      </w:r>
      <w:r>
        <w:rPr>
          <w:rFonts w:cs="Times New Roman" w:ascii="Times New Roman" w:hAnsi="Times New Roman"/>
          <w:color w:val="auto"/>
          <w:sz w:val="24"/>
          <w:szCs w:val="24"/>
        </w:rPr>
        <w:t>33.174,26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pričom výsledok hospodárenia za konsolidovaný celok bol vykázaný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33.174,26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- podrobnejšie údaje uvedené v tabuľke č. 12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Vlastné imanie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d) Prehľad o pohybe rezerv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Konsolidovaný celok vykazuje tvorenie rezerv na audit v tabuľke č. 13 – </w:t>
      </w:r>
      <w:r>
        <w:rPr>
          <w:rFonts w:cs="Times New Roman" w:ascii="Times New Roman" w:hAnsi="Times New Roman"/>
          <w:i/>
          <w:color w:val="auto"/>
          <w:sz w:val="24"/>
          <w:szCs w:val="24"/>
        </w:rPr>
        <w:t>Rezervy zákonné</w:t>
      </w:r>
      <w:r>
        <w:rPr>
          <w:rFonts w:cs="Times New Roman" w:ascii="Times New Roman" w:hAnsi="Times New Roman"/>
          <w:b/>
          <w:bCs/>
          <w:i/>
          <w:iCs/>
          <w:color w:val="auto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e) Prehľad o pohybe dlhodobého hmotného a nehmotného majetku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Zostatková cena dlhodobého majetku </w:t>
      </w:r>
      <w:r>
        <w:rPr>
          <w:rFonts w:cs="Times New Roman" w:ascii="Times New Roman" w:hAnsi="Times New Roman"/>
          <w:color w:val="auto"/>
          <w:sz w:val="24"/>
          <w:szCs w:val="24"/>
        </w:rPr>
        <w:t>948.513,63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Z tejto sumy je dlhodobý nehmotný majetok </w:t>
      </w:r>
      <w:r>
        <w:rPr>
          <w:rFonts w:cs="Times New Roman" w:ascii="Times New Roman" w:hAnsi="Times New Roman"/>
          <w:color w:val="auto"/>
          <w:sz w:val="24"/>
          <w:szCs w:val="24"/>
        </w:rPr>
        <w:t>6.300,00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 dlhodobý hmotný majetok v zostatkovej hodnote </w:t>
      </w:r>
      <w:r>
        <w:rPr>
          <w:rFonts w:cs="Times New Roman" w:ascii="Times New Roman" w:hAnsi="Times New Roman"/>
          <w:color w:val="auto"/>
          <w:sz w:val="24"/>
          <w:szCs w:val="24"/>
        </w:rPr>
        <w:t>850.083,63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Podrobnejšie údaje uvedené v tabuľke č. 2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auto"/>
          <w:sz w:val="24"/>
          <w:szCs w:val="24"/>
        </w:rPr>
        <w:t>(r. 9, r. 22 a r. 32)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f) Dlhodobý finančný majetok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Hodnota dlhodobého finančného majetku v obstarávacej cene bola 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vo výške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92.130,00 Eur. Jedná sa o realizovateľné cenné papiere vo vzťahu k eminentovi - Liptovská vodárenská spoločnosť a.s.. - podrobnejšie údaje uvedené v tabuľke č. 2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auto"/>
          <w:sz w:val="24"/>
          <w:szCs w:val="24"/>
        </w:rPr>
        <w:t>(r. 25 a 31)                                          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g) Zásoby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Zásoby sú v konsolidovanej súvahe vykázané spolu vo výške 0,00 Eur. V účtovnom období zároveň konsolidovaný celok nevykazuje tvorbu, zníženie ani zrušenie opravnej položky k zásobám.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h) Dlhodobé pohľadávky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Konsolidovaný celok vykazuje dlhodobé pohľadávky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0,00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i) Krátkodobé pohľadávky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 súvahe za konsolidovaný celok sú vykázané krátkodobé pohľadávky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11.895,73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ktoré v celom podiele zúčtovala obec Gôtovany.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315- Ostatné pohľadávky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3.399,04 €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(vyúčtovanie elektriky a vodného)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318– Pohľadávka z nedaňových príjmov  </w:t>
      </w:r>
      <w:r>
        <w:rPr>
          <w:rFonts w:cs="Times New Roman" w:ascii="Times New Roman" w:hAnsi="Times New Roman"/>
          <w:b/>
          <w:color w:val="auto"/>
          <w:sz w:val="24"/>
          <w:szCs w:val="24"/>
        </w:rPr>
        <w:t>4.531,50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EUR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(nájomné, komunálny odpad, ČOV..)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319- Pohľadávky z daňových príjmov </w:t>
      </w:r>
      <w:r>
        <w:rPr>
          <w:rFonts w:cs="Times New Roman" w:ascii="Times New Roman" w:hAnsi="Times New Roman"/>
          <w:color w:val="auto"/>
          <w:sz w:val="24"/>
          <w:szCs w:val="24"/>
        </w:rPr>
        <w:t>918,11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EUR (daň z nehnuteľnosti, daň za psa )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335 – Pohľadávky voči zamestnancom </w:t>
      </w:r>
      <w:r>
        <w:rPr>
          <w:rFonts w:cs="Times New Roman" w:ascii="Times New Roman" w:hAnsi="Times New Roman"/>
          <w:color w:val="auto"/>
          <w:sz w:val="24"/>
          <w:szCs w:val="24"/>
        </w:rPr>
        <w:t>3047,08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EUR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účtovnom období zároveň konsolidovaný celok nevykazuje tvorbu, zníženie ani zrušenie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opravnej položky ku krátkodobým pohľadávkam.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j) Finančné účty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Hodnota finančných účtov obce a materskej školy (RO) je </w:t>
      </w:r>
      <w:r>
        <w:rPr>
          <w:rFonts w:cs="Times New Roman" w:ascii="Times New Roman" w:hAnsi="Times New Roman"/>
          <w:color w:val="auto"/>
          <w:sz w:val="24"/>
          <w:szCs w:val="24"/>
        </w:rPr>
        <w:t>192.124,41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k) Poskytnuté finančné výpomoci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Konsolidovaný celok nevykazuje žiadne poskytnuté finančné výpomoci.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l) Časové rozlíšenie na strane aktív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Časové rozlíšenie je za celý konsolidovaný celok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1.780,80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Celú sumu tvoria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náklady budúcich období. 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Viď. tabuľka č. 10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Časové rozlíšenie na strane aktív – náklady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m) Dlhodobé záväzky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Záväzky za celý konsolidovaný celok činia </w:t>
      </w:r>
      <w:r>
        <w:rPr>
          <w:rFonts w:cs="Times New Roman" w:ascii="Times New Roman" w:hAnsi="Times New Roman"/>
          <w:color w:val="auto"/>
          <w:sz w:val="24"/>
          <w:szCs w:val="24"/>
        </w:rPr>
        <w:t>389.658,57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Z toho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2.388,81 </w:t>
      </w:r>
      <w:r>
        <w:rPr>
          <w:rFonts w:cs="Times New Roman" w:ascii="Times New Roman" w:hAnsi="Times New Roman"/>
          <w:color w:val="auto"/>
          <w:sz w:val="24"/>
          <w:szCs w:val="24"/>
        </w:rPr>
        <w:t>Eur sú záväzky zo sociálneho fondu (472 - zostatok FP na účte SF), </w:t>
      </w:r>
      <w:r>
        <w:rPr>
          <w:rFonts w:cs="Times New Roman" w:ascii="Times New Roman" w:hAnsi="Times New Roman"/>
          <w:color w:val="auto"/>
          <w:sz w:val="24"/>
          <w:szCs w:val="24"/>
        </w:rPr>
        <w:t>387.269,76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sú záväzky voči ŠFRB a 21.275,16 Eur sú záväzky Garančného fondu.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Vykazované dlhodobé záväzky sú všetky v lehote splatnosti, so zostatkovou dobou splatnosti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Záväzky podľa doby splatnosti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n) Krátkodobé záväzky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 súvahe za konsolidovaný celok sú vykázané krátkodobé záväzky spolu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66.365,83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Eur, z toho záväzky voči dodávateľom tvoria </w:t>
      </w:r>
      <w:r>
        <w:rPr>
          <w:rFonts w:cs="Times New Roman" w:ascii="Times New Roman" w:hAnsi="Times New Roman"/>
          <w:color w:val="auto"/>
          <w:sz w:val="24"/>
          <w:szCs w:val="24"/>
        </w:rPr>
        <w:t>1.523,83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 záväzky voči zamestnancom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9.174,17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voči orgánom sociálneho poistenia a zdravotného poistenia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5.415,55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a voči daňovému úradu </w:t>
      </w:r>
      <w:r>
        <w:rPr>
          <w:rFonts w:cs="Times New Roman" w:ascii="Times New Roman" w:hAnsi="Times New Roman"/>
          <w:color w:val="auto"/>
          <w:sz w:val="24"/>
          <w:szCs w:val="24"/>
        </w:rPr>
        <w:t>784,73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Celá suma záväzkov predstavuje plnenie z bežnej činnosti za mesiac december 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>. Vykazované krátkodobé záväzky sú všetky v lehote splatnosti, so zostatkovou dobou splatnosti do jedného roka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.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Záväzky podľa doby splatnosti</w:t>
      </w:r>
      <w:r>
        <w:rPr>
          <w:rFonts w:cs="Times New Roman" w:ascii="Times New Roman" w:hAnsi="Times New Roman"/>
          <w:color w:val="auto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o) Vydané dlhopisy</w:t>
      </w:r>
    </w:p>
    <w:p>
      <w:pPr>
        <w:pStyle w:val="Normal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účtovnom období neboli v rámci konsolidovaného celku vydané žiadne dlhopisy.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p) Bankové úvery a návratné výpomoci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 rámci konsolidovaného neboli prijaté žiadne bankové úvery a návratné výpomoci.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q) Časové rozlíšenie na strane pasív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Časové rozlíšenie je za celý konsolidovaný celok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216.005,56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Eur. Celú sumu tvoria výnosy budúcich období.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Viď. tabuľka č. 18 – 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Časové rozlíšenie na strane pasív – Výnosy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Čl. IV.</w:t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INFORMÁCIE O ÚDAJOCH NÁKLADOV A VÝNOSOV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a) Náklady na služby a ostatné finančné náklady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Náklady spolu za konsolidovaný celok činia </w:t>
      </w:r>
      <w:r>
        <w:rPr>
          <w:rFonts w:cs="Times New Roman" w:ascii="Times New Roman" w:hAnsi="Times New Roman"/>
          <w:color w:val="auto"/>
          <w:sz w:val="24"/>
          <w:szCs w:val="24"/>
        </w:rPr>
        <w:t>358.667,85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pričom celá vykázaná suma je za hlavnú činnosť.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Náklady na ostatné služby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42.477,85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 viď. tabuľka č. 19, ostatné náklady na prevádzkovú činnosť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11.421,73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viď. Tabuľka 20, ostatné finančné náklady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1.142,43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vidˇ. tabuľka č. 21.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b) Výnosy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Výnosy spolu za konsolidovaný celok činia </w:t>
      </w:r>
      <w:r>
        <w:rPr>
          <w:rFonts w:cs="Times New Roman" w:ascii="Times New Roman" w:hAnsi="Times New Roman"/>
          <w:color w:val="auto"/>
          <w:sz w:val="24"/>
          <w:szCs w:val="24"/>
        </w:rPr>
        <w:t>394.864,08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Eur, pričom celá vykázaná suma je za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hlavnú činnosť. Ostatné výnosy z prevádzkovej činnosti sú vo výške </w:t>
      </w:r>
      <w:r>
        <w:rPr>
          <w:rFonts w:cs="Times New Roman" w:ascii="Times New Roman" w:hAnsi="Times New Roman"/>
          <w:color w:val="auto"/>
          <w:sz w:val="24"/>
          <w:szCs w:val="24"/>
        </w:rPr>
        <w:t>678,91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Eur viď. tabuľka č. 22. 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Čl. V.</w:t>
      </w:r>
    </w:p>
    <w:p>
      <w:pPr>
        <w:pStyle w:val="Normal"/>
        <w:spacing w:lineRule="atLeast" w:line="10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INFORMÁCIE O OSTATNÝCH SKUTOČNOSTIACH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 do dňa zostavenia konsolidovanej účtovnej závierky nedošlo k takým skutočnostiam, ktoré by ovplyvnili, resp. zmenili výsledky vykázané v účtovnej evidencii a v účtovných výkazoch konsolidovaných účtovných jednotiek k 31.12.202</w:t>
      </w:r>
      <w:r>
        <w:rPr>
          <w:rFonts w:cs="Times New Roman" w:ascii="Times New Roman" w:hAnsi="Times New Roman"/>
          <w:color w:val="auto"/>
          <w:sz w:val="24"/>
          <w:szCs w:val="24"/>
        </w:rPr>
        <w:t>3</w:t>
      </w:r>
      <w:r>
        <w:rPr>
          <w:rFonts w:cs="Times New Roman" w:ascii="Times New Roman" w:hAnsi="Times New Roman"/>
          <w:color w:val="auto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 Gôtovanoch, dňa 16.06.202</w:t>
      </w:r>
      <w:r>
        <w:rPr>
          <w:rFonts w:cs="Times New Roman" w:ascii="Times New Roman" w:hAnsi="Times New Roman"/>
          <w:color w:val="auto"/>
          <w:sz w:val="24"/>
          <w:szCs w:val="24"/>
        </w:rPr>
        <w:t>4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Vypracovala:    Ing. Juraj Brziak</w:t>
      </w:r>
    </w:p>
    <w:p>
      <w:pPr>
        <w:pStyle w:val="Normal"/>
        <w:spacing w:lineRule="atLeast" w:line="10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color w:val="auto"/>
          <w:sz w:val="24"/>
          <w:szCs w:val="24"/>
        </w:rPr>
        <w:t>externý účtovník obce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Schválil:           Mgr. Andrea Adamčiaková</w:t>
      </w:r>
    </w:p>
    <w:p>
      <w:pPr>
        <w:pStyle w:val="Normal"/>
        <w:spacing w:lineRule="auto" w:line="240" w:before="0" w:after="0"/>
        <w:rPr>
          <w:color w:val="auto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auto"/>
          <w:sz w:val="24"/>
          <w:szCs w:val="24"/>
        </w:rPr>
        <w:t>starostka obce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Obec Gôtovany</w:t>
    </w:r>
  </w:p>
  <w:p>
    <w:pPr>
      <w:pStyle w:val="Header"/>
      <w:jc w:val="center"/>
      <w:rPr/>
    </w:pPr>
    <w:r>
      <w:rPr>
        <w:rFonts w:cs="Times New Roman" w:ascii="Times New Roman" w:hAnsi="Times New Roman"/>
        <w:sz w:val="20"/>
        <w:szCs w:val="20"/>
      </w:rPr>
      <w:t>Poznámky konsolidovanej účtovnej závierky zostavenej k 31.12.202</w:t>
    </w:r>
    <w:r>
      <w:rPr>
        <w:rFonts w:cs="Times New Roman" w:ascii="Times New Roman" w:hAnsi="Times New Roman"/>
        <w:sz w:val="20"/>
        <w:szCs w:val="20"/>
      </w:rPr>
      <w:t>3</w:t>
    </w:r>
  </w:p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>
        <w:rFonts w:cs="Times New Roman" w:ascii="Times New Roman" w:hAnsi="Times New Roman"/>
        <w:sz w:val="20"/>
        <w:szCs w:val="20"/>
      </w:rPr>
      <w:t>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201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307"/>
      <w:color w:val="auto"/>
      <w:kern w:val="0"/>
      <w:sz w:val="22"/>
      <w:szCs w:val="22"/>
      <w:lang w:val="sk-SK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e201a"/>
    <w:rPr>
      <w:rFonts w:ascii="Symbol" w:hAnsi="Symbol" w:cs="Symbol"/>
    </w:rPr>
  </w:style>
  <w:style w:type="character" w:styleId="WW8Num1z1" w:customStyle="1">
    <w:name w:val="WW8Num1z1"/>
    <w:qFormat/>
    <w:rsid w:val="00be201a"/>
    <w:rPr>
      <w:rFonts w:ascii="Courier New" w:hAnsi="Courier New" w:cs="Courier New"/>
    </w:rPr>
  </w:style>
  <w:style w:type="character" w:styleId="WW8Num1z2" w:customStyle="1">
    <w:name w:val="WW8Num1z2"/>
    <w:qFormat/>
    <w:rsid w:val="00be201a"/>
    <w:rPr>
      <w:rFonts w:ascii="Wingdings" w:hAnsi="Wingdings" w:cs="Wingdings"/>
    </w:rPr>
  </w:style>
  <w:style w:type="character" w:styleId="WW8Num2z0" w:customStyle="1">
    <w:name w:val="WW8Num2z0"/>
    <w:qFormat/>
    <w:rsid w:val="00be201a"/>
    <w:rPr/>
  </w:style>
  <w:style w:type="character" w:styleId="WW8Num2z1" w:customStyle="1">
    <w:name w:val="WW8Num2z1"/>
    <w:qFormat/>
    <w:rsid w:val="00be201a"/>
    <w:rPr/>
  </w:style>
  <w:style w:type="character" w:styleId="WW8Num2z2" w:customStyle="1">
    <w:name w:val="WW8Num2z2"/>
    <w:qFormat/>
    <w:rsid w:val="00be201a"/>
    <w:rPr/>
  </w:style>
  <w:style w:type="character" w:styleId="WW8Num2z3" w:customStyle="1">
    <w:name w:val="WW8Num2z3"/>
    <w:qFormat/>
    <w:rsid w:val="00be201a"/>
    <w:rPr/>
  </w:style>
  <w:style w:type="character" w:styleId="WW8Num2z4" w:customStyle="1">
    <w:name w:val="WW8Num2z4"/>
    <w:qFormat/>
    <w:rsid w:val="00be201a"/>
    <w:rPr/>
  </w:style>
  <w:style w:type="character" w:styleId="WW8Num2z5" w:customStyle="1">
    <w:name w:val="WW8Num2z5"/>
    <w:qFormat/>
    <w:rsid w:val="00be201a"/>
    <w:rPr/>
  </w:style>
  <w:style w:type="character" w:styleId="WW8Num2z6" w:customStyle="1">
    <w:name w:val="WW8Num2z6"/>
    <w:qFormat/>
    <w:rsid w:val="00be201a"/>
    <w:rPr/>
  </w:style>
  <w:style w:type="character" w:styleId="WW8Num2z7" w:customStyle="1">
    <w:name w:val="WW8Num2z7"/>
    <w:qFormat/>
    <w:rsid w:val="00be201a"/>
    <w:rPr/>
  </w:style>
  <w:style w:type="character" w:styleId="WW8Num2z8" w:customStyle="1">
    <w:name w:val="WW8Num2z8"/>
    <w:qFormat/>
    <w:rsid w:val="00be201a"/>
    <w:rPr/>
  </w:style>
  <w:style w:type="character" w:styleId="Standardnpsmoodstavce1" w:customStyle="1">
    <w:name w:val="Standardní písmo odstavce1"/>
    <w:qFormat/>
    <w:rsid w:val="00be201a"/>
    <w:rPr/>
  </w:style>
  <w:style w:type="character" w:styleId="ZhlavChar" w:customStyle="1">
    <w:name w:val="Záhlaví Char"/>
    <w:basedOn w:val="Standardnpsmoodstavce1"/>
    <w:qFormat/>
    <w:rsid w:val="00be201a"/>
    <w:rPr/>
  </w:style>
  <w:style w:type="character" w:styleId="ZpatChar" w:customStyle="1">
    <w:name w:val="Zápatí Char"/>
    <w:basedOn w:val="Standardnpsmoodstavce1"/>
    <w:qFormat/>
    <w:rsid w:val="00be201a"/>
    <w:rPr/>
  </w:style>
  <w:style w:type="character" w:styleId="Odrky" w:customStyle="1">
    <w:name w:val="Odrážky"/>
    <w:qFormat/>
    <w:rsid w:val="00be201a"/>
    <w:rPr>
      <w:rFonts w:ascii="OpenSymbol" w:hAnsi="OpenSymbol" w:eastAsia="OpenSymbol" w:cs="OpenSymbol"/>
    </w:rPr>
  </w:style>
  <w:style w:type="character" w:styleId="TextbublinyChar" w:customStyle="1">
    <w:name w:val="Text bubliny Char"/>
    <w:basedOn w:val="DefaultParagraphFont"/>
    <w:uiPriority w:val="99"/>
    <w:semiHidden/>
    <w:qFormat/>
    <w:rsid w:val="00011f48"/>
    <w:rPr>
      <w:rFonts w:ascii="Segoe UI" w:hAnsi="Segoe UI" w:eastAsia="SimSun" w:cs="Segoe UI"/>
      <w:sz w:val="18"/>
      <w:szCs w:val="18"/>
      <w:lang w:eastAsia="ar-SA"/>
    </w:rPr>
  </w:style>
  <w:style w:type="paragraph" w:styleId="Nadpis" w:customStyle="1">
    <w:name w:val="Nadpis"/>
    <w:basedOn w:val="Normal"/>
    <w:next w:val="BodyText"/>
    <w:qFormat/>
    <w:rsid w:val="00be201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rsid w:val="00be201a"/>
    <w:pPr>
      <w:spacing w:before="0" w:after="120"/>
    </w:pPr>
    <w:rPr/>
  </w:style>
  <w:style w:type="paragraph" w:styleId="List">
    <w:name w:val="List"/>
    <w:basedOn w:val="BodyText"/>
    <w:rsid w:val="00be201a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be201a"/>
    <w:pPr>
      <w:suppressLineNumbers/>
    </w:pPr>
    <w:rPr>
      <w:rFonts w:cs="Mangal"/>
    </w:rPr>
  </w:style>
  <w:style w:type="paragraph" w:styleId="Popisok" w:customStyle="1">
    <w:name w:val="Popisok"/>
    <w:basedOn w:val="Normal"/>
    <w:qFormat/>
    <w:rsid w:val="00be20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rsid w:val="00be201a"/>
    <w:pPr>
      <w:suppressLineNumbers/>
      <w:tabs>
        <w:tab w:val="clear" w:pos="708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Footer">
    <w:name w:val="Footer"/>
    <w:basedOn w:val="Normal"/>
    <w:rsid w:val="00be201a"/>
    <w:pPr>
      <w:suppressLineNumbers/>
      <w:tabs>
        <w:tab w:val="clear" w:pos="708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Odstavecseseznamem1" w:customStyle="1">
    <w:name w:val="Odstavec se seznamem1"/>
    <w:basedOn w:val="Normal"/>
    <w:qFormat/>
    <w:rsid w:val="00be201a"/>
    <w:pPr>
      <w:ind w:hanging="0" w:left="720"/>
    </w:pPr>
    <w:rPr/>
  </w:style>
  <w:style w:type="paragraph" w:styleId="Obsahtabuky" w:customStyle="1">
    <w:name w:val="Obsah tabuľky"/>
    <w:basedOn w:val="Normal"/>
    <w:qFormat/>
    <w:rsid w:val="00be201a"/>
    <w:pPr>
      <w:suppressLineNumbers/>
    </w:pPr>
    <w:rPr/>
  </w:style>
  <w:style w:type="paragraph" w:styleId="Nadpistabuky" w:customStyle="1">
    <w:name w:val="Nadpis tabuľky"/>
    <w:basedOn w:val="Obsahtabuky"/>
    <w:qFormat/>
    <w:rsid w:val="00be201a"/>
    <w:pPr>
      <w:jc w:val="center"/>
    </w:pPr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11f4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6465-3A04-445A-A0D1-9B36488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Application>LibreOffice/7.6.3.2$Windows_X86_64 LibreOffice_project/29d686fea9f6705b262d369fede658f824154cc0</Application>
  <AppVersion>15.0000</AppVersion>
  <Pages>6</Pages>
  <Words>1588</Words>
  <Characters>9583</Characters>
  <CharactersWithSpaces>11123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2016-06-14T09:44:00Z</dcterms:created>
  <dc:creator>PC</dc:creator>
  <dc:description/>
  <dc:language>sk-SK</dc:language>
  <cp:lastModifiedBy/>
  <cp:lastPrinted>2022-06-09T07:29:00Z</cp:lastPrinted>
  <dcterms:modified xsi:type="dcterms:W3CDTF">2024-06-17T16:33:16Z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