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Cs/>
          <w:color w:val="C9211E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C9211E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Poznámky konsolidovanej účtovnej závierky obce Gôtovany</w:t>
      </w:r>
    </w:p>
    <w:p>
      <w:pPr>
        <w:pStyle w:val="Normal"/>
        <w:spacing w:lineRule="atLeast" w:line="100" w:before="0" w:after="0"/>
        <w:jc w:val="center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zostavenej k 31. decembru 2023</w:t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Čl. I.</w:t>
      </w:r>
    </w:p>
    <w:p>
      <w:pPr>
        <w:pStyle w:val="Normal"/>
        <w:jc w:val="center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VŠEOBECNÉ ÚDAJE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b/>
          <w:bCs/>
          <w:i/>
          <w:iCs/>
          <w:color w:val="auto"/>
          <w:sz w:val="24"/>
          <w:szCs w:val="24"/>
        </w:rPr>
        <w:t>Identifikačné údaje konsolidujúcej účtovnej jednotky</w:t>
      </w:r>
    </w:p>
    <w:tbl>
      <w:tblPr>
        <w:tblW w:w="9189" w:type="dxa"/>
        <w:jc w:val="left"/>
        <w:tblInd w:w="-5" w:type="dxa"/>
        <w:tblLayout w:type="fixed"/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5637"/>
        <w:gridCol w:w="3551"/>
      </w:tblGrid>
      <w:tr>
        <w:trPr/>
        <w:tc>
          <w:tcPr>
            <w:tcW w:w="5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D9D9D9" w:val="clear"/>
          </w:tcPr>
          <w:p>
            <w:pPr>
              <w:pStyle w:val="Normal"/>
              <w:spacing w:lineRule="atLeast" w:line="100" w:before="0" w:after="0"/>
              <w:rPr>
                <w:color w:val="auto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20"/>
                <w:szCs w:val="24"/>
              </w:rPr>
              <w:t>Názov konsolidujúcej účtovnej jednotky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  <w:vAlign w:val="center"/>
          </w:tcPr>
          <w:p>
            <w:pPr>
              <w:pStyle w:val="Normal"/>
              <w:spacing w:lineRule="atLeast" w:line="100" w:before="0" w:after="0"/>
              <w:ind w:hanging="0" w:left="-109"/>
              <w:rPr>
                <w:color w:val="auto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24"/>
                <w:szCs w:val="24"/>
              </w:rPr>
              <w:t xml:space="preserve">   </w:t>
            </w:r>
            <w:r>
              <w:rPr>
                <w:rFonts w:cs="Times New Roman" w:ascii="Times New Roman" w:hAnsi="Times New Roman"/>
                <w:b/>
                <w:bCs/>
                <w:color w:val="auto"/>
                <w:sz w:val="24"/>
                <w:szCs w:val="24"/>
              </w:rPr>
              <w:t>Obec Gôtovany</w:t>
            </w:r>
          </w:p>
        </w:tc>
      </w:tr>
      <w:tr>
        <w:trPr/>
        <w:tc>
          <w:tcPr>
            <w:tcW w:w="5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auto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20"/>
                <w:szCs w:val="24"/>
              </w:rPr>
              <w:t>Sídlo konsolidujúcej účtovnej jednotky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tLeast" w:line="100" w:before="0" w:after="0"/>
              <w:ind w:hanging="709" w:left="741"/>
              <w:rPr>
                <w:color w:val="auto"/>
              </w:rPr>
            </w:pPr>
            <w:r>
              <w:rPr>
                <w:rFonts w:cs="Times New Roman" w:ascii="Times New Roman" w:hAnsi="Times New Roman"/>
                <w:color w:val="auto"/>
                <w:sz w:val="24"/>
                <w:szCs w:val="24"/>
              </w:rPr>
              <w:t>Gôtovany 45, 032 14</w:t>
            </w:r>
          </w:p>
        </w:tc>
      </w:tr>
      <w:tr>
        <w:trPr/>
        <w:tc>
          <w:tcPr>
            <w:tcW w:w="5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auto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20"/>
                <w:szCs w:val="24"/>
              </w:rPr>
              <w:t>IČO konsolidujúcej účtovnej jednotky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tLeast" w:line="100" w:before="0" w:after="0"/>
              <w:ind w:hanging="709" w:left="741"/>
              <w:rPr>
                <w:color w:val="auto"/>
              </w:rPr>
            </w:pPr>
            <w:r>
              <w:rPr>
                <w:rFonts w:cs="Times New Roman" w:ascii="Times New Roman" w:hAnsi="Times New Roman"/>
                <w:b/>
                <w:color w:val="auto"/>
                <w:sz w:val="24"/>
                <w:szCs w:val="24"/>
              </w:rPr>
              <w:t>00315192</w:t>
            </w:r>
          </w:p>
        </w:tc>
      </w:tr>
      <w:tr>
        <w:trPr/>
        <w:tc>
          <w:tcPr>
            <w:tcW w:w="5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auto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20"/>
                <w:szCs w:val="24"/>
              </w:rPr>
              <w:t>Dátum založenia, vzniku konsolidujúcej účtovnej jednotky</w:t>
            </w:r>
          </w:p>
        </w:tc>
        <w:tc>
          <w:tcPr>
            <w:tcW w:w="3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tLeast" w:line="100" w:before="0" w:after="0"/>
              <w:ind w:hanging="709" w:left="741"/>
              <w:rPr>
                <w:color w:val="auto"/>
              </w:rPr>
            </w:pPr>
            <w:r>
              <w:rPr>
                <w:rFonts w:cs="Times New Roman" w:ascii="Times New Roman" w:hAnsi="Times New Roman"/>
                <w:bCs/>
                <w:color w:val="auto"/>
                <w:sz w:val="24"/>
                <w:szCs w:val="24"/>
              </w:rPr>
              <w:t>01.01.1990</w:t>
            </w:r>
          </w:p>
        </w:tc>
      </w:tr>
    </w:tbl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Cs/>
          <w:i/>
          <w:i/>
          <w:i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i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b/>
          <w:bCs/>
          <w:i/>
          <w:iCs/>
          <w:color w:val="auto"/>
          <w:sz w:val="24"/>
          <w:szCs w:val="24"/>
        </w:rPr>
        <w:t>Identifikačné údaje o konsolidovaných účtovných jednotkách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Konsolidovaný celok Obce Gôtovany sa v roku 202</w:t>
      </w:r>
      <w:r>
        <w:rPr>
          <w:rFonts w:cs="Times New Roman" w:ascii="Times New Roman" w:hAnsi="Times New Roman"/>
          <w:color w:val="auto"/>
          <w:sz w:val="24"/>
          <w:szCs w:val="24"/>
        </w:rPr>
        <w:t>3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oproti minulým účtovným obdobiam nezmenil.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Obec Gôtovany má v zriaďovateľskej pôsobnosti rozpočtovú organizáciu (RO):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tbl>
      <w:tblPr>
        <w:tblW w:w="9221" w:type="dxa"/>
        <w:jc w:val="left"/>
        <w:tblInd w:w="-5" w:type="dxa"/>
        <w:tblLayout w:type="fixed"/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5635"/>
        <w:gridCol w:w="3585"/>
      </w:tblGrid>
      <w:tr>
        <w:trPr/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D9D9D9" w:val="clear"/>
          </w:tcPr>
          <w:p>
            <w:pPr>
              <w:pStyle w:val="Normal"/>
              <w:spacing w:lineRule="atLeast" w:line="100" w:before="0" w:after="0"/>
              <w:rPr>
                <w:color w:val="auto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20"/>
                <w:szCs w:val="24"/>
              </w:rPr>
              <w:t>Názov konsolidovanej účtovnej jednotky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D9D9D9" w:val="clear"/>
          </w:tcPr>
          <w:p>
            <w:pPr>
              <w:pStyle w:val="Normal"/>
              <w:spacing w:lineRule="atLeast" w:line="100" w:before="0" w:after="0"/>
              <w:rPr>
                <w:color w:val="auto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24"/>
                <w:szCs w:val="24"/>
              </w:rPr>
              <w:t>MŠ Gôtovany</w:t>
            </w:r>
          </w:p>
        </w:tc>
      </w:tr>
      <w:tr>
        <w:trPr/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auto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20"/>
                <w:szCs w:val="24"/>
              </w:rPr>
              <w:t>Sídlo konsolidovanej účtovnej jednotky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auto"/>
              </w:rPr>
            </w:pPr>
            <w:r>
              <w:rPr>
                <w:rFonts w:cs="Times New Roman" w:ascii="Times New Roman" w:hAnsi="Times New Roman"/>
                <w:color w:val="auto"/>
                <w:sz w:val="24"/>
                <w:szCs w:val="24"/>
              </w:rPr>
              <w:t>Gôtovany 60, 032 14</w:t>
            </w:r>
          </w:p>
        </w:tc>
      </w:tr>
      <w:tr>
        <w:trPr/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auto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20"/>
                <w:szCs w:val="24"/>
              </w:rPr>
              <w:t>IČO konsolidovanej účtovnej jednotky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auto"/>
              </w:rPr>
            </w:pPr>
            <w:r>
              <w:rPr>
                <w:rFonts w:cs="Times New Roman" w:ascii="Times New Roman" w:hAnsi="Times New Roman"/>
                <w:color w:val="auto"/>
                <w:sz w:val="24"/>
                <w:szCs w:val="24"/>
              </w:rPr>
              <w:t>42213894</w:t>
            </w:r>
          </w:p>
        </w:tc>
      </w:tr>
      <w:tr>
        <w:trPr/>
        <w:tc>
          <w:tcPr>
            <w:tcW w:w="5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auto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20"/>
                <w:szCs w:val="24"/>
              </w:rPr>
              <w:t>Dátum založenia, vzniku konsolidovanej účtovnej jednotky</w:t>
            </w:r>
          </w:p>
        </w:tc>
        <w:tc>
          <w:tcPr>
            <w:tcW w:w="3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auto"/>
              </w:rPr>
            </w:pPr>
            <w:r>
              <w:rPr>
                <w:rFonts w:cs="Times New Roman" w:ascii="Times New Roman" w:hAnsi="Times New Roman"/>
                <w:color w:val="auto"/>
                <w:sz w:val="24"/>
                <w:szCs w:val="24"/>
              </w:rPr>
              <w:t>1.4.2002 (delimitáciou)</w:t>
            </w:r>
          </w:p>
        </w:tc>
      </w:tr>
    </w:tbl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jc w:val="both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Prehľad o účtovných jednotkách konsolidovaného celku je uvedený v prílohe č. 1, v tabuľkovej časti</w:t>
      </w:r>
    </w:p>
    <w:p>
      <w:pPr>
        <w:pStyle w:val="Normal"/>
        <w:jc w:val="both"/>
        <w:rPr>
          <w:rFonts w:ascii="Times New Roman" w:hAnsi="Times New Roman" w:cs="Times New Roman"/>
          <w:i/>
          <w:i/>
          <w:iCs/>
          <w:color w:val="auto"/>
          <w:sz w:val="24"/>
          <w:szCs w:val="24"/>
        </w:rPr>
      </w:pPr>
      <w:r>
        <w:rPr>
          <w:rFonts w:cs="Times New Roman" w:ascii="Times New Roman" w:hAnsi="Times New Roman"/>
          <w:i/>
          <w:iCs/>
          <w:color w:val="auto"/>
          <w:sz w:val="24"/>
          <w:szCs w:val="24"/>
        </w:rPr>
      </w:r>
    </w:p>
    <w:p>
      <w:pPr>
        <w:pStyle w:val="Normal"/>
        <w:jc w:val="both"/>
        <w:rPr>
          <w:color w:val="auto"/>
        </w:rPr>
      </w:pPr>
      <w:r>
        <w:rPr>
          <w:rFonts w:cs="Times New Roman" w:ascii="Times New Roman" w:hAnsi="Times New Roman"/>
          <w:i/>
          <w:iCs/>
          <w:color w:val="auto"/>
          <w:sz w:val="24"/>
          <w:szCs w:val="24"/>
        </w:rPr>
        <w:t>Údaje o konsolidovanom celku</w:t>
      </w:r>
    </w:p>
    <w:p>
      <w:pPr>
        <w:pStyle w:val="Normal"/>
        <w:spacing w:lineRule="atLeast" w:line="100" w:before="0" w:after="0"/>
        <w:jc w:val="both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Konsolidovaná účtovná závierka konsolidovaného celku Obce Gôtovany k 31. decembru 202</w:t>
      </w:r>
      <w:r>
        <w:rPr>
          <w:rFonts w:cs="Times New Roman" w:ascii="Times New Roman" w:hAnsi="Times New Roman"/>
          <w:color w:val="auto"/>
          <w:sz w:val="24"/>
          <w:szCs w:val="24"/>
        </w:rPr>
        <w:t>3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je zostavená ako </w:t>
      </w: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 xml:space="preserve">riadna konsolidovaná účtovná závierka 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podľa zákona č. 431/2002 Z. z. o účtovníctve v znení neskorších predpisov, </w:t>
      </w: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za účtovné obdobie od 1. januára 202</w:t>
      </w: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3</w:t>
      </w: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 xml:space="preserve"> do 31. decembra 202</w:t>
      </w: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3</w:t>
      </w: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.</w:t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jc w:val="both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Obec je súčasťou súhrnného celku verejnej správy Slovenskej republiky.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Cs/>
          <w:i/>
          <w:i/>
          <w:i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i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b/>
          <w:bCs/>
          <w:i/>
          <w:iCs/>
          <w:color w:val="auto"/>
          <w:sz w:val="24"/>
          <w:szCs w:val="24"/>
        </w:rPr>
        <w:t>Informácie o vedúcich predstaviteľoch a o zamestnancoch konsolidovaného celku</w:t>
      </w:r>
    </w:p>
    <w:tbl>
      <w:tblPr>
        <w:tblW w:w="6240" w:type="dxa"/>
        <w:jc w:val="left"/>
        <w:tblInd w:w="1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502"/>
        <w:gridCol w:w="3737"/>
      </w:tblGrid>
      <w:tr>
        <w:trPr/>
        <w:tc>
          <w:tcPr>
            <w:tcW w:w="2502" w:type="dxa"/>
            <w:tcBorders/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auto"/>
              </w:rPr>
            </w:pPr>
            <w:r>
              <w:rPr>
                <w:rFonts w:cs="Times New Roman" w:ascii="Times New Roman" w:hAnsi="Times New Roman"/>
                <w:color w:val="auto"/>
                <w:sz w:val="24"/>
                <w:szCs w:val="24"/>
              </w:rPr>
              <w:t>Starosta obce:</w:t>
            </w:r>
          </w:p>
        </w:tc>
        <w:tc>
          <w:tcPr>
            <w:tcW w:w="3737" w:type="dxa"/>
            <w:tcBorders/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auto"/>
              </w:rPr>
            </w:pPr>
            <w:r>
              <w:rPr>
                <w:rFonts w:cs="Times New Roman" w:ascii="Times New Roman" w:hAnsi="Times New Roman"/>
                <w:color w:val="auto"/>
                <w:sz w:val="24"/>
                <w:szCs w:val="24"/>
              </w:rPr>
              <w:t>Mgr. Andrea Adamčiaková</w:t>
            </w:r>
          </w:p>
        </w:tc>
      </w:tr>
      <w:tr>
        <w:trPr/>
        <w:tc>
          <w:tcPr>
            <w:tcW w:w="2502" w:type="dxa"/>
            <w:tcBorders/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auto"/>
              </w:rPr>
            </w:pPr>
            <w:r>
              <w:rPr>
                <w:rFonts w:cs="Times New Roman" w:ascii="Times New Roman" w:hAnsi="Times New Roman"/>
                <w:color w:val="auto"/>
                <w:sz w:val="24"/>
                <w:szCs w:val="24"/>
              </w:rPr>
              <w:t>Zástupca starostu:</w:t>
            </w:r>
          </w:p>
        </w:tc>
        <w:tc>
          <w:tcPr>
            <w:tcW w:w="3737" w:type="dxa"/>
            <w:tcBorders/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auto"/>
              </w:rPr>
            </w:pPr>
            <w:r>
              <w:rPr>
                <w:rFonts w:cs="Times New Roman" w:ascii="Times New Roman" w:hAnsi="Times New Roman"/>
                <w:color w:val="auto"/>
                <w:sz w:val="24"/>
                <w:szCs w:val="24"/>
              </w:rPr>
              <w:t>Ing. Andrej Lúčan</w:t>
            </w:r>
          </w:p>
        </w:tc>
      </w:tr>
      <w:tr>
        <w:trPr/>
        <w:tc>
          <w:tcPr>
            <w:tcW w:w="2502" w:type="dxa"/>
            <w:tcBorders/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auto"/>
              </w:rPr>
            </w:pPr>
            <w:r>
              <w:rPr>
                <w:rFonts w:cs="Times New Roman" w:ascii="Times New Roman" w:hAnsi="Times New Roman"/>
                <w:color w:val="auto"/>
                <w:sz w:val="24"/>
                <w:szCs w:val="24"/>
              </w:rPr>
              <w:t>Hlavný kontrolór obce</w:t>
            </w:r>
          </w:p>
        </w:tc>
        <w:tc>
          <w:tcPr>
            <w:tcW w:w="3737" w:type="dxa"/>
            <w:tcBorders/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auto"/>
              </w:rPr>
            </w:pPr>
            <w:r>
              <w:rPr>
                <w:rFonts w:cs="Times New Roman" w:ascii="Times New Roman" w:hAnsi="Times New Roman"/>
                <w:color w:val="auto"/>
                <w:sz w:val="24"/>
                <w:szCs w:val="24"/>
              </w:rPr>
              <w:t>PhDr. Desana Stromková</w:t>
            </w:r>
          </w:p>
          <w:p>
            <w:pPr>
              <w:pStyle w:val="Normal"/>
              <w:spacing w:lineRule="atLeast" w:line="100" w:before="0" w:after="0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auto"/>
                <w:sz w:val="24"/>
                <w:szCs w:val="24"/>
              </w:rPr>
            </w:r>
          </w:p>
          <w:p>
            <w:pPr>
              <w:pStyle w:val="Normal"/>
              <w:spacing w:lineRule="atLeast" w:line="100" w:before="0" w:after="0"/>
              <w:rPr>
                <w:color w:val="auto"/>
              </w:rPr>
            </w:pPr>
            <w:r>
              <w:rPr>
                <w:color w:val="auto"/>
              </w:rPr>
            </w:r>
          </w:p>
        </w:tc>
      </w:tr>
      <w:tr>
        <w:trPr/>
        <w:tc>
          <w:tcPr>
            <w:tcW w:w="2502" w:type="dxa"/>
            <w:tcBorders/>
            <w:shd w:fill="auto" w:val="clear"/>
          </w:tcPr>
          <w:p>
            <w:pPr>
              <w:pStyle w:val="Normal"/>
              <w:snapToGrid w:val="false"/>
              <w:spacing w:lineRule="atLeast" w:line="100" w:before="0" w:after="0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auto"/>
                <w:sz w:val="24"/>
                <w:szCs w:val="24"/>
              </w:rPr>
            </w:r>
          </w:p>
        </w:tc>
        <w:tc>
          <w:tcPr>
            <w:tcW w:w="3737" w:type="dxa"/>
            <w:tcBorders/>
            <w:shd w:fill="auto" w:val="clear"/>
          </w:tcPr>
          <w:p>
            <w:pPr>
              <w:pStyle w:val="Normal"/>
              <w:snapToGrid w:val="false"/>
              <w:spacing w:lineRule="atLeast" w:line="100" w:before="0" w:after="0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color w:val="auto"/>
                <w:sz w:val="24"/>
                <w:szCs w:val="24"/>
              </w:rPr>
            </w:r>
          </w:p>
        </w:tc>
      </w:tr>
    </w:tbl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Normal"/>
        <w:keepNext w:val="true"/>
        <w:spacing w:lineRule="auto" w:line="240" w:before="0" w:after="0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 xml:space="preserve">Materská škola </w:t>
      </w:r>
      <w:r>
        <w:rPr>
          <w:rFonts w:cs="Times New Roman" w:ascii="Times New Roman" w:hAnsi="Times New Roman"/>
          <w:bCs/>
          <w:color w:val="auto"/>
          <w:sz w:val="24"/>
          <w:szCs w:val="24"/>
        </w:rPr>
        <w:t>s právnou subjektivitou</w:t>
      </w:r>
    </w:p>
    <w:p>
      <w:pPr>
        <w:pStyle w:val="Normal"/>
        <w:spacing w:lineRule="auto" w:line="240" w:before="0" w:after="0"/>
        <w:jc w:val="both"/>
        <w:rPr>
          <w:color w:val="auto"/>
        </w:rPr>
      </w:pPr>
      <w:r>
        <w:rPr>
          <w:rFonts w:cs="Times New Roman" w:ascii="Times New Roman" w:hAnsi="Times New Roman"/>
          <w:b/>
          <w:bCs/>
          <w:iCs/>
          <w:color w:val="auto"/>
          <w:sz w:val="24"/>
          <w:szCs w:val="24"/>
        </w:rPr>
        <w:t>Riaditeľka</w:t>
      </w:r>
      <w:r>
        <w:rPr>
          <w:rFonts w:cs="Times New Roman" w:ascii="Times New Roman" w:hAnsi="Times New Roman"/>
          <w:b/>
          <w:bCs/>
          <w:i/>
          <w:iCs/>
          <w:color w:val="auto"/>
          <w:sz w:val="24"/>
          <w:szCs w:val="24"/>
        </w:rPr>
        <w:t>:</w:t>
      </w:r>
      <w:r>
        <w:rPr>
          <w:rFonts w:cs="Times New Roman" w:ascii="Times New Roman" w:hAnsi="Times New Roman"/>
          <w:i/>
          <w:color w:val="auto"/>
          <w:sz w:val="24"/>
          <w:szCs w:val="24"/>
        </w:rPr>
        <w:t xml:space="preserve"> </w:t>
      </w:r>
      <w:r>
        <w:rPr>
          <w:rFonts w:cs="Times New Roman" w:ascii="Times New Roman" w:hAnsi="Times New Roman"/>
          <w:color w:val="auto"/>
          <w:sz w:val="24"/>
          <w:szCs w:val="24"/>
        </w:rPr>
        <w:t>Mgr. Miriam Čupková</w:t>
      </w:r>
    </w:p>
    <w:p>
      <w:pPr>
        <w:pStyle w:val="Normal"/>
        <w:spacing w:lineRule="auto" w:line="240" w:before="0" w:after="0"/>
        <w:jc w:val="both"/>
        <w:rPr>
          <w:color w:val="auto"/>
        </w:rPr>
      </w:pPr>
      <w:r>
        <w:rPr>
          <w:rFonts w:cs="Times New Roman" w:ascii="Times New Roman" w:hAnsi="Times New Roman"/>
          <w:b/>
          <w:bCs/>
          <w:iCs/>
          <w:color w:val="auto"/>
          <w:sz w:val="24"/>
          <w:szCs w:val="24"/>
        </w:rPr>
        <w:t>Počet žiakov: 34</w:t>
      </w:r>
    </w:p>
    <w:p>
      <w:pPr>
        <w:pStyle w:val="Normal"/>
        <w:spacing w:lineRule="auto" w:line="240" w:before="0" w:after="0"/>
        <w:jc w:val="both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Materská škola v Gôtovanoch hospodári s vlastnými  finančnými prostriedkami a je napojená na rozpočet obce.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tbl>
      <w:tblPr>
        <w:tblW w:w="9401" w:type="dxa"/>
        <w:jc w:val="left"/>
        <w:tblInd w:w="-5" w:type="dxa"/>
        <w:tblLayout w:type="fixed"/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659"/>
        <w:gridCol w:w="3626"/>
        <w:gridCol w:w="2116"/>
      </w:tblGrid>
      <w:tr>
        <w:trPr>
          <w:trHeight w:val="753" w:hRule="atLeast"/>
        </w:trPr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tLeast" w:line="100" w:before="0" w:after="0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18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18"/>
                <w:szCs w:val="24"/>
              </w:rPr>
            </w:r>
          </w:p>
          <w:p>
            <w:pPr>
              <w:pStyle w:val="Normal"/>
              <w:spacing w:lineRule="atLeast" w:line="100" w:before="0" w:after="0"/>
              <w:jc w:val="center"/>
              <w:rPr>
                <w:color w:val="auto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18"/>
                <w:szCs w:val="24"/>
              </w:rPr>
              <w:t>Organizácia – účtovná jednotka</w:t>
            </w:r>
          </w:p>
          <w:p>
            <w:pPr>
              <w:pStyle w:val="Normal"/>
              <w:spacing w:lineRule="atLeast" w:line="100" w:before="0" w:after="0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18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18"/>
                <w:szCs w:val="24"/>
              </w:rPr>
            </w:r>
          </w:p>
          <w:p>
            <w:pPr>
              <w:pStyle w:val="Normal"/>
              <w:spacing w:lineRule="atLeast" w:line="100" w:before="0" w:after="0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18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18"/>
                <w:szCs w:val="24"/>
              </w:rPr>
            </w:r>
          </w:p>
        </w:tc>
        <w:tc>
          <w:tcPr>
            <w:tcW w:w="3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ind w:hanging="0" w:left="400"/>
              <w:jc w:val="center"/>
              <w:rPr>
                <w:color w:val="auto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18"/>
                <w:szCs w:val="24"/>
              </w:rPr>
              <w:t>priemerný počet zamestnancov</w:t>
            </w:r>
          </w:p>
          <w:p>
            <w:pPr>
              <w:pStyle w:val="Normal"/>
              <w:spacing w:lineRule="atLeast" w:line="100" w:before="0" w:after="0"/>
              <w:ind w:hanging="0" w:left="373"/>
              <w:jc w:val="center"/>
              <w:rPr>
                <w:color w:val="auto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18"/>
                <w:szCs w:val="24"/>
              </w:rPr>
              <w:t>konsolidovaného celku počas</w:t>
            </w:r>
          </w:p>
          <w:p>
            <w:pPr>
              <w:pStyle w:val="Normal"/>
              <w:spacing w:lineRule="atLeast" w:line="100" w:before="0" w:after="0"/>
              <w:ind w:hanging="0" w:left="373"/>
              <w:jc w:val="center"/>
              <w:rPr>
                <w:color w:val="auto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18"/>
                <w:szCs w:val="24"/>
              </w:rPr>
              <w:t>účtovného obdobia</w:t>
            </w:r>
          </w:p>
        </w:tc>
        <w:tc>
          <w:tcPr>
            <w:tcW w:w="2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lineRule="atLeast" w:line="100" w:before="0" w:after="0"/>
              <w:ind w:hanging="0" w:left="579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18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18"/>
                <w:szCs w:val="24"/>
              </w:rPr>
            </w:r>
          </w:p>
          <w:p>
            <w:pPr>
              <w:pStyle w:val="Normal"/>
              <w:spacing w:lineRule="atLeast" w:line="100" w:before="0" w:after="0"/>
              <w:jc w:val="center"/>
              <w:rPr>
                <w:color w:val="auto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18"/>
                <w:szCs w:val="24"/>
              </w:rPr>
              <w:t>Z toho riadiacich</w:t>
            </w:r>
          </w:p>
        </w:tc>
      </w:tr>
      <w:tr>
        <w:trPr/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auto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24"/>
                <w:szCs w:val="24"/>
              </w:rPr>
              <w:t>Obec Gôtovany</w:t>
            </w:r>
          </w:p>
        </w:tc>
        <w:tc>
          <w:tcPr>
            <w:tcW w:w="3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tLeast" w:line="100" w:before="0" w:after="0"/>
              <w:jc w:val="center"/>
              <w:rPr>
                <w:color w:val="auto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tLeast" w:line="100" w:before="0" w:after="0"/>
              <w:jc w:val="center"/>
              <w:rPr>
                <w:color w:val="auto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24"/>
                <w:szCs w:val="24"/>
              </w:rPr>
              <w:t>1</w:t>
            </w:r>
          </w:p>
        </w:tc>
      </w:tr>
      <w:tr>
        <w:trPr>
          <w:trHeight w:val="121" w:hRule="atLeast"/>
        </w:trPr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auto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24"/>
                <w:szCs w:val="24"/>
              </w:rPr>
              <w:t>Materská škola</w:t>
            </w:r>
          </w:p>
        </w:tc>
        <w:tc>
          <w:tcPr>
            <w:tcW w:w="3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tLeast" w:line="100" w:before="0" w:after="0"/>
              <w:jc w:val="center"/>
              <w:rPr>
                <w:color w:val="auto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24"/>
                <w:szCs w:val="24"/>
              </w:rPr>
              <w:t>4</w:t>
            </w:r>
          </w:p>
        </w:tc>
        <w:tc>
          <w:tcPr>
            <w:tcW w:w="2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tLeast" w:line="100" w:before="0" w:after="0"/>
              <w:jc w:val="center"/>
              <w:rPr>
                <w:color w:val="auto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24"/>
                <w:szCs w:val="24"/>
              </w:rPr>
              <w:t>1</w:t>
            </w:r>
          </w:p>
        </w:tc>
      </w:tr>
      <w:tr>
        <w:trPr>
          <w:trHeight w:val="121" w:hRule="atLeast"/>
        </w:trPr>
        <w:tc>
          <w:tcPr>
            <w:tcW w:w="3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rFonts w:ascii="Times New Roman" w:hAnsi="Times New Roman" w:cs="Times New Roman"/>
                <w:b/>
                <w:bCs/>
                <w:color w:val="auto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24"/>
                <w:szCs w:val="24"/>
              </w:rPr>
            </w:r>
          </w:p>
          <w:p>
            <w:pPr>
              <w:pStyle w:val="Normal"/>
              <w:spacing w:lineRule="atLeast" w:line="100" w:before="0" w:after="0"/>
              <w:rPr>
                <w:color w:val="auto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24"/>
                <w:szCs w:val="24"/>
              </w:rPr>
              <w:t>Celkom</w:t>
            </w:r>
          </w:p>
        </w:tc>
        <w:tc>
          <w:tcPr>
            <w:tcW w:w="3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tLeast" w:line="100" w:before="0" w:after="0"/>
              <w:jc w:val="center"/>
              <w:rPr>
                <w:color w:val="auto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24"/>
                <w:szCs w:val="24"/>
              </w:rPr>
              <w:t>8</w:t>
            </w:r>
          </w:p>
        </w:tc>
        <w:tc>
          <w:tcPr>
            <w:tcW w:w="2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tLeast" w:line="100" w:before="0" w:after="0"/>
              <w:jc w:val="center"/>
              <w:rPr>
                <w:color w:val="auto"/>
              </w:rPr>
            </w:pPr>
            <w:r>
              <w:rPr>
                <w:rFonts w:cs="Times New Roman" w:ascii="Times New Roman" w:hAnsi="Times New Roman"/>
                <w:b/>
                <w:bCs/>
                <w:color w:val="auto"/>
                <w:sz w:val="24"/>
                <w:szCs w:val="24"/>
              </w:rPr>
              <w:t>2</w:t>
            </w:r>
          </w:p>
        </w:tc>
      </w:tr>
    </w:tbl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Cs/>
          <w:i/>
          <w:i/>
          <w:i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i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color w:val="C9211E"/>
          <w:sz w:val="24"/>
          <w:szCs w:val="24"/>
        </w:rPr>
      </w:pPr>
      <w:r>
        <w:rPr>
          <w:rFonts w:cs="Times New Roman" w:ascii="Times New Roman" w:hAnsi="Times New Roman"/>
          <w:color w:val="C9211E"/>
          <w:sz w:val="24"/>
          <w:szCs w:val="24"/>
        </w:rPr>
      </w:r>
    </w:p>
    <w:p>
      <w:pPr>
        <w:pStyle w:val="Normal"/>
        <w:spacing w:lineRule="atLeast" w:line="100" w:before="0" w:after="0"/>
        <w:jc w:val="both"/>
        <w:rPr>
          <w:color w:val="auto"/>
        </w:rPr>
      </w:pPr>
      <w:r>
        <w:rPr>
          <w:rFonts w:cs="Times New Roman" w:ascii="Times New Roman" w:hAnsi="Times New Roman"/>
          <w:b/>
          <w:bCs/>
          <w:i/>
          <w:iCs/>
          <w:color w:val="auto"/>
          <w:sz w:val="24"/>
          <w:szCs w:val="24"/>
        </w:rPr>
        <w:t>Informácia o splnení predpokladu nepretržitého pokračovania v činnosti účtovnej jednotky</w:t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jc w:val="both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Konsolidovaná účtovná závierka Obce bola zostavená za predpokladu nepretržitého trvania činnosti v súlade so zákonom o účtovníctve a nadväzujúcimi právnymi predpismi</w:t>
      </w:r>
    </w:p>
    <w:p>
      <w:pPr>
        <w:pStyle w:val="Normal"/>
        <w:spacing w:lineRule="atLeast" w:line="100" w:before="0" w:after="0"/>
        <w:jc w:val="both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.</w:t>
      </w:r>
    </w:p>
    <w:p>
      <w:pPr>
        <w:pStyle w:val="Normal"/>
        <w:spacing w:lineRule="atLeast" w:line="100" w:before="0" w:after="0"/>
        <w:jc w:val="both"/>
        <w:rPr>
          <w:color w:val="auto"/>
        </w:rPr>
      </w:pPr>
      <w:r>
        <w:rPr>
          <w:rFonts w:cs="Times New Roman" w:ascii="Times New Roman" w:hAnsi="Times New Roman"/>
          <w:b/>
          <w:bCs/>
          <w:i/>
          <w:iCs/>
          <w:color w:val="auto"/>
          <w:sz w:val="24"/>
          <w:szCs w:val="24"/>
        </w:rPr>
        <w:t>Informácie o metódach oceňovania použitých pri ocenení jednotlivých položiek konsolidovanej účtovnej závierky obce Gôtovany</w:t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jc w:val="both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Pri oceňovaní majetku a záväzkov sa uplatňuje zásada opatrnosti. Za základ sa berú všetky</w:t>
      </w:r>
    </w:p>
    <w:p>
      <w:pPr>
        <w:pStyle w:val="Normal"/>
        <w:spacing w:lineRule="atLeast" w:line="100" w:before="0" w:after="0"/>
        <w:jc w:val="both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riziká, straty a zníženia hodnoty, ktoré sa týkajú majetku a záväzkov a sú známe ku dňu</w:t>
      </w:r>
    </w:p>
    <w:p>
      <w:pPr>
        <w:pStyle w:val="Normal"/>
        <w:spacing w:lineRule="atLeast" w:line="100" w:before="0" w:after="0"/>
        <w:jc w:val="both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zostavenia účtovnej závierky.</w:t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 xml:space="preserve">Dlhodobý nehmotný a hmotný majetok nakupovaný </w:t>
      </w:r>
      <w:r>
        <w:rPr>
          <w:rFonts w:cs="Times New Roman" w:ascii="Times New Roman" w:hAnsi="Times New Roman"/>
          <w:color w:val="auto"/>
          <w:sz w:val="24"/>
          <w:szCs w:val="24"/>
        </w:rPr>
        <w:t>sa oceňuje obstarávacou cenou, ktorá zahrňuje cenu, za ktorú sa majetok obstaral ako aj náklady súvisiace s jeho obstaraním (dopravné, montáž a pod.).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 xml:space="preserve">Dlhodobý majetok vytvorený vlastnou činnosťou </w:t>
      </w:r>
      <w:r>
        <w:rPr>
          <w:rFonts w:cs="Times New Roman" w:ascii="Times New Roman" w:hAnsi="Times New Roman"/>
          <w:color w:val="auto"/>
          <w:sz w:val="24"/>
          <w:szCs w:val="24"/>
        </w:rPr>
        <w:t>sa oceňuje vlastnými nákladmi, ktoré predstavujú všetky priame náklady vynaložené na výrobu alebo inú činnosť a všetky</w:t>
      </w:r>
    </w:p>
    <w:p>
      <w:pPr>
        <w:pStyle w:val="Normal"/>
        <w:spacing w:lineRule="atLeast" w:line="100" w:before="0" w:after="0"/>
        <w:ind w:hanging="0" w:left="360"/>
        <w:jc w:val="both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nepriame náklady vzťahujúce sa na výrobu alebo inú činnosť.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 xml:space="preserve">Dlhodobý nehmotný a hmotný majetok získaný bezodplatne </w:t>
      </w:r>
      <w:r>
        <w:rPr>
          <w:rFonts w:cs="Times New Roman" w:ascii="Times New Roman" w:hAnsi="Times New Roman"/>
          <w:color w:val="auto"/>
          <w:sz w:val="24"/>
          <w:szCs w:val="24"/>
        </w:rPr>
        <w:t>sa oceňuje reprodukčnou</w:t>
      </w:r>
    </w:p>
    <w:p>
      <w:pPr>
        <w:pStyle w:val="Normal"/>
        <w:spacing w:lineRule="atLeast" w:line="100" w:before="0" w:after="0"/>
        <w:ind w:hanging="0" w:left="360"/>
        <w:jc w:val="both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obstarávacou cenou, teda cenou, za ktorú by sa majetok obstaral v čase, keď sa o ňom</w:t>
      </w:r>
    </w:p>
    <w:p>
      <w:pPr>
        <w:pStyle w:val="Normal"/>
        <w:spacing w:lineRule="atLeast" w:line="100" w:before="0" w:after="0"/>
        <w:ind w:hanging="0" w:left="360"/>
        <w:jc w:val="both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účtuje.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 xml:space="preserve">Dlhodobý majetok nadobudnutý prevodom správy </w:t>
      </w:r>
      <w:r>
        <w:rPr>
          <w:rFonts w:cs="Times New Roman" w:ascii="Times New Roman" w:hAnsi="Times New Roman"/>
          <w:color w:val="auto"/>
          <w:sz w:val="24"/>
          <w:szCs w:val="24"/>
        </w:rPr>
        <w:t>sa oceňuje cenou, v ktorej sa doteraz viedol v účtovníctve.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 xml:space="preserve">Dlhodobý finančný majetok </w:t>
      </w:r>
      <w:r>
        <w:rPr>
          <w:rFonts w:cs="Times New Roman" w:ascii="Times New Roman" w:hAnsi="Times New Roman"/>
          <w:color w:val="auto"/>
          <w:sz w:val="24"/>
          <w:szCs w:val="24"/>
        </w:rPr>
        <w:t>sa oceňuje obstarávacou cenou.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 xml:space="preserve">Nakupované zásoby </w:t>
      </w:r>
      <w:r>
        <w:rPr>
          <w:rFonts w:cs="Times New Roman" w:ascii="Times New Roman" w:hAnsi="Times New Roman"/>
          <w:color w:val="auto"/>
          <w:sz w:val="24"/>
          <w:szCs w:val="24"/>
        </w:rPr>
        <w:t>sa oceňujú obstarávacou cenou, ktorá zahrňuje cenu, za ktorú sa</w:t>
      </w:r>
    </w:p>
    <w:p>
      <w:pPr>
        <w:pStyle w:val="Normal"/>
        <w:spacing w:lineRule="atLeast" w:line="100" w:before="0" w:after="0"/>
        <w:ind w:hanging="0" w:left="360"/>
        <w:jc w:val="both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majetok obstaral ako aj náklady súvisiace s jeho obstaraním (napr.: prepravné,  provízia,</w:t>
      </w:r>
    </w:p>
    <w:p>
      <w:pPr>
        <w:pStyle w:val="Normal"/>
        <w:spacing w:lineRule="atLeast" w:line="100" w:before="0" w:after="0"/>
        <w:ind w:hanging="0" w:left="360"/>
        <w:jc w:val="both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poistné a zľavy).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 xml:space="preserve">Zásoby vytvorené vlastnou činnosťou </w:t>
      </w:r>
      <w:r>
        <w:rPr>
          <w:rFonts w:cs="Times New Roman" w:ascii="Times New Roman" w:hAnsi="Times New Roman"/>
          <w:color w:val="auto"/>
          <w:sz w:val="24"/>
          <w:szCs w:val="24"/>
        </w:rPr>
        <w:t>sa oceňujú vlastnými nákladmi, ktoré predstavujú všetky priame náklady vynaložené na tvorbu zásob ako aj časťou nepriamych nákladov, ktoré sa k tvorbe zásob vzťahujú.</w:t>
      </w:r>
    </w:p>
    <w:p>
      <w:pPr>
        <w:pStyle w:val="Odstavecseseznamem1"/>
        <w:spacing w:lineRule="atLeast" w:line="100" w:before="0" w:after="0"/>
        <w:ind w:hanging="0" w:left="0"/>
        <w:jc w:val="both"/>
        <w:rPr>
          <w:rFonts w:ascii="Times New Roman" w:hAnsi="Times New Roman" w:cs="Times New Roman"/>
          <w:b/>
          <w:bCs/>
          <w:color w:val="C9211E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C9211E"/>
          <w:sz w:val="24"/>
          <w:szCs w:val="24"/>
        </w:rPr>
      </w:r>
    </w:p>
    <w:p>
      <w:pPr>
        <w:pStyle w:val="Odstavecseseznamem1"/>
        <w:spacing w:lineRule="atLeast" w:line="100" w:before="0" w:after="0"/>
        <w:ind w:hanging="0" w:left="0"/>
        <w:jc w:val="both"/>
        <w:rPr>
          <w:rFonts w:ascii="Times New Roman" w:hAnsi="Times New Roman" w:cs="Times New Roman"/>
          <w:b/>
          <w:bCs/>
          <w:color w:val="C9211E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C9211E"/>
          <w:sz w:val="24"/>
          <w:szCs w:val="24"/>
        </w:rPr>
      </w:r>
    </w:p>
    <w:p>
      <w:pPr>
        <w:pStyle w:val="Odstavecseseznamem1"/>
        <w:spacing w:lineRule="atLeast" w:line="100" w:before="0" w:after="0"/>
        <w:ind w:hanging="0" w:left="0"/>
        <w:jc w:val="both"/>
        <w:rPr>
          <w:rFonts w:ascii="Times New Roman" w:hAnsi="Times New Roman" w:cs="Times New Roman"/>
          <w:b/>
          <w:bCs/>
          <w:color w:val="C9211E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C9211E"/>
          <w:sz w:val="24"/>
          <w:szCs w:val="24"/>
        </w:rPr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 xml:space="preserve">Cenné papiere a podiely </w:t>
      </w:r>
      <w:r>
        <w:rPr>
          <w:rFonts w:cs="Times New Roman" w:ascii="Times New Roman" w:hAnsi="Times New Roman"/>
          <w:color w:val="auto"/>
          <w:sz w:val="24"/>
          <w:szCs w:val="24"/>
        </w:rPr>
        <w:t>sa oceňujú obstarávacími cenami, vrátane nákladov súvisiacich  s obstaraním.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 xml:space="preserve">Pohľadávky </w:t>
      </w:r>
      <w:r>
        <w:rPr>
          <w:rFonts w:cs="Times New Roman" w:ascii="Times New Roman" w:hAnsi="Times New Roman"/>
          <w:color w:val="auto"/>
          <w:sz w:val="24"/>
          <w:szCs w:val="24"/>
        </w:rPr>
        <w:t>sa pri ich vzniku sa oceňujú menovitou hodnotou.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 xml:space="preserve">Krátkodobý finančný majetok - peňažné prostriedky a ceniny 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sa oceňujú ich    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menovitou hodnotou.</w:t>
      </w:r>
    </w:p>
    <w:p>
      <w:pPr>
        <w:pStyle w:val="Odstavecseseznamem1"/>
        <w:numPr>
          <w:ilvl w:val="0"/>
          <w:numId w:val="1"/>
        </w:numPr>
        <w:jc w:val="both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 xml:space="preserve">Záväzky </w:t>
      </w:r>
      <w:r>
        <w:rPr>
          <w:rFonts w:cs="Times New Roman" w:ascii="Times New Roman" w:hAnsi="Times New Roman"/>
          <w:color w:val="auto"/>
          <w:sz w:val="24"/>
          <w:szCs w:val="24"/>
        </w:rPr>
        <w:t>sa pri ich vzniku sa oceňujú menovitou hodnotou.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 xml:space="preserve">Záväzky </w:t>
      </w:r>
      <w:r>
        <w:rPr>
          <w:rFonts w:cs="Times New Roman" w:ascii="Times New Roman" w:hAnsi="Times New Roman"/>
          <w:color w:val="auto"/>
          <w:sz w:val="24"/>
          <w:szCs w:val="24"/>
        </w:rPr>
        <w:t>sa pri ich prevzatí oceňujú obstarávacou cenou.</w:t>
      </w:r>
    </w:p>
    <w:p>
      <w:pPr>
        <w:pStyle w:val="Normal"/>
        <w:spacing w:lineRule="atLeast" w:line="100" w:before="0" w:after="0"/>
        <w:ind w:hanging="0" w:left="360"/>
        <w:jc w:val="both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Ak sa pri inventarizácii zistí, že suma záväzkov je iná ako ich výška v účtovníctve, uvedú </w:t>
      </w:r>
    </w:p>
    <w:p>
      <w:pPr>
        <w:pStyle w:val="Normal"/>
        <w:spacing w:lineRule="atLeast" w:line="100" w:before="0" w:after="0"/>
        <w:ind w:hanging="0" w:left="360"/>
        <w:jc w:val="both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sa záväzky v účtovníctve a v účtovnej závierke v tomto zistenom ocenení.</w:t>
      </w:r>
    </w:p>
    <w:p>
      <w:pPr>
        <w:pStyle w:val="Odstavecseseznamem1"/>
        <w:numPr>
          <w:ilvl w:val="0"/>
          <w:numId w:val="1"/>
        </w:numPr>
        <w:spacing w:lineRule="atLeast" w:line="100" w:before="0" w:after="0"/>
        <w:jc w:val="both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 xml:space="preserve">Majetok obstaraný z transferov </w:t>
      </w:r>
      <w:r>
        <w:rPr>
          <w:rFonts w:cs="Times New Roman" w:ascii="Times New Roman" w:hAnsi="Times New Roman"/>
          <w:color w:val="auto"/>
          <w:sz w:val="24"/>
          <w:szCs w:val="24"/>
        </w:rPr>
        <w:t>sa oceňuje obstarávacou cenou.</w:t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Čl. II.</w:t>
      </w:r>
    </w:p>
    <w:p>
      <w:pPr>
        <w:pStyle w:val="Normal"/>
        <w:spacing w:lineRule="atLeast" w:line="100" w:before="0" w:after="0"/>
        <w:jc w:val="center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INFORMÁCIE O METÓDACH A POSTUPOCH KONSOLIDÁCIE</w:t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jc w:val="both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Konsolidovaná účtovná závierka Obce bola zostavená v súlade so zákonom č. 431/2002 Z. z.</w:t>
      </w:r>
    </w:p>
    <w:p>
      <w:pPr>
        <w:pStyle w:val="Normal"/>
        <w:spacing w:lineRule="atLeast" w:line="100" w:before="0" w:after="0"/>
        <w:jc w:val="both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o účtovníctve v znení neskorších predpisov a v súlade s Opatrením Ministerstva financií Slovenskej republiky zo dňa 17. decembra 2008 č. MF/27526/2008 – 31, ktorým sa ustanovujú podrobnosti o metódach a postupoch konsolidácie vo verejnej správe a podrobnosti o usporiadaní a označovaní položiek konsolidovanej účtovnej závierky vo verejnej správe v znení neskorších predpisov.</w:t>
      </w:r>
    </w:p>
    <w:p>
      <w:pPr>
        <w:pStyle w:val="Normal"/>
        <w:spacing w:lineRule="atLeast" w:line="100" w:before="0" w:after="0"/>
        <w:jc w:val="both"/>
        <w:rPr>
          <w:rFonts w:ascii="Times New Roman" w:hAnsi="Times New Roman" w:cs="Times New Roman"/>
          <w:color w:val="C9211E"/>
          <w:sz w:val="24"/>
          <w:szCs w:val="24"/>
        </w:rPr>
      </w:pPr>
      <w:r>
        <w:rPr>
          <w:rFonts w:cs="Times New Roman" w:ascii="Times New Roman" w:hAnsi="Times New Roman"/>
          <w:color w:val="C9211E"/>
          <w:sz w:val="24"/>
          <w:szCs w:val="24"/>
        </w:rPr>
      </w:r>
    </w:p>
    <w:p>
      <w:pPr>
        <w:pStyle w:val="Normal"/>
        <w:spacing w:lineRule="atLeast" w:line="100" w:before="0" w:after="0"/>
        <w:jc w:val="both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V rámci konsolidácie konsolidovaného celku obce Gôtovany boli eliminované vzájomné pohľadávky, záväzky, náklady a výnosy.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Cs/>
          <w:i/>
          <w:i/>
          <w:i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i/>
          <w:i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b/>
          <w:bCs/>
          <w:i/>
          <w:iCs/>
          <w:color w:val="auto"/>
          <w:sz w:val="24"/>
          <w:szCs w:val="24"/>
        </w:rPr>
        <w:t>Zahrnutie konsolidovaných účtovných jednotiek do konsolidovanej účtovnej závierky</w:t>
      </w:r>
    </w:p>
    <w:tbl>
      <w:tblPr>
        <w:tblW w:w="9220" w:type="dxa"/>
        <w:jc w:val="left"/>
        <w:tblInd w:w="-5" w:type="dxa"/>
        <w:tblLayout w:type="fixed"/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700"/>
        <w:gridCol w:w="1701"/>
        <w:gridCol w:w="1600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>
                <w:color w:val="auto"/>
              </w:rPr>
            </w:pPr>
            <w:r>
              <w:rPr>
                <w:rFonts w:cs="Times New Roman" w:ascii="Times New Roman" w:hAnsi="Times New Roman"/>
                <w:color w:val="auto"/>
                <w:sz w:val="24"/>
                <w:szCs w:val="24"/>
              </w:rPr>
              <w:t>Názov resp. obchodné meno konsolidovanej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>
                <w:color w:val="auto"/>
              </w:rPr>
            </w:pPr>
            <w:r>
              <w:rPr>
                <w:rFonts w:cs="Times New Roman" w:ascii="Times New Roman" w:hAnsi="Times New Roman"/>
                <w:color w:val="auto"/>
                <w:sz w:val="24"/>
                <w:szCs w:val="24"/>
              </w:rPr>
              <w:t>Metóda úplnej konsolidácie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>
                <w:color w:val="auto"/>
              </w:rPr>
            </w:pPr>
            <w:r>
              <w:rPr>
                <w:rFonts w:cs="Times New Roman" w:ascii="Times New Roman" w:hAnsi="Times New Roman"/>
                <w:color w:val="auto"/>
                <w:sz w:val="24"/>
                <w:szCs w:val="24"/>
              </w:rPr>
              <w:t>Metóda podielovej konsolidácie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>
                <w:color w:val="auto"/>
              </w:rPr>
            </w:pPr>
            <w:r>
              <w:rPr>
                <w:rFonts w:cs="Times New Roman" w:ascii="Times New Roman" w:hAnsi="Times New Roman"/>
                <w:color w:val="auto"/>
                <w:sz w:val="24"/>
                <w:szCs w:val="24"/>
              </w:rPr>
              <w:t>Metóda vlastného imania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auto"/>
              </w:rPr>
            </w:pPr>
            <w:r>
              <w:rPr>
                <w:rFonts w:cs="Times New Roman" w:ascii="Times New Roman" w:hAnsi="Times New Roman"/>
                <w:color w:val="auto"/>
                <w:sz w:val="24"/>
                <w:szCs w:val="24"/>
              </w:rPr>
              <w:t>Obec Gôtovany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>
                <w:color w:val="auto"/>
              </w:rPr>
            </w:pPr>
            <w:r>
              <w:rPr>
                <w:rFonts w:cs="Times New Roman" w:ascii="Times New Roman" w:hAnsi="Times New Roman"/>
                <w:color w:val="auto"/>
                <w:sz w:val="24"/>
                <w:szCs w:val="24"/>
              </w:rPr>
              <w:t>áno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>
                <w:color w:val="auto"/>
              </w:rPr>
            </w:pPr>
            <w:r>
              <w:rPr>
                <w:rFonts w:cs="Times New Roman" w:ascii="Times New Roman" w:hAnsi="Times New Roman"/>
                <w:color w:val="auto"/>
                <w:sz w:val="24"/>
                <w:szCs w:val="24"/>
              </w:rPr>
              <w:t>-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>
                <w:color w:val="auto"/>
              </w:rPr>
            </w:pPr>
            <w:r>
              <w:rPr>
                <w:rFonts w:cs="Times New Roman" w:ascii="Times New Roman" w:hAnsi="Times New Roman"/>
                <w:color w:val="auto"/>
                <w:sz w:val="24"/>
                <w:szCs w:val="24"/>
              </w:rPr>
              <w:t>-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rPr>
                <w:color w:val="auto"/>
              </w:rPr>
            </w:pPr>
            <w:r>
              <w:rPr>
                <w:rFonts w:cs="Times New Roman" w:ascii="Times New Roman" w:hAnsi="Times New Roman"/>
                <w:color w:val="auto"/>
                <w:sz w:val="24"/>
                <w:szCs w:val="24"/>
              </w:rPr>
              <w:t>Materská škola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>
                <w:color w:val="auto"/>
              </w:rPr>
            </w:pPr>
            <w:r>
              <w:rPr>
                <w:rFonts w:cs="Times New Roman" w:ascii="Times New Roman" w:hAnsi="Times New Roman"/>
                <w:color w:val="auto"/>
                <w:sz w:val="24"/>
                <w:szCs w:val="24"/>
              </w:rPr>
              <w:t>áno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>
                <w:color w:val="auto"/>
              </w:rPr>
            </w:pPr>
            <w:r>
              <w:rPr>
                <w:rFonts w:cs="Times New Roman" w:ascii="Times New Roman" w:hAnsi="Times New Roman"/>
                <w:color w:val="auto"/>
                <w:sz w:val="24"/>
                <w:szCs w:val="24"/>
              </w:rPr>
              <w:t>-</w:t>
            </w:r>
          </w:p>
        </w:tc>
        <w:tc>
          <w:tcPr>
            <w:tcW w:w="1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tLeast" w:line="100" w:before="0" w:after="0"/>
              <w:jc w:val="center"/>
              <w:rPr>
                <w:color w:val="auto"/>
              </w:rPr>
            </w:pPr>
            <w:r>
              <w:rPr>
                <w:rFonts w:cs="Times New Roman" w:ascii="Times New Roman" w:hAnsi="Times New Roman"/>
                <w:color w:val="auto"/>
                <w:sz w:val="24"/>
                <w:szCs w:val="24"/>
              </w:rPr>
              <w:t>-</w:t>
            </w:r>
          </w:p>
        </w:tc>
      </w:tr>
    </w:tbl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Pri dcérskych účtovných jednotkách bola použitá metóda úplnej konsolidácie.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V roku 2022, rovnako ako v predchádzajúcich účtovných obdobiach, sa medzi účtovnými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jednotkami konsolidovaného celku Obce Gôtovany neuskutočnil nákup, resp. predaj majetku, preto nebolo potrebné vykonať konsolidáciu medzivýsledku.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Čl. III.</w:t>
      </w:r>
    </w:p>
    <w:p>
      <w:pPr>
        <w:pStyle w:val="Normal"/>
        <w:spacing w:lineRule="atLeast" w:line="100" w:before="0" w:after="0"/>
        <w:jc w:val="center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INFORMÁCIE O ÚDAJOCH AKTÍV A PASÍV</w:t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a) Konsolidovaný celok verejnej správy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- uvedené v tabuľke č. 1 – </w:t>
      </w:r>
      <w:r>
        <w:rPr>
          <w:rFonts w:cs="Times New Roman" w:ascii="Times New Roman" w:hAnsi="Times New Roman"/>
          <w:i/>
          <w:iCs/>
          <w:color w:val="auto"/>
          <w:sz w:val="24"/>
          <w:szCs w:val="24"/>
        </w:rPr>
        <w:t>Údaje o konsolidovanom celku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Cs/>
          <w:color w:val="C9211E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C9211E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Cs/>
          <w:color w:val="C9211E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C9211E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b) Aktíva a pasíva za konsolidovaný celok: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V konsolidovanej súvahe k 31.12.202</w:t>
      </w:r>
      <w:r>
        <w:rPr>
          <w:rFonts w:cs="Times New Roman" w:ascii="Times New Roman" w:hAnsi="Times New Roman"/>
          <w:color w:val="auto"/>
          <w:sz w:val="24"/>
          <w:szCs w:val="24"/>
        </w:rPr>
        <w:t>3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je na strane aktív vykázaný majetok spolu vo výške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netto </w:t>
      </w:r>
      <w:r>
        <w:rPr>
          <w:rFonts w:cs="Times New Roman" w:ascii="Times New Roman" w:hAnsi="Times New Roman"/>
          <w:color w:val="auto"/>
          <w:sz w:val="24"/>
          <w:szCs w:val="24"/>
        </w:rPr>
        <w:t>1.157.157,64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Eur, z toho neobežný majetok predstavuje </w:t>
      </w:r>
      <w:r>
        <w:rPr>
          <w:rFonts w:cs="Times New Roman" w:ascii="Times New Roman" w:hAnsi="Times New Roman"/>
          <w:color w:val="auto"/>
          <w:sz w:val="24"/>
          <w:szCs w:val="24"/>
        </w:rPr>
        <w:t>948.513,63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 a obežný</w:t>
      </w:r>
    </w:p>
    <w:p>
      <w:pPr>
        <w:pStyle w:val="Normal"/>
        <w:spacing w:lineRule="atLeast" w:line="100" w:before="0" w:after="0"/>
        <w:rPr>
          <w:color w:val="C9211E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majetok </w:t>
      </w:r>
      <w:r>
        <w:rPr>
          <w:rFonts w:cs="Times New Roman" w:ascii="Times New Roman" w:hAnsi="Times New Roman"/>
          <w:color w:val="auto"/>
          <w:sz w:val="24"/>
          <w:szCs w:val="24"/>
        </w:rPr>
        <w:t>206.863,21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 Eur. Časové rozlíšenie na strane aktív – náklady a príjmy budúcich období činí </w:t>
      </w:r>
      <w:r>
        <w:rPr>
          <w:rFonts w:cs="Times New Roman" w:ascii="Times New Roman" w:hAnsi="Times New Roman"/>
          <w:color w:val="auto"/>
          <w:sz w:val="24"/>
          <w:szCs w:val="24"/>
        </w:rPr>
        <w:t>1.780,80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Eur. 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Vlastné imanie a záväzky na strane pasív súhlasia s výškou aktív v hodnote </w:t>
      </w:r>
      <w:r>
        <w:rPr>
          <w:rFonts w:cs="Times New Roman" w:ascii="Times New Roman" w:hAnsi="Times New Roman"/>
          <w:color w:val="auto"/>
          <w:sz w:val="24"/>
          <w:szCs w:val="24"/>
        </w:rPr>
        <w:t>1.157.157,64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Eur.</w:t>
      </w:r>
    </w:p>
    <w:p>
      <w:pPr>
        <w:pStyle w:val="Normal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Vlastné imanie je vykázané vo výške </w:t>
      </w:r>
      <w:r>
        <w:rPr>
          <w:rFonts w:cs="Times New Roman" w:ascii="Times New Roman" w:hAnsi="Times New Roman"/>
          <w:color w:val="auto"/>
          <w:sz w:val="24"/>
          <w:szCs w:val="24"/>
        </w:rPr>
        <w:t>469.162,49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 a záväzky v hodnote </w:t>
      </w:r>
      <w:r>
        <w:rPr>
          <w:rFonts w:cs="Times New Roman" w:ascii="Times New Roman" w:hAnsi="Times New Roman"/>
          <w:color w:val="auto"/>
          <w:sz w:val="24"/>
          <w:szCs w:val="24"/>
        </w:rPr>
        <w:t>471.989,59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Eur.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  <w:u w:val="single"/>
        </w:rPr>
        <w:t xml:space="preserve">Časové rozlíšenie na strane pasív - výdavky a výnosy budúcich období - činí </w:t>
      </w:r>
      <w:r>
        <w:rPr>
          <w:rFonts w:cs="Times New Roman" w:ascii="Times New Roman" w:hAnsi="Times New Roman"/>
          <w:color w:val="auto"/>
          <w:sz w:val="24"/>
          <w:szCs w:val="24"/>
          <w:u w:val="single"/>
        </w:rPr>
        <w:t>216.005,56</w:t>
      </w:r>
      <w:r>
        <w:rPr>
          <w:rFonts w:cs="Times New Roman" w:ascii="Times New Roman" w:hAnsi="Times New Roman"/>
          <w:color w:val="auto"/>
          <w:sz w:val="24"/>
          <w:szCs w:val="24"/>
          <w:u w:val="single"/>
        </w:rPr>
        <w:t xml:space="preserve"> Eur.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c) Prehľad a pohybe vlastného imania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Po agregácii činí vlastné imanie za konsolidovaný celok k 31.12.202</w:t>
      </w:r>
      <w:r>
        <w:rPr>
          <w:rFonts w:cs="Times New Roman" w:ascii="Times New Roman" w:hAnsi="Times New Roman"/>
          <w:color w:val="auto"/>
          <w:sz w:val="24"/>
          <w:szCs w:val="24"/>
        </w:rPr>
        <w:t>3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sumu </w:t>
      </w:r>
      <w:r>
        <w:rPr>
          <w:rFonts w:cs="Times New Roman" w:ascii="Times New Roman" w:hAnsi="Times New Roman"/>
          <w:color w:val="auto"/>
          <w:sz w:val="24"/>
          <w:szCs w:val="24"/>
        </w:rPr>
        <w:t>469.162,49</w:t>
      </w:r>
      <w:r>
        <w:rPr>
          <w:rFonts w:cs="Times New Roman" w:ascii="Times New Roman" w:hAnsi="Times New Roman"/>
          <w:color w:val="auto"/>
          <w:sz w:val="24"/>
          <w:szCs w:val="24"/>
        </w:rPr>
        <w:t>Eur.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V porovnaní s rokom 202</w:t>
      </w:r>
      <w:r>
        <w:rPr>
          <w:rFonts w:cs="Times New Roman" w:ascii="Times New Roman" w:hAnsi="Times New Roman"/>
          <w:color w:val="auto"/>
          <w:sz w:val="24"/>
          <w:szCs w:val="24"/>
        </w:rPr>
        <w:t>2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došlo k jeho zvýšeniu o sumu </w:t>
      </w:r>
      <w:r>
        <w:rPr>
          <w:rFonts w:cs="Times New Roman" w:ascii="Times New Roman" w:hAnsi="Times New Roman"/>
          <w:color w:val="auto"/>
          <w:sz w:val="24"/>
          <w:szCs w:val="24"/>
        </w:rPr>
        <w:t>33.174,26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Eur, pričom výsledok hospodárenia za konsolidovaný celok bol vykázaný vo výške </w:t>
      </w:r>
      <w:r>
        <w:rPr>
          <w:rFonts w:cs="Times New Roman" w:ascii="Times New Roman" w:hAnsi="Times New Roman"/>
          <w:color w:val="auto"/>
          <w:sz w:val="24"/>
          <w:szCs w:val="24"/>
        </w:rPr>
        <w:t>33.174,26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 - podrobnejšie údaje uvedené v tabuľke č. 12 – </w:t>
      </w:r>
      <w:r>
        <w:rPr>
          <w:rFonts w:cs="Times New Roman" w:ascii="Times New Roman" w:hAnsi="Times New Roman"/>
          <w:i/>
          <w:iCs/>
          <w:color w:val="auto"/>
          <w:sz w:val="24"/>
          <w:szCs w:val="24"/>
        </w:rPr>
        <w:t>Vlastné imanie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color w:val="auto"/>
        </w:rPr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d) Prehľad o pohybe rezerv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Konsolidovaný celok vykazuje tvorenie rezerv na audit v tabuľke č. 13 – </w:t>
      </w:r>
      <w:r>
        <w:rPr>
          <w:rFonts w:cs="Times New Roman" w:ascii="Times New Roman" w:hAnsi="Times New Roman"/>
          <w:i/>
          <w:color w:val="auto"/>
          <w:sz w:val="24"/>
          <w:szCs w:val="24"/>
        </w:rPr>
        <w:t>Rezervy zákonné</w:t>
      </w:r>
      <w:r>
        <w:rPr>
          <w:rFonts w:cs="Times New Roman" w:ascii="Times New Roman" w:hAnsi="Times New Roman"/>
          <w:b/>
          <w:bCs/>
          <w:i/>
          <w:iCs/>
          <w:color w:val="auto"/>
          <w:sz w:val="24"/>
          <w:szCs w:val="24"/>
        </w:rPr>
        <w:t>.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color w:val="auto"/>
        </w:rPr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e) Prehľad o pohybe dlhodobého hmotného a nehmotného majetku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Zostatková cena dlhodobého majetku </w:t>
      </w:r>
      <w:r>
        <w:rPr>
          <w:rFonts w:cs="Times New Roman" w:ascii="Times New Roman" w:hAnsi="Times New Roman"/>
          <w:color w:val="auto"/>
          <w:sz w:val="24"/>
          <w:szCs w:val="24"/>
        </w:rPr>
        <w:t>948.513,63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Eur. Z tejto sumy je dlhodobý nehmotný majetok </w:t>
      </w:r>
      <w:r>
        <w:rPr>
          <w:rFonts w:cs="Times New Roman" w:ascii="Times New Roman" w:hAnsi="Times New Roman"/>
          <w:color w:val="auto"/>
          <w:sz w:val="24"/>
          <w:szCs w:val="24"/>
        </w:rPr>
        <w:t>6.300,00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 a dlhodobý hmotný majetok v zostatkovej hodnote </w:t>
      </w:r>
      <w:r>
        <w:rPr>
          <w:rFonts w:cs="Times New Roman" w:ascii="Times New Roman" w:hAnsi="Times New Roman"/>
          <w:color w:val="auto"/>
          <w:sz w:val="24"/>
          <w:szCs w:val="24"/>
        </w:rPr>
        <w:t>850.083,63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Eur. Podrobnejšie údaje uvedené v tabuľke č. 2 – </w:t>
      </w:r>
      <w:r>
        <w:rPr>
          <w:rFonts w:cs="Times New Roman" w:ascii="Times New Roman" w:hAnsi="Times New Roman"/>
          <w:i/>
          <w:iCs/>
          <w:color w:val="auto"/>
          <w:sz w:val="24"/>
          <w:szCs w:val="24"/>
        </w:rPr>
        <w:t xml:space="preserve">Neobežný majetok </w:t>
      </w:r>
      <w:r>
        <w:rPr>
          <w:rFonts w:cs="Times New Roman" w:ascii="Times New Roman" w:hAnsi="Times New Roman"/>
          <w:color w:val="auto"/>
          <w:sz w:val="24"/>
          <w:szCs w:val="24"/>
        </w:rPr>
        <w:t>(r. 9, r. 22 a r. 32)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f) Dlhodobý finančný majetok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Hodnota dlhodobého finančného majetku v obstarávacej cene bola k 31.12.202</w:t>
      </w:r>
      <w:r>
        <w:rPr>
          <w:rFonts w:cs="Times New Roman" w:ascii="Times New Roman" w:hAnsi="Times New Roman"/>
          <w:color w:val="auto"/>
          <w:sz w:val="24"/>
          <w:szCs w:val="24"/>
        </w:rPr>
        <w:t>3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vo výške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92.130,00 Eur. Jedná sa o realizovateľné cenné papiere vo vzťahu k eminentovi - Liptovská vodárenská spoločnosť a.s.. - podrobnejšie údaje uvedené v tabuľke č. 2 – </w:t>
      </w:r>
      <w:r>
        <w:rPr>
          <w:rFonts w:cs="Times New Roman" w:ascii="Times New Roman" w:hAnsi="Times New Roman"/>
          <w:i/>
          <w:iCs/>
          <w:color w:val="auto"/>
          <w:sz w:val="24"/>
          <w:szCs w:val="24"/>
        </w:rPr>
        <w:t xml:space="preserve">Neobežný majetok </w:t>
      </w:r>
      <w:r>
        <w:rPr>
          <w:rFonts w:cs="Times New Roman" w:ascii="Times New Roman" w:hAnsi="Times New Roman"/>
          <w:color w:val="auto"/>
          <w:sz w:val="24"/>
          <w:szCs w:val="24"/>
        </w:rPr>
        <w:t>(r. 25 a 31)                                          )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g) Zásoby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Zásoby sú v konsolidovanej súvahe vykázané spolu vo výške 0,00 Eur. V účtovnom období zároveň konsolidovaný celok nevykazuje tvorbu, zníženie ani zrušenie opravnej položky k zásobám.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h) Dlhodobé pohľadávky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Konsolidovaný celok vykazuje dlhodobé pohľadávky vo výške </w:t>
      </w:r>
      <w:r>
        <w:rPr>
          <w:rFonts w:cs="Times New Roman" w:ascii="Times New Roman" w:hAnsi="Times New Roman"/>
          <w:color w:val="auto"/>
          <w:sz w:val="24"/>
          <w:szCs w:val="24"/>
        </w:rPr>
        <w:t>0,00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Eur. 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C9211E"/>
          <w:sz w:val="24"/>
          <w:szCs w:val="24"/>
        </w:rPr>
      </w:pPr>
      <w:r>
        <w:rPr>
          <w:rFonts w:cs="Times New Roman" w:ascii="Times New Roman" w:hAnsi="Times New Roman"/>
          <w:color w:val="C9211E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i) Krátkodobé pohľadávky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V súvahe za konsolidovaný celok sú vykázané krátkodobé pohľadávky vo výške </w:t>
      </w:r>
      <w:r>
        <w:rPr>
          <w:rFonts w:cs="Times New Roman" w:ascii="Times New Roman" w:hAnsi="Times New Roman"/>
          <w:color w:val="auto"/>
          <w:sz w:val="24"/>
          <w:szCs w:val="24"/>
        </w:rPr>
        <w:t>11.895,73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Eur, ktoré v celom podiele zúčtovala obec Gôtovany.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315- Ostatné pohľadávky 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3.399,04 € 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(vyúčtovanie elektriky a vodného)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318– Pohľadávka z nedaňových príjmov  </w:t>
      </w:r>
      <w:r>
        <w:rPr>
          <w:rFonts w:cs="Times New Roman" w:ascii="Times New Roman" w:hAnsi="Times New Roman"/>
          <w:b/>
          <w:color w:val="auto"/>
          <w:sz w:val="24"/>
          <w:szCs w:val="24"/>
        </w:rPr>
        <w:t>4.531,50</w:t>
      </w: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 xml:space="preserve"> </w:t>
      </w:r>
      <w:r>
        <w:rPr>
          <w:rFonts w:cs="Times New Roman" w:ascii="Times New Roman" w:hAnsi="Times New Roman"/>
          <w:color w:val="auto"/>
          <w:sz w:val="24"/>
          <w:szCs w:val="24"/>
        </w:rPr>
        <w:t>EUR</w:t>
      </w: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 xml:space="preserve"> </w:t>
      </w:r>
      <w:r>
        <w:rPr>
          <w:rFonts w:cs="Times New Roman" w:ascii="Times New Roman" w:hAnsi="Times New Roman"/>
          <w:color w:val="auto"/>
          <w:sz w:val="24"/>
          <w:szCs w:val="24"/>
        </w:rPr>
        <w:t>(nájomné, komunálny odpad, ČOV..)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319- Pohľadávky z daňových príjmov </w:t>
      </w:r>
      <w:r>
        <w:rPr>
          <w:rFonts w:cs="Times New Roman" w:ascii="Times New Roman" w:hAnsi="Times New Roman"/>
          <w:color w:val="auto"/>
          <w:sz w:val="24"/>
          <w:szCs w:val="24"/>
        </w:rPr>
        <w:t>918,11</w:t>
      </w: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 xml:space="preserve"> </w:t>
      </w:r>
      <w:r>
        <w:rPr>
          <w:rFonts w:cs="Times New Roman" w:ascii="Times New Roman" w:hAnsi="Times New Roman"/>
          <w:color w:val="auto"/>
          <w:sz w:val="24"/>
          <w:szCs w:val="24"/>
        </w:rPr>
        <w:t>EUR (daň z nehnuteľnosti, daň za psa )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335 – Pohľadávky voči zamestnancom </w:t>
      </w:r>
      <w:r>
        <w:rPr>
          <w:rFonts w:cs="Times New Roman" w:ascii="Times New Roman" w:hAnsi="Times New Roman"/>
          <w:color w:val="auto"/>
          <w:sz w:val="24"/>
          <w:szCs w:val="24"/>
        </w:rPr>
        <w:t>3047,08</w:t>
      </w: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 xml:space="preserve"> </w:t>
      </w:r>
      <w:r>
        <w:rPr>
          <w:rFonts w:cs="Times New Roman" w:ascii="Times New Roman" w:hAnsi="Times New Roman"/>
          <w:color w:val="auto"/>
          <w:sz w:val="24"/>
          <w:szCs w:val="24"/>
        </w:rPr>
        <w:t>EUR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V účtovnom období zároveň konsolidovaný celok nevykazuje tvorbu, zníženie ani zrušenie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opravnej položky ku krátkodobým pohľadávkam.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j) Finančné účty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Hodnota finančných účtov obce a materskej školy (RO) je </w:t>
      </w:r>
      <w:r>
        <w:rPr>
          <w:rFonts w:cs="Times New Roman" w:ascii="Times New Roman" w:hAnsi="Times New Roman"/>
          <w:color w:val="auto"/>
          <w:sz w:val="24"/>
          <w:szCs w:val="24"/>
        </w:rPr>
        <w:t>192.124,41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k) Poskytnuté finančné výpomoci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Konsolidovaný celok nevykazuje žiadne poskytnuté finančné výpomoci.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l) Časové rozlíšenie na strane aktív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Časové rozlíšenie je za celý konsolidovaný celok vo výške </w:t>
      </w:r>
      <w:r>
        <w:rPr>
          <w:rFonts w:cs="Times New Roman" w:ascii="Times New Roman" w:hAnsi="Times New Roman"/>
          <w:color w:val="auto"/>
          <w:sz w:val="24"/>
          <w:szCs w:val="24"/>
        </w:rPr>
        <w:t>1.780,80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Eur. Celú sumu tvoria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náklady budúcich období. 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Viď. tabuľka č. 10 – </w:t>
      </w:r>
      <w:r>
        <w:rPr>
          <w:rFonts w:cs="Times New Roman" w:ascii="Times New Roman" w:hAnsi="Times New Roman"/>
          <w:i/>
          <w:iCs/>
          <w:color w:val="auto"/>
          <w:sz w:val="24"/>
          <w:szCs w:val="24"/>
        </w:rPr>
        <w:t>Časové rozlíšenie na strane aktív – náklady budúcich období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m) Dlhodobé záväzky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Záväzky za celý konsolidovaný celok činia </w:t>
      </w:r>
      <w:r>
        <w:rPr>
          <w:rFonts w:cs="Times New Roman" w:ascii="Times New Roman" w:hAnsi="Times New Roman"/>
          <w:color w:val="auto"/>
          <w:sz w:val="24"/>
          <w:szCs w:val="24"/>
        </w:rPr>
        <w:t>389.658,57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Eur. Z toho 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2.388,81 </w:t>
      </w:r>
      <w:r>
        <w:rPr>
          <w:rFonts w:cs="Times New Roman" w:ascii="Times New Roman" w:hAnsi="Times New Roman"/>
          <w:color w:val="auto"/>
          <w:sz w:val="24"/>
          <w:szCs w:val="24"/>
        </w:rPr>
        <w:t>Eur sú záväzky zo sociálneho fondu (472 - zostatok FP na účte SF), </w:t>
      </w:r>
      <w:r>
        <w:rPr>
          <w:rFonts w:cs="Times New Roman" w:ascii="Times New Roman" w:hAnsi="Times New Roman"/>
          <w:color w:val="auto"/>
          <w:sz w:val="24"/>
          <w:szCs w:val="24"/>
        </w:rPr>
        <w:t>387.269,76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 sú záväzky voči ŠFRB a 21.275,16 Eur sú záväzky Garančného fondu.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Vykazované dlhodobé záväzky sú všetky v lehote splatnosti, so zostatkovou dobou splatnosti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Viď. tabuľka č. 15 – </w:t>
      </w:r>
      <w:r>
        <w:rPr>
          <w:rFonts w:cs="Times New Roman" w:ascii="Times New Roman" w:hAnsi="Times New Roman"/>
          <w:i/>
          <w:iCs/>
          <w:color w:val="auto"/>
          <w:sz w:val="24"/>
          <w:szCs w:val="24"/>
        </w:rPr>
        <w:t>Záväzky podľa doby splatnosti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n) Krátkodobé záväzky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V súvahe za konsolidovaný celok sú vykázané krátkodobé záväzky spolu vo výške </w:t>
      </w:r>
      <w:r>
        <w:rPr>
          <w:rFonts w:cs="Times New Roman" w:ascii="Times New Roman" w:hAnsi="Times New Roman"/>
          <w:color w:val="auto"/>
          <w:sz w:val="24"/>
          <w:szCs w:val="24"/>
        </w:rPr>
        <w:t>66.365,83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Eur, z toho záväzky voči dodávateľom tvoria </w:t>
      </w:r>
      <w:r>
        <w:rPr>
          <w:rFonts w:cs="Times New Roman" w:ascii="Times New Roman" w:hAnsi="Times New Roman"/>
          <w:color w:val="auto"/>
          <w:sz w:val="24"/>
          <w:szCs w:val="24"/>
        </w:rPr>
        <w:t>1.523,83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Eur,  záväzky voči zamestnancom vo výške </w:t>
      </w:r>
      <w:r>
        <w:rPr>
          <w:rFonts w:cs="Times New Roman" w:ascii="Times New Roman" w:hAnsi="Times New Roman"/>
          <w:color w:val="auto"/>
          <w:sz w:val="24"/>
          <w:szCs w:val="24"/>
        </w:rPr>
        <w:t>9.174,17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Eur, voči orgánom sociálneho poistenia a zdravotného poistenia vo výške </w:t>
      </w:r>
      <w:r>
        <w:rPr>
          <w:rFonts w:cs="Times New Roman" w:ascii="Times New Roman" w:hAnsi="Times New Roman"/>
          <w:color w:val="auto"/>
          <w:sz w:val="24"/>
          <w:szCs w:val="24"/>
        </w:rPr>
        <w:t>5.415,55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 a voči daňovému úradu </w:t>
      </w:r>
      <w:r>
        <w:rPr>
          <w:rFonts w:cs="Times New Roman" w:ascii="Times New Roman" w:hAnsi="Times New Roman"/>
          <w:color w:val="auto"/>
          <w:sz w:val="24"/>
          <w:szCs w:val="24"/>
        </w:rPr>
        <w:t>784,73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Eur. Celá suma záväzkov predstavuje plnenie z bežnej činnosti za mesiac december 202</w:t>
      </w:r>
      <w:r>
        <w:rPr>
          <w:rFonts w:cs="Times New Roman" w:ascii="Times New Roman" w:hAnsi="Times New Roman"/>
          <w:color w:val="auto"/>
          <w:sz w:val="24"/>
          <w:szCs w:val="24"/>
        </w:rPr>
        <w:t>3</w:t>
      </w:r>
      <w:r>
        <w:rPr>
          <w:rFonts w:cs="Times New Roman" w:ascii="Times New Roman" w:hAnsi="Times New Roman"/>
          <w:color w:val="auto"/>
          <w:sz w:val="24"/>
          <w:szCs w:val="24"/>
        </w:rPr>
        <w:t>. Vykazované krátkodobé záväzky sú všetky v lehote splatnosti, so zostatkovou dobou splatnosti do jedného roka</w:t>
      </w: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 xml:space="preserve">. 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Viď. tabuľka č. 15 – </w:t>
      </w:r>
      <w:r>
        <w:rPr>
          <w:rFonts w:cs="Times New Roman" w:ascii="Times New Roman" w:hAnsi="Times New Roman"/>
          <w:i/>
          <w:iCs/>
          <w:color w:val="auto"/>
          <w:sz w:val="24"/>
          <w:szCs w:val="24"/>
        </w:rPr>
        <w:t>Záväzky podľa doby splatnosti</w:t>
      </w:r>
      <w:r>
        <w:rPr>
          <w:rFonts w:cs="Times New Roman" w:ascii="Times New Roman" w:hAnsi="Times New Roman"/>
          <w:color w:val="auto"/>
          <w:sz w:val="24"/>
          <w:szCs w:val="24"/>
        </w:rPr>
        <w:t>.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color w:val="auto"/>
        </w:rPr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o) Vydané dlhopisy</w:t>
      </w:r>
    </w:p>
    <w:p>
      <w:pPr>
        <w:pStyle w:val="Normal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V účtovnom období neboli v rámci konsolidovaného celku vydané žiadne dlhopisy.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p) Bankové úvery a návratné výpomoci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V rámci konsolidovaného neboli prijaté žiadne bankové úvery a návratné výpomoci.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color w:val="auto"/>
        </w:rPr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q) Časové rozlíšenie na strane pasív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Časové rozlíšenie je za celý konsolidovaný celok vo výške </w:t>
      </w:r>
      <w:r>
        <w:rPr>
          <w:rFonts w:cs="Times New Roman" w:ascii="Times New Roman" w:hAnsi="Times New Roman"/>
          <w:color w:val="auto"/>
          <w:sz w:val="24"/>
          <w:szCs w:val="24"/>
        </w:rPr>
        <w:t>216.005,56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Eur. Celú sumu tvoria výnosy budúcich období.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Viď. tabuľka č. 18 – </w:t>
      </w:r>
      <w:r>
        <w:rPr>
          <w:rFonts w:cs="Times New Roman" w:ascii="Times New Roman" w:hAnsi="Times New Roman"/>
          <w:i/>
          <w:iCs/>
          <w:color w:val="auto"/>
          <w:sz w:val="24"/>
          <w:szCs w:val="24"/>
        </w:rPr>
        <w:t>Časové rozlíšenie na strane pasív – Výnosy budúcich období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Čl. IV.</w:t>
      </w:r>
    </w:p>
    <w:p>
      <w:pPr>
        <w:pStyle w:val="Normal"/>
        <w:spacing w:lineRule="atLeast" w:line="100" w:before="0" w:after="0"/>
        <w:jc w:val="center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INFORMÁCIE O ÚDAJOCH NÁKLADOV A VÝNOSOV</w:t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Cs/>
          <w:color w:val="C9211E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C9211E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a) Náklady na služby a ostatné finančné náklady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Náklady spolu za konsolidovaný celok činia </w:t>
      </w:r>
      <w:r>
        <w:rPr>
          <w:rFonts w:cs="Times New Roman" w:ascii="Times New Roman" w:hAnsi="Times New Roman"/>
          <w:color w:val="auto"/>
          <w:sz w:val="24"/>
          <w:szCs w:val="24"/>
        </w:rPr>
        <w:t>358.667,85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Eur, pričom celá vykázaná suma je za hlavnú činnosť. 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C9211E"/>
          <w:sz w:val="24"/>
          <w:szCs w:val="24"/>
        </w:rPr>
      </w:pPr>
      <w:r>
        <w:rPr>
          <w:rFonts w:cs="Times New Roman" w:ascii="Times New Roman" w:hAnsi="Times New Roman"/>
          <w:color w:val="C9211E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C9211E"/>
          <w:sz w:val="24"/>
          <w:szCs w:val="24"/>
        </w:rPr>
      </w:pPr>
      <w:r>
        <w:rPr>
          <w:rFonts w:cs="Times New Roman" w:ascii="Times New Roman" w:hAnsi="Times New Roman"/>
          <w:color w:val="C9211E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Náklady na ostatné služby vo výške </w:t>
      </w:r>
      <w:r>
        <w:rPr>
          <w:rFonts w:cs="Times New Roman" w:ascii="Times New Roman" w:hAnsi="Times New Roman"/>
          <w:color w:val="auto"/>
          <w:sz w:val="24"/>
          <w:szCs w:val="24"/>
        </w:rPr>
        <w:t>42.477,85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Eur,  viď. tabuľka č. 19, ostatné náklady na prevádzkovú činnosť vo výške </w:t>
      </w:r>
      <w:r>
        <w:rPr>
          <w:rFonts w:cs="Times New Roman" w:ascii="Times New Roman" w:hAnsi="Times New Roman"/>
          <w:color w:val="auto"/>
          <w:sz w:val="24"/>
          <w:szCs w:val="24"/>
        </w:rPr>
        <w:t>11.421,73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Eur, viď. Tabuľka 20, ostatné finančné náklady vo výške </w:t>
      </w:r>
      <w:r>
        <w:rPr>
          <w:rFonts w:cs="Times New Roman" w:ascii="Times New Roman" w:hAnsi="Times New Roman"/>
          <w:color w:val="auto"/>
          <w:sz w:val="24"/>
          <w:szCs w:val="24"/>
        </w:rPr>
        <w:t>1.142,43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Eur, vidˇ. tabuľka č. 21. 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b/>
          <w:bCs/>
          <w:color w:val="C9211E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C9211E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b) Výnosy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Výnosy spolu za konsolidovaný celok činia </w:t>
      </w:r>
      <w:r>
        <w:rPr>
          <w:rFonts w:cs="Times New Roman" w:ascii="Times New Roman" w:hAnsi="Times New Roman"/>
          <w:color w:val="auto"/>
          <w:sz w:val="24"/>
          <w:szCs w:val="24"/>
        </w:rPr>
        <w:t>394.864,08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Eur, pričom celá vykázaná suma je za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hlavnú činnosť. Ostatné výnosy z prevádzkovej činnosti sú vo výške </w:t>
      </w:r>
      <w:r>
        <w:rPr>
          <w:rFonts w:cs="Times New Roman" w:ascii="Times New Roman" w:hAnsi="Times New Roman"/>
          <w:color w:val="auto"/>
          <w:sz w:val="24"/>
          <w:szCs w:val="24"/>
        </w:rPr>
        <w:t>678,91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Eur viď. tabuľka č. 22. </w:t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Cs/>
          <w:color w:val="C9211E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C9211E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Cs/>
          <w:color w:val="C9211E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C9211E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Cs/>
          <w:color w:val="C9211E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C9211E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jc w:val="center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Čl. V.</w:t>
      </w:r>
    </w:p>
    <w:p>
      <w:pPr>
        <w:pStyle w:val="Normal"/>
        <w:spacing w:lineRule="atLeast" w:line="100" w:before="0" w:after="0"/>
        <w:jc w:val="center"/>
        <w:rPr>
          <w:color w:val="auto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  <w:t>INFORMÁCIE O OSTATNÝCH SKUTOČNOSTIACH</w:t>
      </w:r>
    </w:p>
    <w:p>
      <w:pPr>
        <w:pStyle w:val="Normal"/>
        <w:spacing w:lineRule="atLeast" w:line="100" w:before="0" w:after="0"/>
        <w:jc w:val="center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>
        <w:rPr>
          <w:rFonts w:cs="Times New Roman" w:ascii="Times New Roman" w:hAnsi="Times New Roman"/>
          <w:b/>
          <w:bCs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K 31.12.202</w:t>
      </w:r>
      <w:r>
        <w:rPr>
          <w:rFonts w:cs="Times New Roman" w:ascii="Times New Roman" w:hAnsi="Times New Roman"/>
          <w:color w:val="auto"/>
          <w:sz w:val="24"/>
          <w:szCs w:val="24"/>
        </w:rPr>
        <w:t>3</w:t>
      </w:r>
      <w:r>
        <w:rPr>
          <w:rFonts w:cs="Times New Roman" w:ascii="Times New Roman" w:hAnsi="Times New Roman"/>
          <w:color w:val="auto"/>
          <w:sz w:val="24"/>
          <w:szCs w:val="24"/>
        </w:rPr>
        <w:t xml:space="preserve"> do dňa zostavenia konsolidovanej účtovnej závierky nedošlo k takým skutočnostiam, ktoré by ovplyvnili, resp. zmenili výsledky vykázané v účtovnej evidencii a v účtovných výkazoch konsolidovaných účtovných jednotiek k 31.12.202</w:t>
      </w:r>
      <w:r>
        <w:rPr>
          <w:rFonts w:cs="Times New Roman" w:ascii="Times New Roman" w:hAnsi="Times New Roman"/>
          <w:color w:val="auto"/>
          <w:sz w:val="24"/>
          <w:szCs w:val="24"/>
        </w:rPr>
        <w:t>3</w:t>
      </w:r>
      <w:r>
        <w:rPr>
          <w:rFonts w:cs="Times New Roman" w:ascii="Times New Roman" w:hAnsi="Times New Roman"/>
          <w:color w:val="auto"/>
          <w:sz w:val="24"/>
          <w:szCs w:val="24"/>
        </w:rPr>
        <w:t>.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V Gôtovanoch, dňa 16.06.202</w:t>
      </w:r>
      <w:r>
        <w:rPr>
          <w:rFonts w:cs="Times New Roman" w:ascii="Times New Roman" w:hAnsi="Times New Roman"/>
          <w:color w:val="auto"/>
          <w:sz w:val="24"/>
          <w:szCs w:val="24"/>
        </w:rPr>
        <w:t>4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Vypracovala:    Ing. Juraj Brziak</w:t>
      </w:r>
    </w:p>
    <w:p>
      <w:pPr>
        <w:pStyle w:val="Normal"/>
        <w:spacing w:lineRule="atLeast" w:line="10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                          </w:t>
      </w:r>
      <w:r>
        <w:rPr>
          <w:rFonts w:cs="Times New Roman" w:ascii="Times New Roman" w:hAnsi="Times New Roman"/>
          <w:color w:val="auto"/>
          <w:sz w:val="24"/>
          <w:szCs w:val="24"/>
        </w:rPr>
        <w:t>externý účtovník obce</w:t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Normal"/>
        <w:spacing w:lineRule="atLeast" w:line="100" w:before="0" w:after="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cs="Times New Roman" w:ascii="Times New Roman" w:hAnsi="Times New Roman"/>
          <w:color w:val="auto"/>
          <w:sz w:val="24"/>
          <w:szCs w:val="24"/>
        </w:rPr>
      </w:r>
    </w:p>
    <w:p>
      <w:pPr>
        <w:pStyle w:val="Normal"/>
        <w:spacing w:lineRule="auto" w:line="24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>Schválil:           Mgr. Andrea Adamčiaková</w:t>
      </w:r>
    </w:p>
    <w:p>
      <w:pPr>
        <w:pStyle w:val="Normal"/>
        <w:spacing w:lineRule="auto" w:line="240" w:before="0" w:after="0"/>
        <w:rPr>
          <w:color w:val="auto"/>
        </w:rPr>
      </w:pPr>
      <w:r>
        <w:rPr>
          <w:rFonts w:cs="Times New Roman" w:ascii="Times New Roman" w:hAnsi="Times New Roman"/>
          <w:color w:val="auto"/>
          <w:sz w:val="24"/>
          <w:szCs w:val="24"/>
        </w:rPr>
        <w:t xml:space="preserve">                         </w:t>
      </w:r>
      <w:r>
        <w:rPr>
          <w:rFonts w:cs="Times New Roman" w:ascii="Times New Roman" w:hAnsi="Times New Roman"/>
          <w:color w:val="auto"/>
          <w:sz w:val="24"/>
          <w:szCs w:val="24"/>
        </w:rPr>
        <w:t>starostka obce</w:t>
      </w:r>
    </w:p>
    <w:sectPr>
      <w:headerReference w:type="default" r:id="rId2"/>
      <w:type w:val="nextPage"/>
      <w:pgSz w:w="11906" w:h="16838"/>
      <w:pgMar w:left="1417" w:right="1417" w:gutter="0" w:header="708" w:top="1417" w:footer="0" w:bottom="1417"/>
      <w:pgNumType w:fmt="decimal"/>
      <w:formProt w:val="false"/>
      <w:textDirection w:val="lrTb"/>
      <w:docGrid w:type="default" w:linePitch="600" w:charSpace="3686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Symbol">
    <w:charset w:val="ee"/>
    <w:family w:val="roman"/>
    <w:pitch w:val="variable"/>
  </w:font>
  <w:font w:name="Courier New">
    <w:charset w:val="ee"/>
    <w:family w:val="roman"/>
    <w:pitch w:val="variable"/>
  </w:font>
  <w:font w:name="Wingdings">
    <w:charset w:val="ee"/>
    <w:family w:val="roman"/>
    <w:pitch w:val="variable"/>
  </w:font>
  <w:font w:name="OpenSymbol">
    <w:altName w:val="Arial Unicode MS"/>
    <w:charset w:val="ee"/>
    <w:family w:val="roman"/>
    <w:pitch w:val="variable"/>
  </w:font>
  <w:font w:name="Segoe UI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jc w:val="center"/>
      <w:rPr>
        <w:rFonts w:ascii="Times New Roman" w:hAnsi="Times New Roman" w:cs="Times New Roman"/>
        <w:sz w:val="20"/>
        <w:szCs w:val="20"/>
      </w:rPr>
    </w:pPr>
    <w:r>
      <w:rPr>
        <w:rFonts w:cs="Times New Roman" w:ascii="Times New Roman" w:hAnsi="Times New Roman"/>
        <w:sz w:val="20"/>
        <w:szCs w:val="20"/>
      </w:rPr>
      <w:t>Obec Gôtovany</w:t>
    </w:r>
  </w:p>
  <w:p>
    <w:pPr>
      <w:pStyle w:val="Header"/>
      <w:jc w:val="center"/>
      <w:rPr/>
    </w:pPr>
    <w:r>
      <w:rPr>
        <w:rFonts w:cs="Times New Roman" w:ascii="Times New Roman" w:hAnsi="Times New Roman"/>
        <w:sz w:val="20"/>
        <w:szCs w:val="20"/>
      </w:rPr>
      <w:t>Poznámky konsolidovanej účtovnej závierky zostavenej k 31.12.202</w:t>
    </w:r>
    <w:r>
      <w:rPr>
        <w:rFonts w:cs="Times New Roman" w:ascii="Times New Roman" w:hAnsi="Times New Roman"/>
        <w:sz w:val="20"/>
        <w:szCs w:val="20"/>
      </w:rPr>
      <w:t>3</w:t>
    </w:r>
  </w:p>
  <w:p>
    <w:pPr>
      <w:pStyle w:val="Header"/>
      <w:jc w:val="center"/>
      <w:rPr>
        <w:rFonts w:ascii="Times New Roman" w:hAnsi="Times New Roman" w:cs="Times New Roman"/>
        <w:sz w:val="20"/>
        <w:szCs w:val="20"/>
      </w:rPr>
    </w:pPr>
    <w:r>
      <w:rPr>
        <w:rFonts w:cs="Times New Roman" w:ascii="Times New Roman" w:hAnsi="Times New Roman"/>
        <w:sz w:val="20"/>
        <w:szCs w:val="20"/>
      </w:rPr>
    </w:r>
  </w:p>
  <w:p>
    <w:pPr>
      <w:pStyle w:val="Header"/>
      <w:jc w:val="center"/>
      <w:rPr/>
    </w:pPr>
    <w:r>
      <w:rPr>
        <w:rFonts w:cs="Times New Roman" w:ascii="Times New Roman" w:hAnsi="Times New Roman"/>
        <w:sz w:val="20"/>
        <w:szCs w:val="20"/>
      </w:rPr>
      <w:t>________________________________________________________________________________________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  <w:sz w:val="24"/>
        <w:b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autoHyphenation w:val="true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be201a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SimSun" w:cs="font307"/>
      <w:color w:val="auto"/>
      <w:kern w:val="0"/>
      <w:sz w:val="22"/>
      <w:szCs w:val="22"/>
      <w:lang w:val="sk-SK" w:eastAsia="ar-SA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sid w:val="00be201a"/>
    <w:rPr>
      <w:rFonts w:ascii="Symbol" w:hAnsi="Symbol" w:cs="Symbol"/>
    </w:rPr>
  </w:style>
  <w:style w:type="character" w:styleId="WW8Num1z1" w:customStyle="1">
    <w:name w:val="WW8Num1z1"/>
    <w:qFormat/>
    <w:rsid w:val="00be201a"/>
    <w:rPr>
      <w:rFonts w:ascii="Courier New" w:hAnsi="Courier New" w:cs="Courier New"/>
    </w:rPr>
  </w:style>
  <w:style w:type="character" w:styleId="WW8Num1z2" w:customStyle="1">
    <w:name w:val="WW8Num1z2"/>
    <w:qFormat/>
    <w:rsid w:val="00be201a"/>
    <w:rPr>
      <w:rFonts w:ascii="Wingdings" w:hAnsi="Wingdings" w:cs="Wingdings"/>
    </w:rPr>
  </w:style>
  <w:style w:type="character" w:styleId="WW8Num2z0" w:customStyle="1">
    <w:name w:val="WW8Num2z0"/>
    <w:qFormat/>
    <w:rsid w:val="00be201a"/>
    <w:rPr/>
  </w:style>
  <w:style w:type="character" w:styleId="WW8Num2z1" w:customStyle="1">
    <w:name w:val="WW8Num2z1"/>
    <w:qFormat/>
    <w:rsid w:val="00be201a"/>
    <w:rPr/>
  </w:style>
  <w:style w:type="character" w:styleId="WW8Num2z2" w:customStyle="1">
    <w:name w:val="WW8Num2z2"/>
    <w:qFormat/>
    <w:rsid w:val="00be201a"/>
    <w:rPr/>
  </w:style>
  <w:style w:type="character" w:styleId="WW8Num2z3" w:customStyle="1">
    <w:name w:val="WW8Num2z3"/>
    <w:qFormat/>
    <w:rsid w:val="00be201a"/>
    <w:rPr/>
  </w:style>
  <w:style w:type="character" w:styleId="WW8Num2z4" w:customStyle="1">
    <w:name w:val="WW8Num2z4"/>
    <w:qFormat/>
    <w:rsid w:val="00be201a"/>
    <w:rPr/>
  </w:style>
  <w:style w:type="character" w:styleId="WW8Num2z5" w:customStyle="1">
    <w:name w:val="WW8Num2z5"/>
    <w:qFormat/>
    <w:rsid w:val="00be201a"/>
    <w:rPr/>
  </w:style>
  <w:style w:type="character" w:styleId="WW8Num2z6" w:customStyle="1">
    <w:name w:val="WW8Num2z6"/>
    <w:qFormat/>
    <w:rsid w:val="00be201a"/>
    <w:rPr/>
  </w:style>
  <w:style w:type="character" w:styleId="WW8Num2z7" w:customStyle="1">
    <w:name w:val="WW8Num2z7"/>
    <w:qFormat/>
    <w:rsid w:val="00be201a"/>
    <w:rPr/>
  </w:style>
  <w:style w:type="character" w:styleId="WW8Num2z8" w:customStyle="1">
    <w:name w:val="WW8Num2z8"/>
    <w:qFormat/>
    <w:rsid w:val="00be201a"/>
    <w:rPr/>
  </w:style>
  <w:style w:type="character" w:styleId="Standardnpsmoodstavce1" w:customStyle="1">
    <w:name w:val="Standardní písmo odstavce1"/>
    <w:qFormat/>
    <w:rsid w:val="00be201a"/>
    <w:rPr/>
  </w:style>
  <w:style w:type="character" w:styleId="ZhlavChar" w:customStyle="1">
    <w:name w:val="Záhlaví Char"/>
    <w:basedOn w:val="Standardnpsmoodstavce1"/>
    <w:qFormat/>
    <w:rsid w:val="00be201a"/>
    <w:rPr/>
  </w:style>
  <w:style w:type="character" w:styleId="ZpatChar" w:customStyle="1">
    <w:name w:val="Zápatí Char"/>
    <w:basedOn w:val="Standardnpsmoodstavce1"/>
    <w:qFormat/>
    <w:rsid w:val="00be201a"/>
    <w:rPr/>
  </w:style>
  <w:style w:type="character" w:styleId="Odrky" w:customStyle="1">
    <w:name w:val="Odrážky"/>
    <w:qFormat/>
    <w:rsid w:val="00be201a"/>
    <w:rPr>
      <w:rFonts w:ascii="OpenSymbol" w:hAnsi="OpenSymbol" w:eastAsia="OpenSymbol" w:cs="OpenSymbol"/>
    </w:rPr>
  </w:style>
  <w:style w:type="character" w:styleId="TextbublinyChar" w:customStyle="1">
    <w:name w:val="Text bubliny Char"/>
    <w:basedOn w:val="DefaultParagraphFont"/>
    <w:uiPriority w:val="99"/>
    <w:semiHidden/>
    <w:qFormat/>
    <w:rsid w:val="00011f48"/>
    <w:rPr>
      <w:rFonts w:ascii="Segoe UI" w:hAnsi="Segoe UI" w:eastAsia="SimSun" w:cs="Segoe UI"/>
      <w:sz w:val="18"/>
      <w:szCs w:val="18"/>
      <w:lang w:eastAsia="ar-SA"/>
    </w:rPr>
  </w:style>
  <w:style w:type="paragraph" w:styleId="Nadpis" w:customStyle="1">
    <w:name w:val="Nadpis"/>
    <w:basedOn w:val="Normal"/>
    <w:next w:val="BodyText"/>
    <w:qFormat/>
    <w:rsid w:val="00be201a"/>
    <w:pPr>
      <w:keepNext w:val="true"/>
      <w:spacing w:before="240" w:after="120"/>
    </w:pPr>
    <w:rPr>
      <w:rFonts w:ascii="Arial" w:hAnsi="Arial" w:eastAsia="Microsoft YaHei" w:cs="Mangal"/>
      <w:sz w:val="28"/>
      <w:szCs w:val="28"/>
    </w:rPr>
  </w:style>
  <w:style w:type="paragraph" w:styleId="BodyText">
    <w:name w:val="Body Text"/>
    <w:basedOn w:val="Normal"/>
    <w:rsid w:val="00be201a"/>
    <w:pPr>
      <w:spacing w:before="0" w:after="120"/>
    </w:pPr>
    <w:rPr/>
  </w:style>
  <w:style w:type="paragraph" w:styleId="List">
    <w:name w:val="List"/>
    <w:basedOn w:val="BodyText"/>
    <w:rsid w:val="00be201a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rsid w:val="00be201a"/>
    <w:pPr>
      <w:suppressLineNumbers/>
    </w:pPr>
    <w:rPr>
      <w:rFonts w:cs="Mangal"/>
    </w:rPr>
  </w:style>
  <w:style w:type="paragraph" w:styleId="Popisok" w:customStyle="1">
    <w:name w:val="Popisok"/>
    <w:basedOn w:val="Normal"/>
    <w:qFormat/>
    <w:rsid w:val="00be201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rsid w:val="00be201a"/>
    <w:pPr>
      <w:suppressLineNumbers/>
      <w:tabs>
        <w:tab w:val="clear" w:pos="708"/>
        <w:tab w:val="center" w:pos="4536" w:leader="none"/>
        <w:tab w:val="right" w:pos="9072" w:leader="none"/>
      </w:tabs>
      <w:spacing w:lineRule="atLeast" w:line="100" w:before="0" w:after="0"/>
    </w:pPr>
    <w:rPr/>
  </w:style>
  <w:style w:type="paragraph" w:styleId="Footer">
    <w:name w:val="Footer"/>
    <w:basedOn w:val="Normal"/>
    <w:rsid w:val="00be201a"/>
    <w:pPr>
      <w:suppressLineNumbers/>
      <w:tabs>
        <w:tab w:val="clear" w:pos="708"/>
        <w:tab w:val="center" w:pos="4536" w:leader="none"/>
        <w:tab w:val="right" w:pos="9072" w:leader="none"/>
      </w:tabs>
      <w:spacing w:lineRule="atLeast" w:line="100" w:before="0" w:after="0"/>
    </w:pPr>
    <w:rPr/>
  </w:style>
  <w:style w:type="paragraph" w:styleId="Odstavecseseznamem1" w:customStyle="1">
    <w:name w:val="Odstavec se seznamem1"/>
    <w:basedOn w:val="Normal"/>
    <w:qFormat/>
    <w:rsid w:val="00be201a"/>
    <w:pPr>
      <w:ind w:hanging="0" w:left="720"/>
    </w:pPr>
    <w:rPr/>
  </w:style>
  <w:style w:type="paragraph" w:styleId="Obsahtabuky" w:customStyle="1">
    <w:name w:val="Obsah tabuľky"/>
    <w:basedOn w:val="Normal"/>
    <w:qFormat/>
    <w:rsid w:val="00be201a"/>
    <w:pPr>
      <w:suppressLineNumbers/>
    </w:pPr>
    <w:rPr/>
  </w:style>
  <w:style w:type="paragraph" w:styleId="Nadpistabuky" w:customStyle="1">
    <w:name w:val="Nadpis tabuľky"/>
    <w:basedOn w:val="Obsahtabuky"/>
    <w:qFormat/>
    <w:rsid w:val="00be201a"/>
    <w:pPr>
      <w:jc w:val="center"/>
    </w:pPr>
    <w:rPr>
      <w:b/>
      <w:bCs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11f48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iv sady Office">
  <a:themeElements>
    <a:clrScheme name="Kancelář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266465-3A04-445A-A0D1-9B36488042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1231</TotalTime>
  <Application>LibreOffice/7.6.3.2$Windows_X86_64 LibreOffice_project/29d686fea9f6705b262d369fede658f824154cc0</Application>
  <AppVersion>15.0000</AppVersion>
  <Pages>6</Pages>
  <Words>1588</Words>
  <Characters>9583</Characters>
  <CharactersWithSpaces>11123</CharactersWithSpaces>
  <Paragraphs>176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2016-06-14T09:44:00Z</dcterms:created>
  <dc:creator>PC</dc:creator>
  <dc:description/>
  <dc:language>sk-SK</dc:language>
  <cp:lastModifiedBy/>
  <cp:lastPrinted>2022-06-09T07:29:00Z</cp:lastPrinted>
  <dcterms:modified xsi:type="dcterms:W3CDTF">2024-06-17T16:33:16Z</dcterms:modified>
  <cp:revision>100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