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E671E6" w:rsidRPr="00E671E6" w:rsidRDefault="00E671E6" w:rsidP="00E671E6">
      <w:pPr>
        <w:jc w:val="center"/>
        <w:rPr>
          <w:b/>
          <w:bCs/>
        </w:rPr>
      </w:pPr>
      <w:r w:rsidRPr="00E671E6">
        <w:rPr>
          <w:b/>
          <w:bCs/>
        </w:rPr>
        <w:t>Poznámky k 31.12.202</w:t>
      </w:r>
      <w:r w:rsidR="00B36706">
        <w:rPr>
          <w:b/>
          <w:bCs/>
        </w:rPr>
        <w:t>3</w:t>
      </w:r>
    </w:p>
    <w:p w:rsidR="00E671E6" w:rsidRPr="00E671E6" w:rsidRDefault="00E671E6" w:rsidP="00E671E6">
      <w:pPr>
        <w:jc w:val="center"/>
        <w:rPr>
          <w:b/>
          <w:bCs/>
        </w:rPr>
      </w:pPr>
      <w:r w:rsidRPr="00E671E6">
        <w:rPr>
          <w:b/>
          <w:bCs/>
        </w:rPr>
        <w:t>ako súčasť konsolidovanej účtovnej závierky</w:t>
      </w:r>
    </w:p>
    <w:p w:rsidR="00E671E6" w:rsidRPr="00E671E6" w:rsidRDefault="00E671E6" w:rsidP="00E671E6">
      <w:pPr>
        <w:jc w:val="center"/>
        <w:rPr>
          <w:b/>
          <w:bCs/>
        </w:rPr>
      </w:pPr>
      <w:r w:rsidRPr="00E671E6">
        <w:rPr>
          <w:b/>
          <w:bCs/>
        </w:rPr>
        <w:t>účtovnej jednotky verejnej správy</w:t>
      </w:r>
    </w:p>
    <w:p w:rsidR="00E671E6" w:rsidRPr="00E671E6" w:rsidRDefault="00E671E6" w:rsidP="00E671E6">
      <w:pPr>
        <w:jc w:val="center"/>
        <w:rPr>
          <w:b/>
          <w:bCs/>
        </w:rPr>
      </w:pPr>
      <w:r w:rsidRPr="00E671E6">
        <w:rPr>
          <w:b/>
          <w:bCs/>
        </w:rPr>
        <w:t>Čl. I</w:t>
      </w:r>
    </w:p>
    <w:p w:rsidR="00BD35E8" w:rsidRDefault="00E671E6" w:rsidP="00E671E6">
      <w:pPr>
        <w:jc w:val="center"/>
        <w:rPr>
          <w:b/>
          <w:bCs/>
        </w:rPr>
      </w:pPr>
      <w:r w:rsidRPr="00E671E6">
        <w:rPr>
          <w:b/>
          <w:bCs/>
        </w:rPr>
        <w:t>Všeobecné údaje</w:t>
      </w:r>
    </w:p>
    <w:p w:rsidR="00E671E6" w:rsidRDefault="00E671E6" w:rsidP="00E671E6">
      <w:pPr>
        <w:jc w:val="center"/>
        <w:rPr>
          <w:b/>
          <w:bCs/>
        </w:rPr>
      </w:pPr>
    </w:p>
    <w:p w:rsidR="00E671E6" w:rsidRDefault="00E671E6" w:rsidP="00E671E6">
      <w:pPr>
        <w:jc w:val="center"/>
        <w:rPr>
          <w:b/>
          <w:bCs/>
        </w:rPr>
      </w:pPr>
    </w:p>
    <w:p w:rsidR="00E671E6" w:rsidRPr="00EA61FF" w:rsidRDefault="00E671E6" w:rsidP="00E671E6">
      <w:pPr>
        <w:widowControl w:val="0"/>
        <w:spacing w:after="0" w:line="240" w:lineRule="auto"/>
        <w:rPr>
          <w:rFonts w:ascii="Arial" w:eastAsia="Arial" w:hAnsi="Arial" w:cs="Arial"/>
          <w:b/>
          <w:bCs/>
          <w:i/>
          <w:iCs/>
          <w:lang w:eastAsia="sk-SK" w:bidi="sk-SK"/>
        </w:rPr>
      </w:pPr>
      <w:r w:rsidRPr="00EA61FF">
        <w:rPr>
          <w:rFonts w:ascii="Arial" w:eastAsia="Arial" w:hAnsi="Arial" w:cs="Arial"/>
          <w:b/>
          <w:bCs/>
          <w:i/>
          <w:iCs/>
          <w:lang w:eastAsia="sk-SK" w:bidi="sk-SK"/>
        </w:rPr>
        <w:t>Identifikačné údaje o konsolidujúcej účtovnej jednotke</w:t>
      </w:r>
    </w:p>
    <w:p w:rsidR="00E671E6" w:rsidRDefault="00E671E6" w:rsidP="00E671E6">
      <w:pPr>
        <w:jc w:val="center"/>
        <w:rPr>
          <w:b/>
          <w:bCs/>
        </w:rPr>
      </w:pPr>
    </w:p>
    <w:tbl>
      <w:tblPr>
        <w:tblW w:w="10272" w:type="dxa"/>
        <w:tblInd w:w="-43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6"/>
        <w:gridCol w:w="5486"/>
      </w:tblGrid>
      <w:tr w:rsidR="00E671E6" w:rsidRPr="00EA61FF" w:rsidTr="00E671E6">
        <w:trPr>
          <w:trHeight w:hRule="exact" w:val="43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671E6" w:rsidRPr="00EA61FF" w:rsidRDefault="00E671E6" w:rsidP="00E671E6">
            <w:pPr>
              <w:widowControl w:val="0"/>
              <w:spacing w:after="0" w:line="240" w:lineRule="auto"/>
              <w:ind w:left="-866" w:firstLine="866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Názov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Obec Bernolákovo</w:t>
            </w:r>
          </w:p>
        </w:tc>
      </w:tr>
      <w:tr w:rsidR="00E671E6" w:rsidRPr="00EA61FF" w:rsidTr="00E671E6">
        <w:trPr>
          <w:trHeight w:hRule="exact" w:val="42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Sídlo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Hlavná 111, 900 27 Bernolákovo</w:t>
            </w:r>
          </w:p>
        </w:tc>
      </w:tr>
      <w:tr w:rsidR="00E671E6" w:rsidRPr="00EA61FF" w:rsidTr="00E671E6">
        <w:trPr>
          <w:trHeight w:hRule="exact" w:val="850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671E6" w:rsidRPr="00EA61FF" w:rsidRDefault="00E671E6" w:rsidP="00E671E6">
            <w:pPr>
              <w:widowControl w:val="0"/>
              <w:spacing w:after="0" w:line="36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Dátum založenia, vzniku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01.01.1991, podľa zákona č. 369/1990 Zb.</w:t>
            </w:r>
          </w:p>
        </w:tc>
      </w:tr>
    </w:tbl>
    <w:p w:rsidR="00E671E6" w:rsidRDefault="00E671E6" w:rsidP="00E671E6">
      <w:pPr>
        <w:ind w:left="-709"/>
        <w:jc w:val="center"/>
        <w:rPr>
          <w:b/>
          <w:bCs/>
        </w:rPr>
      </w:pPr>
    </w:p>
    <w:p w:rsidR="00E671E6" w:rsidRDefault="00E671E6" w:rsidP="00E671E6">
      <w:pPr>
        <w:ind w:left="-709"/>
        <w:jc w:val="center"/>
        <w:rPr>
          <w:b/>
          <w:bCs/>
        </w:rPr>
      </w:pPr>
    </w:p>
    <w:p w:rsidR="00E671E6" w:rsidRPr="00EA61FF" w:rsidRDefault="00E671E6" w:rsidP="00E671E6">
      <w:pPr>
        <w:widowControl w:val="0"/>
        <w:spacing w:after="0" w:line="240" w:lineRule="auto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b/>
          <w:bCs/>
          <w:i/>
          <w:iCs/>
          <w:lang w:eastAsia="sk-SK" w:bidi="sk-SK"/>
        </w:rPr>
        <w:t>Identifikačné údaje o konsolidovaných účtovných jednotkách - rozpočtových organizáciách v zriaďovateľskej pôsobnosti konsolidujúcej účtovnej jednotky</w:t>
      </w:r>
    </w:p>
    <w:p w:rsidR="00E671E6" w:rsidRDefault="00E671E6" w:rsidP="00E671E6">
      <w:pPr>
        <w:ind w:left="-709"/>
        <w:jc w:val="center"/>
        <w:rPr>
          <w:b/>
          <w:bCs/>
        </w:rPr>
      </w:pPr>
    </w:p>
    <w:p w:rsidR="00E671E6" w:rsidRDefault="00E671E6" w:rsidP="00E671E6">
      <w:pPr>
        <w:ind w:left="-709"/>
        <w:jc w:val="center"/>
        <w:rPr>
          <w:b/>
          <w:bCs/>
        </w:rPr>
      </w:pPr>
    </w:p>
    <w:tbl>
      <w:tblPr>
        <w:tblW w:w="10272" w:type="dxa"/>
        <w:tblInd w:w="-43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6"/>
        <w:gridCol w:w="5486"/>
      </w:tblGrid>
      <w:tr w:rsidR="00E671E6" w:rsidRPr="00EA61FF" w:rsidTr="00E671E6">
        <w:trPr>
          <w:trHeight w:hRule="exact" w:val="427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671E6" w:rsidRPr="00EA61FF" w:rsidRDefault="00E671E6" w:rsidP="00E671E6">
            <w:pPr>
              <w:widowControl w:val="0"/>
              <w:spacing w:after="0" w:line="240" w:lineRule="auto"/>
              <w:ind w:left="-441" w:firstLine="441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Názov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Základná škola Bernolákovo</w:t>
            </w:r>
          </w:p>
        </w:tc>
      </w:tr>
      <w:tr w:rsidR="00E671E6" w:rsidRPr="00EA61FF" w:rsidTr="00E671E6">
        <w:trPr>
          <w:trHeight w:hRule="exact" w:val="42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Sídlo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Komenského č. 3, 90027 Bernolákovo</w:t>
            </w:r>
          </w:p>
        </w:tc>
      </w:tr>
      <w:tr w:rsidR="00E671E6" w:rsidRPr="00EA61FF" w:rsidTr="00E671E6">
        <w:trPr>
          <w:trHeight w:hRule="exact" w:val="840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671E6" w:rsidRPr="00EA61FF" w:rsidRDefault="00E671E6" w:rsidP="00E671E6">
            <w:pPr>
              <w:widowControl w:val="0"/>
              <w:spacing w:after="12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Dátum založenia konsolidovanej účtovnej</w:t>
            </w:r>
          </w:p>
          <w:p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01.07.2002</w:t>
            </w:r>
          </w:p>
        </w:tc>
      </w:tr>
      <w:tr w:rsidR="00E671E6" w:rsidRPr="00EA61FF" w:rsidTr="00E671E6">
        <w:trPr>
          <w:trHeight w:hRule="exact" w:val="43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Podiel a vplyv na základnom imaní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100%</w:t>
            </w:r>
          </w:p>
        </w:tc>
      </w:tr>
    </w:tbl>
    <w:p w:rsidR="00E671E6" w:rsidRDefault="00E671E6" w:rsidP="00E671E6">
      <w:pPr>
        <w:ind w:left="-709"/>
        <w:jc w:val="center"/>
        <w:rPr>
          <w:b/>
          <w:bCs/>
        </w:rPr>
      </w:pPr>
    </w:p>
    <w:p w:rsidR="00E671E6" w:rsidRDefault="00E671E6" w:rsidP="00E671E6">
      <w:pPr>
        <w:widowControl w:val="0"/>
        <w:spacing w:after="0" w:line="240" w:lineRule="auto"/>
        <w:rPr>
          <w:rFonts w:ascii="Arial" w:eastAsia="Arial" w:hAnsi="Arial" w:cs="Arial"/>
          <w:b/>
          <w:bCs/>
          <w:i/>
          <w:iCs/>
          <w:lang w:eastAsia="sk-SK" w:bidi="sk-SK"/>
        </w:rPr>
      </w:pPr>
      <w:r w:rsidRPr="00EA61FF">
        <w:rPr>
          <w:rFonts w:ascii="Arial" w:eastAsia="Arial" w:hAnsi="Arial" w:cs="Arial"/>
          <w:b/>
          <w:bCs/>
          <w:i/>
          <w:iCs/>
          <w:lang w:eastAsia="sk-SK" w:bidi="sk-SK"/>
        </w:rPr>
        <w:t>Identifikačné údaje o konsolidovaných účtovných jednotkách - rozpočtových organizáciách v zriaďovateľskej pôsobnosti konsolidujúcej účtovnej jednotky</w:t>
      </w:r>
    </w:p>
    <w:p w:rsidR="00E671E6" w:rsidRDefault="00E671E6" w:rsidP="00E671E6">
      <w:pPr>
        <w:widowControl w:val="0"/>
        <w:spacing w:after="0" w:line="240" w:lineRule="auto"/>
        <w:rPr>
          <w:rFonts w:ascii="Arial" w:eastAsia="Arial" w:hAnsi="Arial" w:cs="Arial"/>
          <w:b/>
          <w:bCs/>
          <w:i/>
          <w:iCs/>
          <w:lang w:eastAsia="sk-SK" w:bidi="sk-SK"/>
        </w:rPr>
      </w:pPr>
    </w:p>
    <w:tbl>
      <w:tblPr>
        <w:tblW w:w="10272" w:type="dxa"/>
        <w:tblInd w:w="-43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6"/>
        <w:gridCol w:w="5486"/>
      </w:tblGrid>
      <w:tr w:rsidR="00E671E6" w:rsidRPr="00EA61FF" w:rsidTr="00B566E7">
        <w:trPr>
          <w:trHeight w:hRule="exact" w:val="427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671E6" w:rsidRPr="00EA61FF" w:rsidRDefault="00E671E6" w:rsidP="00B566E7">
            <w:pPr>
              <w:widowControl w:val="0"/>
              <w:spacing w:after="0" w:line="240" w:lineRule="auto"/>
              <w:ind w:left="-441" w:firstLine="441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Názov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671E6" w:rsidRPr="00EA61FF" w:rsidRDefault="00E671E6" w:rsidP="00B566E7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 xml:space="preserve">Základná </w:t>
            </w:r>
            <w:r w:rsidR="00B36706">
              <w:rPr>
                <w:rFonts w:ascii="Arial" w:eastAsia="Arial" w:hAnsi="Arial" w:cs="Arial"/>
                <w:i/>
                <w:iCs/>
                <w:lang w:eastAsia="sk-SK" w:bidi="sk-SK"/>
              </w:rPr>
              <w:t xml:space="preserve">umelecká </w:t>
            </w: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škola Bernolákovo</w:t>
            </w:r>
          </w:p>
        </w:tc>
      </w:tr>
      <w:tr w:rsidR="00E671E6" w:rsidRPr="00EA61FF" w:rsidTr="00B566E7">
        <w:trPr>
          <w:trHeight w:hRule="exact" w:val="42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671E6" w:rsidRPr="00EA61FF" w:rsidRDefault="00E671E6" w:rsidP="00B566E7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Sídlo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671E6" w:rsidRPr="00EA61FF" w:rsidRDefault="002F627B" w:rsidP="00B566E7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>
              <w:rPr>
                <w:rFonts w:ascii="Arial" w:eastAsia="Arial" w:hAnsi="Arial" w:cs="Arial"/>
                <w:i/>
                <w:iCs/>
                <w:lang w:eastAsia="sk-SK" w:bidi="sk-SK"/>
              </w:rPr>
              <w:t>Svätoplukova 38</w:t>
            </w:r>
            <w:r w:rsidR="00E671E6"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, 90027 Bernolákovo</w:t>
            </w:r>
          </w:p>
        </w:tc>
      </w:tr>
      <w:tr w:rsidR="00E671E6" w:rsidRPr="00EA61FF" w:rsidTr="00B566E7">
        <w:trPr>
          <w:trHeight w:hRule="exact" w:val="840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671E6" w:rsidRPr="00EA61FF" w:rsidRDefault="00E671E6" w:rsidP="00B566E7">
            <w:pPr>
              <w:widowControl w:val="0"/>
              <w:spacing w:after="12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Dátum založenia konsolidovanej účtovnej</w:t>
            </w:r>
          </w:p>
          <w:p w:rsidR="00E671E6" w:rsidRPr="00EA61FF" w:rsidRDefault="00E671E6" w:rsidP="00B566E7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671E6" w:rsidRPr="00EA61FF" w:rsidRDefault="002F627B" w:rsidP="00B566E7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>
              <w:rPr>
                <w:rFonts w:ascii="Arial" w:eastAsia="Arial" w:hAnsi="Arial" w:cs="Arial"/>
                <w:i/>
                <w:iCs/>
                <w:lang w:eastAsia="sk-SK" w:bidi="sk-SK"/>
              </w:rPr>
              <w:t>01.01.2023</w:t>
            </w:r>
          </w:p>
        </w:tc>
      </w:tr>
      <w:tr w:rsidR="00E671E6" w:rsidRPr="00EA61FF" w:rsidTr="00B566E7">
        <w:trPr>
          <w:trHeight w:hRule="exact" w:val="43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671E6" w:rsidRPr="00EA61FF" w:rsidRDefault="00E671E6" w:rsidP="00B566E7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Podiel a vplyv na základnom imaní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71E6" w:rsidRPr="00EA61FF" w:rsidRDefault="00E671E6" w:rsidP="00B566E7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100%</w:t>
            </w:r>
          </w:p>
        </w:tc>
      </w:tr>
    </w:tbl>
    <w:p w:rsidR="00E671E6" w:rsidRPr="00EA61FF" w:rsidRDefault="00E671E6" w:rsidP="00E671E6">
      <w:pPr>
        <w:widowControl w:val="0"/>
        <w:spacing w:after="0" w:line="240" w:lineRule="auto"/>
        <w:rPr>
          <w:rFonts w:ascii="Arial" w:eastAsia="Arial" w:hAnsi="Arial" w:cs="Arial"/>
          <w:lang w:eastAsia="sk-SK" w:bidi="sk-SK"/>
        </w:rPr>
      </w:pPr>
    </w:p>
    <w:p w:rsidR="00E671E6" w:rsidRPr="003116ED" w:rsidRDefault="003116ED" w:rsidP="003116ED">
      <w:pPr>
        <w:jc w:val="both"/>
      </w:pPr>
      <w:r w:rsidRPr="003116ED">
        <w:lastRenderedPageBreak/>
        <w:t xml:space="preserve">V rámci konsolidovaného celku </w:t>
      </w:r>
      <w:r>
        <w:t xml:space="preserve">bolo </w:t>
      </w:r>
      <w:r w:rsidRPr="003116ED">
        <w:t xml:space="preserve">v roku 2023 zamestnaných </w:t>
      </w:r>
      <w:r w:rsidR="00E23553">
        <w:t>258</w:t>
      </w:r>
      <w:r w:rsidRPr="003116ED">
        <w:t xml:space="preserve"> zamestnancov, z toho </w:t>
      </w:r>
      <w:r w:rsidR="00E23553">
        <w:t>19</w:t>
      </w:r>
      <w:r w:rsidRPr="003116ED">
        <w:t xml:space="preserve"> vedúcich zamestnancov</w:t>
      </w:r>
      <w:r>
        <w:t>.</w:t>
      </w:r>
    </w:p>
    <w:p w:rsidR="00E671E6" w:rsidRDefault="00E671E6" w:rsidP="00E671E6">
      <w:pPr>
        <w:ind w:left="-709"/>
        <w:jc w:val="center"/>
        <w:rPr>
          <w:b/>
          <w:bCs/>
        </w:rPr>
      </w:pPr>
    </w:p>
    <w:p w:rsidR="00E671E6" w:rsidRPr="00EA61FF" w:rsidRDefault="00E671E6" w:rsidP="00E671E6">
      <w:pPr>
        <w:widowControl w:val="0"/>
        <w:spacing w:after="320" w:line="240" w:lineRule="auto"/>
        <w:jc w:val="both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b/>
          <w:bCs/>
          <w:lang w:eastAsia="sk-SK" w:bidi="sk-SK"/>
        </w:rPr>
        <w:t xml:space="preserve">Informácie o metódach oceňovania použitých pri ocenení jednotlivých položiek konsolidovanej účtovnej závierky </w:t>
      </w:r>
      <w:r w:rsidRPr="00EA61FF">
        <w:rPr>
          <w:rFonts w:ascii="Arial" w:eastAsia="Arial" w:hAnsi="Arial" w:cs="Arial"/>
          <w:b/>
          <w:bCs/>
          <w:i/>
          <w:iCs/>
          <w:lang w:eastAsia="sk-SK" w:bidi="sk-SK"/>
        </w:rPr>
        <w:t>Obce Bernolákovo</w:t>
      </w:r>
    </w:p>
    <w:p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10"/>
        </w:tabs>
        <w:spacing w:after="0" w:line="410" w:lineRule="auto"/>
        <w:ind w:left="800" w:hanging="340"/>
        <w:jc w:val="both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Pri oceňovaní majetku a záväzkov sa uplatňuje zásada opatrnosti. Za základ sa berú všetky riziká, straty a zníženia hodnoty, ktoré sa týkajú majetku a záväzkov a sú známe ku dňu zostavenia účtovnej závierky.</w:t>
      </w:r>
    </w:p>
    <w:p w:rsidR="00E671E6" w:rsidRDefault="00E671E6" w:rsidP="00E671E6">
      <w:pPr>
        <w:widowControl w:val="0"/>
        <w:numPr>
          <w:ilvl w:val="0"/>
          <w:numId w:val="1"/>
        </w:numPr>
        <w:tabs>
          <w:tab w:val="left" w:pos="810"/>
        </w:tabs>
        <w:spacing w:after="0" w:line="410" w:lineRule="auto"/>
        <w:ind w:left="800" w:hanging="340"/>
        <w:jc w:val="both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 xml:space="preserve">Dlhodobý hmotný a nehmotný majetok nakupovaný sa oceňuje obstarávacou cenou, ktorá zahrňuje cenu obstarania a náklady súvisiace s obstaraním (clo, prepravu, </w:t>
      </w:r>
    </w:p>
    <w:p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Súčasťou obstarávacej ceny dlhodobého nehmotného a hmotného majetku sú úroky z úverov.</w:t>
      </w:r>
    </w:p>
    <w:p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Dlhodobý majetok vytvorený vlastnou činnosťou sa oceňuje vlastnými nákladmi, ktoré predstavujú všetky priame náklady vynaložené na výrobu alebo inú činnosť a všetky nepriame náklady vzťahujúce sa na výrobu alebo inú činnosť.</w:t>
      </w:r>
    </w:p>
    <w:p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Dlhodobý majetok nadobudnutý darovaním sa oceňuje reálnou cenou</w:t>
      </w:r>
    </w:p>
    <w:p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Dlhodobý majetok nadobudnutý prevodom správy sa oceňuje cenou, v ktorej sa doteraz viedol v účtovníctve.</w:t>
      </w:r>
    </w:p>
    <w:p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Dlhodobý finančný majetok sa oceňuje obstarávacou cenou.</w:t>
      </w:r>
    </w:p>
    <w:p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Deriváty sa pri nadobudnutí oceňujú cenou obstarania a ku dňu, ku ktorému sa zostavuje účtovná závierka, reálnou hodnotou.</w:t>
      </w:r>
    </w:p>
    <w:p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Majetok a záväzky zabezpečené derivátmi sa oceňujú reálnou hodnotou.</w:t>
      </w:r>
    </w:p>
    <w:p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Nakupované zásoby sa oceňujú obstarávacou cenou, ktorou je cena obstarania vrátane nákladov súvisiacich s obstaraním ako napr. prepravné, provízia, poistné a zľavy.</w:t>
      </w:r>
    </w:p>
    <w:p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Zásoby vytvorené vlastnou činnosťou sa oceňujú vlastnými nákladmi t.j. priamymi nákladmi vynaloženými na tvorbu zásob ako aj časťou nepriamych nákladov, ktoré sa k tvorbe zásob vzťahujú.</w:t>
      </w:r>
    </w:p>
    <w:p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Pohľadávky sa oceňujú v menovitej hodnote.</w:t>
      </w:r>
    </w:p>
    <w:p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Cenné papiere a podiely sa oceňujú obstarávacími cenami, vrátane nákladov súvisiacich s obstaraním.</w:t>
      </w:r>
    </w:p>
    <w:p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Pohľadávky sa pri ich vzniku oceňujú menovitou hodnotou.</w:t>
      </w:r>
    </w:p>
    <w:p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Peňažné prostriedky a ceniny sa oceňujú ich menovitou hodnotou.</w:t>
      </w:r>
    </w:p>
    <w:p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Záväzky sa pri ich vzniku oceňujú menovitou hodnotou.</w:t>
      </w:r>
    </w:p>
    <w:p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Záväzky sa pri ich prevzatí oceňujú obstarávacou cenou.</w:t>
      </w:r>
    </w:p>
    <w:p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58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 xml:space="preserve">Ak sa pri inventarizácii zistí, že suma záväzkov je iná ako ich výška v účtovníctve, </w:t>
      </w:r>
      <w:r w:rsidRPr="00EA61FF">
        <w:rPr>
          <w:rFonts w:ascii="Arial" w:eastAsia="Arial" w:hAnsi="Arial" w:cs="Arial"/>
          <w:lang w:eastAsia="sk-SK" w:bidi="sk-SK"/>
        </w:rPr>
        <w:lastRenderedPageBreak/>
        <w:t>uvedú sa záväzky v účtovníctve a v účtovnej závierke v tomto zistenom ocenení.</w:t>
      </w:r>
    </w:p>
    <w:p w:rsidR="00E671E6" w:rsidRPr="00EA61FF" w:rsidRDefault="00E671E6" w:rsidP="00E671E6">
      <w:pPr>
        <w:widowControl w:val="0"/>
        <w:spacing w:after="120" w:line="360" w:lineRule="auto"/>
        <w:jc w:val="center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b/>
          <w:bCs/>
          <w:lang w:eastAsia="sk-SK" w:bidi="sk-SK"/>
        </w:rPr>
        <w:t>Čl. II</w:t>
      </w:r>
    </w:p>
    <w:p w:rsidR="00E671E6" w:rsidRDefault="00E671E6" w:rsidP="00E671E6">
      <w:pPr>
        <w:widowControl w:val="0"/>
        <w:spacing w:after="120" w:line="360" w:lineRule="auto"/>
        <w:jc w:val="center"/>
        <w:rPr>
          <w:rFonts w:ascii="Arial" w:eastAsia="Arial" w:hAnsi="Arial" w:cs="Arial"/>
          <w:b/>
          <w:bCs/>
          <w:lang w:eastAsia="sk-SK" w:bidi="sk-SK"/>
        </w:rPr>
      </w:pPr>
      <w:r w:rsidRPr="00EA61FF">
        <w:rPr>
          <w:rFonts w:ascii="Arial" w:eastAsia="Arial" w:hAnsi="Arial" w:cs="Arial"/>
          <w:b/>
          <w:bCs/>
          <w:lang w:eastAsia="sk-SK" w:bidi="sk-SK"/>
        </w:rPr>
        <w:t>Informácie o metódach a postupoch konsolidácie</w:t>
      </w:r>
    </w:p>
    <w:p w:rsidR="00E671E6" w:rsidRPr="00EA61FF" w:rsidRDefault="00E671E6" w:rsidP="00E671E6">
      <w:pPr>
        <w:widowControl w:val="0"/>
        <w:spacing w:after="120" w:line="360" w:lineRule="auto"/>
        <w:jc w:val="center"/>
        <w:rPr>
          <w:rFonts w:ascii="Arial" w:eastAsia="Arial" w:hAnsi="Arial" w:cs="Arial"/>
          <w:lang w:eastAsia="sk-SK" w:bidi="sk-SK"/>
        </w:rPr>
      </w:pPr>
    </w:p>
    <w:p w:rsidR="00E671E6" w:rsidRPr="00EA61FF" w:rsidRDefault="00E671E6" w:rsidP="00E671E6">
      <w:pPr>
        <w:widowControl w:val="0"/>
        <w:spacing w:after="0" w:line="360" w:lineRule="auto"/>
        <w:jc w:val="both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Konsolidovaná účtovná závierka Obce Bernolákovo bola zostavená v súlade so zákonom č. 431/2002 Z. z. o účtovníctve v znení neskorších predpisov v súlade s Opatrením Ministerstva financií Slovenskej republiky zo dňa 17. 12. 2008 č. MF/27526/2008 - 31 v znení neskorších predpisov, ktorým sa ustanovujú podrobnosti o metódach a postupoch</w:t>
      </w:r>
    </w:p>
    <w:p w:rsidR="00E671E6" w:rsidRPr="00EA61FF" w:rsidRDefault="00E671E6" w:rsidP="00E671E6">
      <w:pPr>
        <w:widowControl w:val="0"/>
        <w:spacing w:after="0" w:line="360" w:lineRule="auto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montáž, poistné a pod.).</w:t>
      </w:r>
      <w:r w:rsidRPr="00E671E6">
        <w:rPr>
          <w:rFonts w:ascii="Arial" w:eastAsia="Arial" w:hAnsi="Arial" w:cs="Arial"/>
          <w:lang w:eastAsia="sk-SK" w:bidi="sk-SK"/>
        </w:rPr>
        <w:t xml:space="preserve"> </w:t>
      </w:r>
      <w:r w:rsidRPr="00EA61FF">
        <w:rPr>
          <w:rFonts w:ascii="Arial" w:eastAsia="Arial" w:hAnsi="Arial" w:cs="Arial"/>
          <w:lang w:eastAsia="sk-SK" w:bidi="sk-SK"/>
        </w:rPr>
        <w:t>konsolidácie vo verejnej správe a podrobnosti o usporiadaní a označovaní položiek konsolidovanej účtovnej závierky vo verejnej správe.</w:t>
      </w:r>
    </w:p>
    <w:p w:rsidR="00E671E6" w:rsidRDefault="00E671E6" w:rsidP="00E671E6">
      <w:pPr>
        <w:widowControl w:val="0"/>
        <w:spacing w:after="0" w:line="240" w:lineRule="auto"/>
        <w:rPr>
          <w:rFonts w:ascii="Arial" w:eastAsia="Arial" w:hAnsi="Arial" w:cs="Arial"/>
          <w:b/>
          <w:bCs/>
          <w:i/>
          <w:iCs/>
          <w:lang w:eastAsia="sk-SK" w:bidi="sk-SK"/>
        </w:rPr>
      </w:pPr>
      <w:r w:rsidRPr="00E671E6">
        <w:rPr>
          <w:rFonts w:ascii="Arial" w:eastAsia="Arial" w:hAnsi="Arial" w:cs="Arial"/>
          <w:b/>
          <w:bCs/>
          <w:i/>
          <w:iCs/>
          <w:lang w:eastAsia="sk-SK" w:bidi="sk-SK"/>
        </w:rPr>
        <w:t>Zahrnutie konsolidovaných účtovných jednotiek do konsolidovanej účtovnej závierky</w:t>
      </w:r>
    </w:p>
    <w:p w:rsidR="00E671E6" w:rsidRPr="00E671E6" w:rsidRDefault="00E671E6" w:rsidP="00E671E6">
      <w:pPr>
        <w:widowControl w:val="0"/>
        <w:spacing w:after="0" w:line="240" w:lineRule="auto"/>
        <w:rPr>
          <w:rFonts w:ascii="Arial" w:eastAsia="Arial" w:hAnsi="Arial" w:cs="Arial"/>
          <w:b/>
          <w:bCs/>
          <w:i/>
          <w:iCs/>
          <w:lang w:eastAsia="sk-SK" w:bidi="sk-SK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05"/>
        <w:gridCol w:w="1670"/>
        <w:gridCol w:w="1670"/>
        <w:gridCol w:w="1603"/>
      </w:tblGrid>
      <w:tr w:rsidR="00E671E6" w:rsidRPr="00EA61FF" w:rsidTr="00E671E6">
        <w:trPr>
          <w:trHeight w:hRule="exact" w:val="1258"/>
        </w:trPr>
        <w:tc>
          <w:tcPr>
            <w:tcW w:w="48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671E6" w:rsidRPr="00EA61FF" w:rsidRDefault="00E671E6" w:rsidP="00E671E6">
            <w:pPr>
              <w:widowControl w:val="0"/>
              <w:spacing w:after="0" w:line="360" w:lineRule="auto"/>
              <w:jc w:val="center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b/>
                <w:bCs/>
                <w:i/>
                <w:iCs/>
                <w:lang w:eastAsia="sk-SK" w:bidi="sk-SK"/>
              </w:rPr>
              <w:t>Názov resp. obchodné meno konsolidovanej účtovnej jednotky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671E6" w:rsidRPr="00EA61FF" w:rsidRDefault="00E671E6" w:rsidP="00E671E6">
            <w:pPr>
              <w:widowControl w:val="0"/>
              <w:spacing w:after="0" w:line="360" w:lineRule="auto"/>
              <w:jc w:val="center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b/>
                <w:bCs/>
                <w:i/>
                <w:iCs/>
                <w:lang w:eastAsia="sk-SK" w:bidi="sk-SK"/>
              </w:rPr>
              <w:t>Metóda úplnej konsolidácie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671E6" w:rsidRPr="00EA61FF" w:rsidRDefault="00E671E6" w:rsidP="00E671E6">
            <w:pPr>
              <w:widowControl w:val="0"/>
              <w:spacing w:after="0" w:line="360" w:lineRule="auto"/>
              <w:jc w:val="center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b/>
                <w:bCs/>
                <w:i/>
                <w:iCs/>
                <w:lang w:eastAsia="sk-SK" w:bidi="sk-SK"/>
              </w:rPr>
              <w:t>Metóda</w:t>
            </w:r>
          </w:p>
          <w:p w:rsidR="00E671E6" w:rsidRPr="00EA61FF" w:rsidRDefault="00E671E6" w:rsidP="00E671E6">
            <w:pPr>
              <w:widowControl w:val="0"/>
              <w:spacing w:after="0" w:line="360" w:lineRule="auto"/>
              <w:jc w:val="center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b/>
                <w:bCs/>
                <w:i/>
                <w:iCs/>
                <w:lang w:eastAsia="sk-SK" w:bidi="sk-SK"/>
              </w:rPr>
              <w:t>podielovej konsolidácie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671E6" w:rsidRPr="00EA61FF" w:rsidRDefault="00E671E6" w:rsidP="00E671E6">
            <w:pPr>
              <w:widowControl w:val="0"/>
              <w:spacing w:after="0" w:line="360" w:lineRule="auto"/>
              <w:jc w:val="center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b/>
                <w:bCs/>
                <w:i/>
                <w:iCs/>
                <w:lang w:eastAsia="sk-SK" w:bidi="sk-SK"/>
              </w:rPr>
              <w:t>Metóda vlastného imania</w:t>
            </w:r>
          </w:p>
        </w:tc>
      </w:tr>
      <w:tr w:rsidR="00E671E6" w:rsidRPr="00EA61FF" w:rsidTr="00E671E6">
        <w:trPr>
          <w:trHeight w:hRule="exact" w:val="432"/>
        </w:trPr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Konsolidovaná účtovná jednotka - ZŠ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áno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-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-</w:t>
            </w:r>
          </w:p>
        </w:tc>
      </w:tr>
      <w:tr w:rsidR="00E671E6" w:rsidRPr="00EA61FF" w:rsidTr="00E671E6">
        <w:trPr>
          <w:trHeight w:hRule="exact" w:val="432"/>
        </w:trPr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i/>
                <w:iCs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Konsolidovaná účtovná jednotka - ZUŠ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i/>
                <w:iCs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áno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i/>
                <w:iCs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-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i/>
                <w:iCs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-</w:t>
            </w:r>
          </w:p>
        </w:tc>
      </w:tr>
    </w:tbl>
    <w:p w:rsidR="00E671E6" w:rsidRDefault="00E671E6" w:rsidP="00E671E6">
      <w:pPr>
        <w:widowControl w:val="0"/>
        <w:tabs>
          <w:tab w:val="left" w:pos="810"/>
        </w:tabs>
        <w:spacing w:after="0" w:line="410" w:lineRule="auto"/>
        <w:jc w:val="both"/>
        <w:rPr>
          <w:rFonts w:ascii="Arial" w:eastAsia="Arial" w:hAnsi="Arial" w:cs="Arial"/>
          <w:lang w:eastAsia="sk-SK" w:bidi="sk-SK"/>
        </w:rPr>
      </w:pPr>
    </w:p>
    <w:p w:rsidR="00E671E6" w:rsidRPr="00EA61FF" w:rsidRDefault="00E671E6" w:rsidP="00E671E6">
      <w:pPr>
        <w:widowControl w:val="0"/>
        <w:tabs>
          <w:tab w:val="left" w:pos="810"/>
        </w:tabs>
        <w:spacing w:after="0" w:line="410" w:lineRule="auto"/>
        <w:jc w:val="both"/>
        <w:rPr>
          <w:rFonts w:ascii="Arial" w:eastAsia="Arial" w:hAnsi="Arial" w:cs="Arial"/>
          <w:lang w:eastAsia="sk-SK" w:bidi="sk-SK"/>
        </w:rPr>
      </w:pPr>
    </w:p>
    <w:p w:rsidR="00E671E6" w:rsidRPr="00E671E6" w:rsidRDefault="00E671E6" w:rsidP="00E671E6">
      <w:pPr>
        <w:ind w:left="-709"/>
        <w:jc w:val="center"/>
        <w:rPr>
          <w:b/>
          <w:bCs/>
        </w:rPr>
      </w:pPr>
      <w:r w:rsidRPr="00E671E6">
        <w:rPr>
          <w:b/>
          <w:bCs/>
        </w:rPr>
        <w:t>Metóda úplnej konsolidácie bola použitá pri dcérskych účtovných jednotkách.</w:t>
      </w:r>
    </w:p>
    <w:p w:rsidR="00E671E6" w:rsidRPr="00E671E6" w:rsidRDefault="00E671E6" w:rsidP="00E671E6">
      <w:pPr>
        <w:ind w:left="-709"/>
        <w:rPr>
          <w:b/>
          <w:bCs/>
        </w:rPr>
      </w:pPr>
      <w:r w:rsidRPr="00E671E6">
        <w:rPr>
          <w:b/>
          <w:bCs/>
        </w:rPr>
        <w:t>Moment prvej konsolidácie kapitálu :</w:t>
      </w:r>
    </w:p>
    <w:p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Pri rozpo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tov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organiz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ci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ch je to de</w:t>
      </w:r>
      <w:r w:rsidRPr="00E671E6">
        <w:rPr>
          <w:rFonts w:ascii="Calibri" w:hAnsi="Calibri" w:cs="Calibri"/>
          <w:b/>
          <w:bCs/>
        </w:rPr>
        <w:t>ň</w:t>
      </w:r>
      <w:r w:rsidRPr="00E671E6">
        <w:rPr>
          <w:b/>
          <w:bCs/>
        </w:rPr>
        <w:t xml:space="preserve"> ich zriadenia.</w:t>
      </w:r>
    </w:p>
    <w:p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Pri pr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>spevkov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organiz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ci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ch je to de</w:t>
      </w:r>
      <w:r w:rsidRPr="00E671E6">
        <w:rPr>
          <w:rFonts w:ascii="Calibri" w:hAnsi="Calibri" w:cs="Calibri"/>
          <w:b/>
          <w:bCs/>
        </w:rPr>
        <w:t>ň</w:t>
      </w:r>
      <w:r w:rsidRPr="00E671E6">
        <w:rPr>
          <w:b/>
          <w:bCs/>
        </w:rPr>
        <w:t xml:space="preserve"> ich zriadenia.</w:t>
      </w:r>
    </w:p>
    <w:p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Pri obchodn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spolo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nostiach je to de</w:t>
      </w:r>
      <w:r w:rsidRPr="00E671E6">
        <w:rPr>
          <w:rFonts w:ascii="Calibri" w:hAnsi="Calibri" w:cs="Calibri"/>
          <w:b/>
          <w:bCs/>
        </w:rPr>
        <w:t>ň</w:t>
      </w:r>
      <w:r w:rsidRPr="00E671E6">
        <w:rPr>
          <w:b/>
          <w:bCs/>
        </w:rPr>
        <w:t xml:space="preserve"> obstarania podielov.</w:t>
      </w:r>
    </w:p>
    <w:p w:rsidR="00E671E6" w:rsidRPr="00E671E6" w:rsidRDefault="00E671E6" w:rsidP="00E671E6">
      <w:pPr>
        <w:ind w:left="-709"/>
        <w:rPr>
          <w:b/>
          <w:bCs/>
        </w:rPr>
      </w:pPr>
      <w:r w:rsidRPr="00E671E6">
        <w:rPr>
          <w:b/>
          <w:bCs/>
        </w:rPr>
        <w:t>Informácie o goodwille</w:t>
      </w:r>
    </w:p>
    <w:p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Goodwill nevznik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pri konsolidovanej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tovnej jednotke, ktorou je rozpo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tov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organiz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cia.</w:t>
      </w:r>
    </w:p>
    <w:p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Goodwill nevznik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pri konsolidovanej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tovnej jednotke, ktorou je pr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>spevkov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organiz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cia.</w:t>
      </w:r>
    </w:p>
    <w:p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Goodwill nevznik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pri zalo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 xml:space="preserve"> konsolidovanej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tovnej jednotky, ktorou je obchodn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spolo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nos</w:t>
      </w:r>
      <w:r w:rsidRPr="00E671E6">
        <w:rPr>
          <w:rFonts w:ascii="Calibri" w:hAnsi="Calibri" w:cs="Calibri"/>
          <w:b/>
          <w:bCs/>
        </w:rPr>
        <w:t>ť</w:t>
      </w:r>
      <w:r w:rsidRPr="00E671E6">
        <w:rPr>
          <w:b/>
          <w:bCs/>
        </w:rPr>
        <w:t>.</w:t>
      </w:r>
    </w:p>
    <w:p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Goodwill vznik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pri k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>pe u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 xml:space="preserve"> existuj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 xml:space="preserve">cej konsolidovanej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tovnej jednotky, ktorou je obchodn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spolo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nos</w:t>
      </w:r>
      <w:r w:rsidRPr="00E671E6">
        <w:rPr>
          <w:rFonts w:ascii="Calibri" w:hAnsi="Calibri" w:cs="Calibri"/>
          <w:b/>
          <w:bCs/>
        </w:rPr>
        <w:t>ť</w:t>
      </w:r>
      <w:r w:rsidRPr="00E671E6">
        <w:rPr>
          <w:b/>
          <w:bCs/>
        </w:rPr>
        <w:t>.</w:t>
      </w:r>
    </w:p>
    <w:p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Goodwill sa odpisuje do 5 rokov.</w:t>
      </w:r>
    </w:p>
    <w:p w:rsidR="00E671E6" w:rsidRDefault="00E671E6" w:rsidP="00E671E6">
      <w:pPr>
        <w:ind w:left="-709"/>
        <w:jc w:val="center"/>
        <w:rPr>
          <w:b/>
          <w:bCs/>
        </w:rPr>
      </w:pPr>
    </w:p>
    <w:p w:rsidR="00E671E6" w:rsidRDefault="00E671E6" w:rsidP="00E671E6">
      <w:pPr>
        <w:ind w:left="-709"/>
        <w:jc w:val="center"/>
        <w:rPr>
          <w:b/>
          <w:bCs/>
        </w:rPr>
      </w:pPr>
    </w:p>
    <w:p w:rsidR="00E671E6" w:rsidRPr="00E671E6" w:rsidRDefault="00E671E6" w:rsidP="00E671E6">
      <w:pPr>
        <w:ind w:left="-709"/>
        <w:jc w:val="center"/>
        <w:rPr>
          <w:b/>
          <w:bCs/>
        </w:rPr>
      </w:pPr>
      <w:r w:rsidRPr="00E671E6">
        <w:rPr>
          <w:b/>
          <w:bCs/>
        </w:rPr>
        <w:t>Čl. III</w:t>
      </w:r>
    </w:p>
    <w:p w:rsidR="00E671E6" w:rsidRDefault="00E671E6" w:rsidP="00E671E6">
      <w:pPr>
        <w:ind w:left="-709"/>
        <w:jc w:val="center"/>
        <w:rPr>
          <w:b/>
          <w:bCs/>
        </w:rPr>
      </w:pPr>
      <w:r w:rsidRPr="00E671E6">
        <w:rPr>
          <w:b/>
          <w:bCs/>
        </w:rPr>
        <w:t>Informácie o údajoch aktív a</w:t>
      </w:r>
      <w:r>
        <w:rPr>
          <w:b/>
          <w:bCs/>
        </w:rPr>
        <w:t> </w:t>
      </w:r>
      <w:r w:rsidRPr="00E671E6">
        <w:rPr>
          <w:b/>
          <w:bCs/>
        </w:rPr>
        <w:t>pasív</w:t>
      </w:r>
    </w:p>
    <w:p w:rsidR="00E671E6" w:rsidRPr="00E671E6" w:rsidRDefault="00E671E6" w:rsidP="00E671E6">
      <w:pPr>
        <w:ind w:left="-709"/>
        <w:jc w:val="center"/>
        <w:rPr>
          <w:b/>
          <w:bCs/>
        </w:rPr>
      </w:pPr>
    </w:p>
    <w:p w:rsidR="00E671E6" w:rsidRPr="00E671E6" w:rsidRDefault="00E671E6" w:rsidP="00E671E6">
      <w:pPr>
        <w:ind w:left="-709"/>
        <w:jc w:val="center"/>
        <w:rPr>
          <w:b/>
          <w:bCs/>
        </w:rPr>
      </w:pPr>
      <w:r w:rsidRPr="00E671E6">
        <w:rPr>
          <w:b/>
          <w:bCs/>
        </w:rPr>
        <w:t>Popis údajov vyplnených v prehľade pohybov dlhodobého nehmotného a dlhodobého hmotného majetku</w:t>
      </w:r>
    </w:p>
    <w:p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Bezprostredne predch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dzaj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 xml:space="preserve">ce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obdobie sa 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pe k 31.12.202</w:t>
      </w:r>
      <w:r w:rsidR="002F627B">
        <w:rPr>
          <w:b/>
          <w:bCs/>
        </w:rPr>
        <w:t>2</w:t>
      </w:r>
    </w:p>
    <w:p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Be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obdobie sa vykazuje k 31.12.202</w:t>
      </w:r>
      <w:r w:rsidR="002F627B">
        <w:rPr>
          <w:b/>
          <w:bCs/>
        </w:rPr>
        <w:t>3</w:t>
      </w:r>
    </w:p>
    <w:p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>rastok je prvotn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vyk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zanie obstarania dlhodob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nehmotn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</w:t>
      </w:r>
    </w:p>
    <w:p w:rsidR="00E671E6" w:rsidRDefault="00E671E6" w:rsidP="00E671E6">
      <w:pPr>
        <w:ind w:left="-709"/>
        <w:jc w:val="both"/>
        <w:rPr>
          <w:b/>
          <w:bCs/>
        </w:rPr>
      </w:pPr>
      <w:r w:rsidRPr="00E671E6">
        <w:rPr>
          <w:b/>
          <w:bCs/>
        </w:rPr>
        <w:t>a dlhodobého hmotného majetku akoukoľvek formou, zvýšenie aktív (napr. kúpa, darovanie)</w:t>
      </w:r>
    </w:p>
    <w:p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>bytok je vyk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zanie zn</w:t>
      </w:r>
      <w:r w:rsidRPr="00E671E6">
        <w:rPr>
          <w:rFonts w:ascii="Calibri" w:hAnsi="Calibri" w:cs="Calibri"/>
          <w:b/>
          <w:bCs/>
        </w:rPr>
        <w:t>íž</w:t>
      </w:r>
      <w:r w:rsidRPr="00E671E6">
        <w:rPr>
          <w:b/>
          <w:bCs/>
        </w:rPr>
        <w:t>enia akt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>v (napr. predaj, darovanie)</w:t>
      </w:r>
    </w:p>
    <w:p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Presun je vyk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zanie zmeny hodnoty niektorej polo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ky bez zmeny celkovej hodnoty akt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>v</w:t>
      </w:r>
    </w:p>
    <w:p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b/>
          <w:bCs/>
        </w:rPr>
        <w:t>Popis významných informácií o aktívach a pasívach</w:t>
      </w:r>
    </w:p>
    <w:p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Konsolidovan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 xml:space="preserve"> celok Obce Bernol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kovo zah</w:t>
      </w:r>
      <w:r w:rsidRPr="00E671E6">
        <w:rPr>
          <w:rFonts w:ascii="Calibri" w:hAnsi="Calibri" w:cs="Calibri"/>
          <w:b/>
          <w:bCs/>
        </w:rPr>
        <w:t>ŕň</w:t>
      </w:r>
      <w:r w:rsidRPr="00E671E6">
        <w:rPr>
          <w:b/>
          <w:bCs/>
        </w:rPr>
        <w:t>a dve rozpo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tov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organiz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cie, ich identifika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>daje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dzaj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 xml:space="preserve">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preh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ade.</w:t>
      </w:r>
    </w:p>
    <w:p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Preh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 o pohybe dlhodob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majetku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. 2 vysvet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uje polo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ky s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>vahy - akt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 xml:space="preserve">v. </w:t>
      </w: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Obec vlastn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 xml:space="preserve"> 50 % podiel v penzi</w:t>
      </w:r>
      <w:r w:rsidRPr="00E671E6">
        <w:rPr>
          <w:rFonts w:ascii="Calibri" w:hAnsi="Calibri" w:cs="Calibri"/>
          <w:b/>
          <w:bCs/>
        </w:rPr>
        <w:t>ó</w:t>
      </w:r>
      <w:r w:rsidRPr="00E671E6">
        <w:rPr>
          <w:b/>
          <w:bCs/>
        </w:rPr>
        <w:t>ne Pohoda.</w:t>
      </w:r>
    </w:p>
    <w:p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Konsolidovan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 xml:space="preserve"> celok vykazuje kr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tkodob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poh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vky, ktor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dzaj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 xml:space="preserve">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. 9. Najv</w:t>
      </w:r>
      <w:r w:rsidRPr="00E671E6">
        <w:rPr>
          <w:rFonts w:ascii="Calibri" w:hAnsi="Calibri" w:cs="Calibri"/>
          <w:b/>
          <w:bCs/>
        </w:rPr>
        <w:t>äčší</w:t>
      </w:r>
      <w:r w:rsidRPr="00E671E6">
        <w:rPr>
          <w:b/>
          <w:bCs/>
        </w:rPr>
        <w:t xml:space="preserve"> podiel na vyk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zan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kr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tkodob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poh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vkach m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obec.</w:t>
      </w:r>
    </w:p>
    <w:p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Preh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 xml:space="preserve">ad o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asovom rozl</w:t>
      </w:r>
      <w:r w:rsidRPr="00E671E6">
        <w:rPr>
          <w:rFonts w:ascii="Calibri" w:hAnsi="Calibri" w:cs="Calibri"/>
          <w:b/>
          <w:bCs/>
        </w:rPr>
        <w:t>íš</w:t>
      </w:r>
      <w:r w:rsidRPr="00E671E6">
        <w:rPr>
          <w:b/>
          <w:bCs/>
        </w:rPr>
        <w:t>en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 xml:space="preserve"> na strane akt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>v - n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klady bud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>cich obdob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 xml:space="preserve">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dzaj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 xml:space="preserve">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. 10.</w:t>
      </w:r>
    </w:p>
    <w:p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Preh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 o pohybe vlastn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imania konsolidovan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celku od 1. 1 . 2022 do 31.12.2022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. 12.</w:t>
      </w:r>
    </w:p>
    <w:p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Rezervy sa v konsolidovanom celku tvorili v r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mci hlavne j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innosti konkr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tne hodnoty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dzaj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 xml:space="preserve">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 xml:space="preserve">. 13. </w:t>
      </w:r>
    </w:p>
    <w:p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Preh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 o 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v</w:t>
      </w:r>
      <w:r w:rsidRPr="00E671E6">
        <w:rPr>
          <w:rFonts w:ascii="Calibri" w:hAnsi="Calibri" w:cs="Calibri"/>
          <w:b/>
          <w:bCs/>
        </w:rPr>
        <w:t>ä</w:t>
      </w:r>
      <w:r w:rsidRPr="00E671E6">
        <w:rPr>
          <w:b/>
          <w:bCs/>
        </w:rPr>
        <w:t>zkoch v lehote splatnosti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. 15. Najv</w:t>
      </w:r>
      <w:r w:rsidRPr="00E671E6">
        <w:rPr>
          <w:rFonts w:ascii="Calibri" w:hAnsi="Calibri" w:cs="Calibri"/>
          <w:b/>
          <w:bCs/>
        </w:rPr>
        <w:t>äčší</w:t>
      </w:r>
      <w:r w:rsidRPr="00E671E6">
        <w:rPr>
          <w:b/>
          <w:bCs/>
        </w:rPr>
        <w:t xml:space="preserve"> podiel na vyk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zan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dlhodob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v</w:t>
      </w:r>
      <w:r w:rsidRPr="00E671E6">
        <w:rPr>
          <w:rFonts w:ascii="Calibri" w:hAnsi="Calibri" w:cs="Calibri"/>
          <w:b/>
          <w:bCs/>
        </w:rPr>
        <w:t>ä</w:t>
      </w:r>
      <w:r w:rsidRPr="00E671E6">
        <w:rPr>
          <w:b/>
          <w:bCs/>
        </w:rPr>
        <w:t>zkoch m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obec. Konsolidovan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 xml:space="preserve"> celok nevykazuje 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v</w:t>
      </w:r>
      <w:r w:rsidRPr="00E671E6">
        <w:rPr>
          <w:rFonts w:ascii="Calibri" w:hAnsi="Calibri" w:cs="Calibri"/>
          <w:b/>
          <w:bCs/>
        </w:rPr>
        <w:t>ä</w:t>
      </w:r>
      <w:r w:rsidRPr="00E671E6">
        <w:rPr>
          <w:b/>
          <w:bCs/>
        </w:rPr>
        <w:t>zky po lehote splatnosti.</w:t>
      </w:r>
    </w:p>
    <w:p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Konsolidovan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 xml:space="preserve"> celok vykazuje o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asovom rozl</w:t>
      </w:r>
      <w:r w:rsidRPr="00E671E6">
        <w:rPr>
          <w:rFonts w:ascii="Calibri" w:hAnsi="Calibri" w:cs="Calibri"/>
          <w:b/>
          <w:bCs/>
        </w:rPr>
        <w:t>íš</w:t>
      </w:r>
      <w:r w:rsidRPr="00E671E6">
        <w:rPr>
          <w:b/>
          <w:bCs/>
        </w:rPr>
        <w:t>en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 xml:space="preserve"> na strane pas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>v - v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nosy bud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>cich obdob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 xml:space="preserve">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. 18. Jedn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sa o kapit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lov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transfery zo </w:t>
      </w:r>
      <w:r w:rsidRPr="00E671E6">
        <w:rPr>
          <w:rFonts w:ascii="Calibri" w:hAnsi="Calibri" w:cs="Calibri"/>
          <w:b/>
          <w:bCs/>
        </w:rPr>
        <w:t>Š</w:t>
      </w:r>
      <w:r w:rsidRPr="00E671E6">
        <w:rPr>
          <w:b/>
          <w:bCs/>
        </w:rPr>
        <w:t>R a od in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subjektov.</w:t>
      </w:r>
    </w:p>
    <w:p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Podrobn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 xml:space="preserve"> preh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 vybran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polo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iek konsolidovan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celku o n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kladoch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. 19, 20 a 21.</w:t>
      </w:r>
    </w:p>
    <w:p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Preh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 vybran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polo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iek konsolidovan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celku o v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nosov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ri c. 22.</w:t>
      </w:r>
    </w:p>
    <w:p w:rsidR="00E671E6" w:rsidRPr="00E671E6" w:rsidRDefault="00E671E6" w:rsidP="00E671E6">
      <w:pPr>
        <w:ind w:left="-709"/>
        <w:rPr>
          <w:b/>
          <w:bCs/>
        </w:rPr>
      </w:pPr>
    </w:p>
    <w:p w:rsidR="00E671E6" w:rsidRPr="00E671E6" w:rsidRDefault="00E671E6" w:rsidP="00E671E6">
      <w:pPr>
        <w:ind w:left="-709"/>
        <w:rPr>
          <w:b/>
          <w:bCs/>
        </w:rPr>
      </w:pPr>
    </w:p>
    <w:p w:rsidR="00E671E6" w:rsidRPr="00E671E6" w:rsidRDefault="00E671E6" w:rsidP="00E671E6">
      <w:pPr>
        <w:ind w:left="-709"/>
        <w:jc w:val="center"/>
        <w:rPr>
          <w:b/>
          <w:bCs/>
        </w:rPr>
      </w:pPr>
      <w:r w:rsidRPr="00E671E6">
        <w:rPr>
          <w:b/>
          <w:bCs/>
        </w:rPr>
        <w:t>Čl. IV</w:t>
      </w:r>
    </w:p>
    <w:p w:rsidR="00E671E6" w:rsidRPr="00E671E6" w:rsidRDefault="00E671E6" w:rsidP="00E671E6">
      <w:pPr>
        <w:ind w:left="-709"/>
        <w:jc w:val="center"/>
        <w:rPr>
          <w:b/>
          <w:bCs/>
        </w:rPr>
      </w:pPr>
      <w:r w:rsidRPr="00E671E6">
        <w:rPr>
          <w:b/>
          <w:bCs/>
        </w:rPr>
        <w:t>Informácie o skutočnostiach, ktoré nastali po dni, ku ktorému sa zostavuje účtovná</w:t>
      </w:r>
    </w:p>
    <w:p w:rsidR="00E671E6" w:rsidRDefault="00E671E6" w:rsidP="00E671E6">
      <w:pPr>
        <w:ind w:left="-709"/>
        <w:jc w:val="center"/>
        <w:rPr>
          <w:b/>
          <w:bCs/>
        </w:rPr>
      </w:pPr>
      <w:r w:rsidRPr="00E671E6">
        <w:rPr>
          <w:b/>
          <w:bCs/>
        </w:rPr>
        <w:t>závierka do dňa zostavenia účtovnej závierky</w:t>
      </w:r>
    </w:p>
    <w:p w:rsidR="00E671E6" w:rsidRPr="00E671E6" w:rsidRDefault="00E671E6" w:rsidP="00E671E6">
      <w:pPr>
        <w:ind w:left="-709"/>
        <w:jc w:val="center"/>
        <w:rPr>
          <w:b/>
          <w:bCs/>
        </w:rPr>
      </w:pPr>
    </w:p>
    <w:p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 xml:space="preserve"> V priebehu roka 202</w:t>
      </w:r>
      <w:r w:rsidR="002F627B">
        <w:rPr>
          <w:b/>
          <w:bCs/>
        </w:rPr>
        <w:t>3</w:t>
      </w:r>
      <w:r w:rsidRPr="00E671E6">
        <w:rPr>
          <w:b/>
          <w:bCs/>
        </w:rPr>
        <w:t xml:space="preserve"> nenastali 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iadne skuto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nosti, ktor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by mali za n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sledok pokles alebo zv</w:t>
      </w:r>
      <w:r w:rsidRPr="00E671E6">
        <w:rPr>
          <w:rFonts w:ascii="Calibri" w:hAnsi="Calibri" w:cs="Calibri"/>
          <w:b/>
          <w:bCs/>
        </w:rPr>
        <w:t>ýš</w:t>
      </w:r>
      <w:r w:rsidRPr="00E671E6">
        <w:rPr>
          <w:b/>
          <w:bCs/>
        </w:rPr>
        <w:t>enie trhovej ceny finan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majetku, zmenu v</w:t>
      </w:r>
      <w:r w:rsidRPr="00E671E6">
        <w:rPr>
          <w:rFonts w:ascii="Calibri" w:hAnsi="Calibri" w:cs="Calibri"/>
          <w:b/>
          <w:bCs/>
        </w:rPr>
        <w:t>ýš</w:t>
      </w:r>
      <w:r w:rsidRPr="00E671E6">
        <w:rPr>
          <w:b/>
          <w:bCs/>
        </w:rPr>
        <w:t>ky rezerv a opravn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polo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iek, ako i zmenu v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znamn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polo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iek dlhodob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finan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majetku. Nenastala zmena pr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vnej formy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tovnej jednotky, ani mimoriadne udalosti, ktor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maj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 xml:space="preserve"> vplyv na hospod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renie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tovnej jednotky.</w:t>
      </w:r>
    </w:p>
    <w:p w:rsidR="00E671E6" w:rsidRDefault="00E671E6" w:rsidP="00E671E6">
      <w:pPr>
        <w:ind w:left="-709"/>
        <w:rPr>
          <w:b/>
          <w:bCs/>
        </w:rPr>
      </w:pPr>
    </w:p>
    <w:p w:rsidR="00E671E6" w:rsidRDefault="00E671E6" w:rsidP="00E671E6">
      <w:pPr>
        <w:ind w:left="-709"/>
        <w:rPr>
          <w:b/>
          <w:bCs/>
        </w:rPr>
      </w:pPr>
    </w:p>
    <w:p w:rsidR="00E671E6" w:rsidRDefault="00E671E6" w:rsidP="00E671E6">
      <w:pPr>
        <w:ind w:left="-709"/>
        <w:rPr>
          <w:b/>
          <w:bCs/>
        </w:rPr>
      </w:pPr>
    </w:p>
    <w:p w:rsidR="00E671E6" w:rsidRPr="00E671E6" w:rsidRDefault="00E671E6" w:rsidP="00E671E6">
      <w:pPr>
        <w:ind w:left="-709"/>
        <w:rPr>
          <w:b/>
          <w:bCs/>
        </w:rPr>
      </w:pPr>
      <w:r w:rsidRPr="00E671E6">
        <w:rPr>
          <w:b/>
          <w:bCs/>
        </w:rPr>
        <w:t>V Bernolákove, dňa 0</w:t>
      </w:r>
      <w:r w:rsidR="002F627B">
        <w:rPr>
          <w:b/>
          <w:bCs/>
        </w:rPr>
        <w:t>4</w:t>
      </w:r>
      <w:r w:rsidRPr="00E671E6">
        <w:rPr>
          <w:b/>
          <w:bCs/>
        </w:rPr>
        <w:t>.06.202</w:t>
      </w:r>
      <w:r w:rsidR="002F627B">
        <w:rPr>
          <w:b/>
          <w:bCs/>
        </w:rPr>
        <w:t>4</w:t>
      </w:r>
    </w:p>
    <w:p w:rsidR="00E671E6" w:rsidRDefault="00E671E6" w:rsidP="00E671E6">
      <w:pPr>
        <w:ind w:left="-709"/>
        <w:rPr>
          <w:b/>
          <w:bCs/>
        </w:rPr>
      </w:pPr>
    </w:p>
    <w:p w:rsidR="00E671E6" w:rsidRPr="00E671E6" w:rsidRDefault="00E671E6" w:rsidP="00E671E6">
      <w:pPr>
        <w:ind w:left="-709"/>
        <w:rPr>
          <w:b/>
          <w:bCs/>
        </w:rPr>
      </w:pPr>
      <w:r>
        <w:rPr>
          <w:b/>
          <w:bCs/>
        </w:rPr>
        <w:t xml:space="preserve">          </w:t>
      </w:r>
      <w:r w:rsidRPr="00E671E6">
        <w:rPr>
          <w:b/>
          <w:bCs/>
        </w:rPr>
        <w:t>Ing. Katarína Kiššová v.r.</w:t>
      </w:r>
      <w:r>
        <w:rPr>
          <w:b/>
          <w:bCs/>
        </w:rPr>
        <w:t xml:space="preserve">                                                                       </w:t>
      </w:r>
      <w:r w:rsidRPr="00E671E6">
        <w:rPr>
          <w:b/>
          <w:bCs/>
        </w:rPr>
        <w:t>Bc. Miroslav Turenič MBA, LL.M v.r.</w:t>
      </w:r>
    </w:p>
    <w:p w:rsidR="00E671E6" w:rsidRPr="00E671E6" w:rsidRDefault="00E671E6" w:rsidP="00E671E6">
      <w:pPr>
        <w:ind w:left="-709"/>
        <w:rPr>
          <w:b/>
          <w:bCs/>
        </w:rPr>
      </w:pPr>
    </w:p>
    <w:p w:rsidR="00E671E6" w:rsidRPr="00E671E6" w:rsidRDefault="00E671E6" w:rsidP="00E671E6">
      <w:pPr>
        <w:ind w:left="-709"/>
        <w:rPr>
          <w:b/>
          <w:bCs/>
        </w:rPr>
      </w:pPr>
      <w:r w:rsidRPr="00E671E6">
        <w:rPr>
          <w:b/>
          <w:bCs/>
        </w:rPr>
        <w:t>zodpovedná osoba za vypracovanie</w:t>
      </w:r>
      <w:r>
        <w:rPr>
          <w:b/>
          <w:bCs/>
        </w:rPr>
        <w:t xml:space="preserve">                                                                      </w:t>
      </w:r>
      <w:r w:rsidRPr="00E671E6">
        <w:rPr>
          <w:b/>
          <w:bCs/>
        </w:rPr>
        <w:t>štatutárny orgán obce</w:t>
      </w:r>
    </w:p>
    <w:p w:rsidR="00E671E6" w:rsidRPr="00E671E6" w:rsidRDefault="00E671E6" w:rsidP="00E671E6">
      <w:pPr>
        <w:ind w:left="-709"/>
        <w:rPr>
          <w:b/>
          <w:bCs/>
        </w:rPr>
      </w:pPr>
    </w:p>
    <w:sectPr w:rsidR="00E671E6" w:rsidRPr="00E671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EB6F50"/>
    <w:multiLevelType w:val="multilevel"/>
    <w:tmpl w:val="488A34C0"/>
    <w:lvl w:ilvl="0">
      <w:start w:val="1"/>
      <w:numFmt w:val="bullet"/>
      <w:lvlText w:val="■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9998471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1E6"/>
    <w:rsid w:val="00016206"/>
    <w:rsid w:val="002F627B"/>
    <w:rsid w:val="003116ED"/>
    <w:rsid w:val="00666854"/>
    <w:rsid w:val="00685E43"/>
    <w:rsid w:val="00B36706"/>
    <w:rsid w:val="00BD35E8"/>
    <w:rsid w:val="00DB7D31"/>
    <w:rsid w:val="00E23553"/>
    <w:rsid w:val="00E67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B2BA6B"/>
  <w15:chartTrackingRefBased/>
  <w15:docId w15:val="{CE709069-7D1A-4417-ADCB-663D69DFDD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671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5</Pages>
  <Words>1197</Words>
  <Characters>6829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 Kissova</dc:creator>
  <cp:keywords/>
  <dc:description/>
  <cp:lastModifiedBy>Katarina Kissova</cp:lastModifiedBy>
  <cp:revision>4</cp:revision>
  <dcterms:created xsi:type="dcterms:W3CDTF">2024-06-04T09:08:00Z</dcterms:created>
  <dcterms:modified xsi:type="dcterms:W3CDTF">2024-06-07T07:16:00Z</dcterms:modified>
</cp:coreProperties>
</file>