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C249C" w:rsidRDefault="001C249C" w:rsidP="00C30419">
      <w:pPr>
        <w:spacing w:line="0" w:lineRule="atLeast"/>
        <w:rPr>
          <w:rFonts w:ascii="Times New Roman" w:eastAsia="Times New Roman" w:hAnsi="Times New Roman"/>
          <w:sz w:val="18"/>
        </w:rPr>
      </w:pPr>
      <w:bookmarkStart w:id="0" w:name="page1"/>
      <w:bookmarkEnd w:id="0"/>
      <w:r>
        <w:rPr>
          <w:rFonts w:ascii="Times New Roman" w:eastAsia="Times New Roman" w:hAnsi="Times New Roman"/>
          <w:sz w:val="18"/>
        </w:rPr>
        <w:t>1</w:t>
      </w:r>
    </w:p>
    <w:p w:rsidR="001C249C" w:rsidRDefault="008C7472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8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308610</wp:posOffset>
            </wp:positionV>
            <wp:extent cx="5798185" cy="6350"/>
            <wp:effectExtent l="1270" t="3810" r="127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249C" w:rsidRDefault="001C249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spacing w:line="250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spacing w:line="0" w:lineRule="atLeast"/>
        <w:ind w:right="142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Poznámky</w:t>
      </w:r>
    </w:p>
    <w:p w:rsidR="001C249C" w:rsidRDefault="001C249C">
      <w:pPr>
        <w:spacing w:line="0" w:lineRule="atLeast"/>
        <w:ind w:right="142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konsolidovanej účtovnej závierky</w:t>
      </w:r>
    </w:p>
    <w:p w:rsidR="001C249C" w:rsidRDefault="001C249C">
      <w:pPr>
        <w:spacing w:line="0" w:lineRule="atLeast"/>
        <w:ind w:right="142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účtovnej jednotky verejnej správy</w:t>
      </w:r>
    </w:p>
    <w:p w:rsidR="001C249C" w:rsidRDefault="008578B0">
      <w:pPr>
        <w:spacing w:line="237" w:lineRule="auto"/>
        <w:ind w:right="142"/>
        <w:jc w:val="center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zostavenej k 31. decembru 2023</w:t>
      </w:r>
    </w:p>
    <w:p w:rsidR="001C249C" w:rsidRDefault="001C249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spacing w:line="398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numPr>
          <w:ilvl w:val="0"/>
          <w:numId w:val="1"/>
        </w:numPr>
        <w:tabs>
          <w:tab w:val="left" w:pos="378"/>
        </w:tabs>
        <w:spacing w:line="0" w:lineRule="atLeast"/>
        <w:ind w:left="378" w:hanging="378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VŠEOBECNÉ ÚDAJE</w:t>
      </w:r>
    </w:p>
    <w:p w:rsidR="001C249C" w:rsidRDefault="001C249C">
      <w:pPr>
        <w:spacing w:line="241" w:lineRule="exact"/>
        <w:rPr>
          <w:rFonts w:ascii="Arial" w:eastAsia="Arial" w:hAnsi="Arial"/>
          <w:b/>
        </w:rPr>
      </w:pPr>
    </w:p>
    <w:p w:rsidR="001C249C" w:rsidRDefault="001C249C">
      <w:pPr>
        <w:numPr>
          <w:ilvl w:val="1"/>
          <w:numId w:val="1"/>
        </w:numPr>
        <w:tabs>
          <w:tab w:val="left" w:pos="438"/>
        </w:tabs>
        <w:spacing w:line="0" w:lineRule="atLeast"/>
        <w:ind w:left="438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Identifikačné údaje konsolidujúcej účtovnej jednotky:</w:t>
      </w:r>
    </w:p>
    <w:p w:rsidR="001C249C" w:rsidRDefault="001C249C">
      <w:pPr>
        <w:tabs>
          <w:tab w:val="left" w:pos="438"/>
        </w:tabs>
        <w:spacing w:line="0" w:lineRule="atLeast"/>
        <w:ind w:left="438" w:hanging="424"/>
        <w:rPr>
          <w:rFonts w:ascii="Arial" w:eastAsia="Arial" w:hAnsi="Arial"/>
          <w:b/>
        </w:rPr>
        <w:sectPr w:rsidR="001C249C">
          <w:pgSz w:w="11900" w:h="16838"/>
          <w:pgMar w:top="932" w:right="1266" w:bottom="1440" w:left="1402" w:header="0" w:footer="0" w:gutter="0"/>
          <w:cols w:space="0" w:equalWidth="0">
            <w:col w:w="9238"/>
          </w:cols>
          <w:docGrid w:linePitch="360"/>
        </w:sectPr>
      </w:pPr>
    </w:p>
    <w:p w:rsidR="001C249C" w:rsidRDefault="001C249C">
      <w:pPr>
        <w:spacing w:line="242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Názov konsolidujúcej účtovnej jednotky:</w:t>
      </w:r>
    </w:p>
    <w:p w:rsidR="001C249C" w:rsidRDefault="001C249C">
      <w:pPr>
        <w:spacing w:line="242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6"/>
        </w:rPr>
        <w:br w:type="column"/>
      </w:r>
    </w:p>
    <w:p w:rsidR="001C249C" w:rsidRDefault="001C249C">
      <w:pPr>
        <w:spacing w:line="0" w:lineRule="atLeast"/>
        <w:rPr>
          <w:rFonts w:ascii="Arial" w:eastAsia="Arial" w:hAnsi="Arial"/>
          <w:sz w:val="16"/>
        </w:rPr>
        <w:sectPr w:rsidR="001C249C">
          <w:type w:val="continuous"/>
          <w:pgSz w:w="11900" w:h="16838"/>
          <w:pgMar w:top="932" w:right="1266" w:bottom="1440" w:left="1402" w:header="0" w:footer="0" w:gutter="0"/>
          <w:cols w:num="2" w:space="0" w:equalWidth="0">
            <w:col w:w="3298" w:space="260"/>
            <w:col w:w="5680"/>
          </w:cols>
          <w:docGrid w:linePitch="360"/>
        </w:sectPr>
      </w:pPr>
      <w:r>
        <w:rPr>
          <w:rFonts w:ascii="Arial" w:eastAsia="Arial" w:hAnsi="Arial"/>
          <w:sz w:val="16"/>
        </w:rPr>
        <w:t xml:space="preserve">Obec </w:t>
      </w:r>
      <w:r w:rsidR="003A7D27">
        <w:rPr>
          <w:rFonts w:ascii="Arial" w:eastAsia="Arial" w:hAnsi="Arial"/>
          <w:sz w:val="16"/>
        </w:rPr>
        <w:t>Belina</w:t>
      </w:r>
      <w:r w:rsidR="003A7D27">
        <w:rPr>
          <w:rFonts w:ascii="Arial" w:eastAsia="Arial" w:hAnsi="Arial"/>
          <w:sz w:val="16"/>
        </w:rPr>
        <w:tab/>
      </w:r>
    </w:p>
    <w:p w:rsidR="001C249C" w:rsidRDefault="001C249C">
      <w:pPr>
        <w:spacing w:line="183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Sídlo konsolidujúcej účtovnej jednotky:</w:t>
      </w:r>
    </w:p>
    <w:p w:rsidR="001C249C" w:rsidRDefault="001C249C">
      <w:pPr>
        <w:spacing w:line="191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6"/>
        </w:rPr>
        <w:br w:type="column"/>
      </w:r>
    </w:p>
    <w:p w:rsidR="001C249C" w:rsidRDefault="003A7D27">
      <w:pPr>
        <w:spacing w:line="0" w:lineRule="atLeast"/>
        <w:rPr>
          <w:rFonts w:ascii="Arial" w:eastAsia="Arial" w:hAnsi="Arial"/>
          <w:sz w:val="15"/>
        </w:rPr>
      </w:pPr>
      <w:r>
        <w:rPr>
          <w:rFonts w:ascii="Arial" w:eastAsia="Arial" w:hAnsi="Arial"/>
          <w:sz w:val="15"/>
        </w:rPr>
        <w:t>986 01 Belina 194</w:t>
      </w:r>
      <w:r>
        <w:rPr>
          <w:rFonts w:ascii="Arial" w:eastAsia="Arial" w:hAnsi="Arial"/>
          <w:sz w:val="15"/>
        </w:rPr>
        <w:tab/>
      </w:r>
    </w:p>
    <w:p w:rsidR="001C249C" w:rsidRDefault="001C249C">
      <w:pPr>
        <w:spacing w:line="0" w:lineRule="atLeast"/>
        <w:rPr>
          <w:rFonts w:ascii="Arial" w:eastAsia="Arial" w:hAnsi="Arial"/>
          <w:sz w:val="15"/>
        </w:rPr>
        <w:sectPr w:rsidR="001C249C">
          <w:type w:val="continuous"/>
          <w:pgSz w:w="11900" w:h="16838"/>
          <w:pgMar w:top="932" w:right="1266" w:bottom="1440" w:left="1402" w:header="0" w:footer="0" w:gutter="0"/>
          <w:cols w:num="2" w:space="0" w:equalWidth="0">
            <w:col w:w="3198" w:space="360"/>
            <w:col w:w="5680"/>
          </w:cols>
          <w:docGrid w:linePitch="360"/>
        </w:sectPr>
      </w:pPr>
    </w:p>
    <w:p w:rsidR="001C249C" w:rsidRDefault="001C249C">
      <w:pPr>
        <w:spacing w:line="183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spacing w:line="0" w:lineRule="atLeast"/>
        <w:ind w:left="458"/>
        <w:jc w:val="center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IČO konsolidujúcej účtovnej jednotky:</w:t>
      </w:r>
    </w:p>
    <w:p w:rsidR="001C249C" w:rsidRDefault="001C249C">
      <w:pPr>
        <w:spacing w:line="183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6"/>
        </w:rPr>
        <w:br w:type="column"/>
      </w:r>
    </w:p>
    <w:p w:rsidR="001C249C" w:rsidRDefault="001C249C">
      <w:pPr>
        <w:spacing w:line="0" w:lineRule="atLeast"/>
        <w:rPr>
          <w:rFonts w:ascii="Arial" w:eastAsia="Arial" w:hAnsi="Arial"/>
          <w:sz w:val="16"/>
        </w:rPr>
        <w:sectPr w:rsidR="001C249C">
          <w:type w:val="continuous"/>
          <w:pgSz w:w="11900" w:h="16838"/>
          <w:pgMar w:top="932" w:right="1266" w:bottom="1440" w:left="1402" w:header="0" w:footer="0" w:gutter="0"/>
          <w:cols w:num="2" w:space="0" w:equalWidth="0">
            <w:col w:w="3118" w:space="440"/>
            <w:col w:w="5680"/>
          </w:cols>
          <w:docGrid w:linePitch="360"/>
        </w:sectPr>
      </w:pPr>
      <w:r>
        <w:rPr>
          <w:rFonts w:ascii="Arial" w:eastAsia="Arial" w:hAnsi="Arial"/>
          <w:sz w:val="16"/>
        </w:rPr>
        <w:t>00</w:t>
      </w:r>
      <w:r w:rsidR="003A7D27">
        <w:rPr>
          <w:rFonts w:ascii="Arial" w:eastAsia="Arial" w:hAnsi="Arial"/>
          <w:sz w:val="16"/>
        </w:rPr>
        <w:t>315958</w:t>
      </w:r>
      <w:r w:rsidR="003A7D27">
        <w:rPr>
          <w:rFonts w:ascii="Arial" w:eastAsia="Arial" w:hAnsi="Arial"/>
          <w:sz w:val="16"/>
        </w:rPr>
        <w:tab/>
      </w:r>
    </w:p>
    <w:p w:rsidR="001C249C" w:rsidRDefault="001C249C">
      <w:pPr>
        <w:spacing w:line="186" w:lineRule="exact"/>
        <w:rPr>
          <w:rFonts w:ascii="Times New Roman" w:eastAsia="Times New Roman" w:hAnsi="Times New Roman"/>
          <w:sz w:val="24"/>
        </w:rPr>
      </w:pPr>
    </w:p>
    <w:p w:rsidR="001C249C" w:rsidRDefault="001C249C" w:rsidP="000D6297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Dátum založenia/zriadenia konsolidujúcej účtovnej jednotky:</w:t>
      </w:r>
      <w:r w:rsidR="00AF1212">
        <w:rPr>
          <w:rFonts w:ascii="Arial" w:eastAsia="Arial" w:hAnsi="Arial"/>
          <w:sz w:val="16"/>
        </w:rPr>
        <w:t xml:space="preserve"> 01.01.</w:t>
      </w:r>
      <w:r w:rsidR="003A7D27">
        <w:rPr>
          <w:rFonts w:ascii="Arial" w:eastAsia="Arial" w:hAnsi="Arial"/>
          <w:sz w:val="16"/>
        </w:rPr>
        <w:t>1990</w:t>
      </w:r>
      <w:r w:rsidR="003A7D27">
        <w:rPr>
          <w:rFonts w:ascii="Arial" w:eastAsia="Arial" w:hAnsi="Arial"/>
          <w:sz w:val="16"/>
        </w:rPr>
        <w:tab/>
      </w:r>
    </w:p>
    <w:p w:rsidR="001C249C" w:rsidRDefault="001C249C">
      <w:pPr>
        <w:spacing w:line="368" w:lineRule="exact"/>
        <w:rPr>
          <w:rFonts w:ascii="Times New Roman" w:eastAsia="Times New Roman" w:hAnsi="Times New Roman"/>
          <w:sz w:val="24"/>
        </w:rPr>
      </w:pPr>
    </w:p>
    <w:p w:rsidR="001C249C" w:rsidRDefault="001C249C" w:rsidP="003A7D27">
      <w:pPr>
        <w:tabs>
          <w:tab w:val="left" w:pos="6458"/>
        </w:tabs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Konsolidovaná účtovná závierka konsolidovaného celku Obce</w:t>
      </w:r>
      <w:r w:rsidR="003A7D27">
        <w:rPr>
          <w:rFonts w:ascii="Arial" w:eastAsia="Arial" w:hAnsi="Arial"/>
          <w:sz w:val="16"/>
        </w:rPr>
        <w:t xml:space="preserve"> Belina </w:t>
      </w:r>
      <w:r>
        <w:rPr>
          <w:rFonts w:ascii="Arial" w:eastAsia="Arial" w:hAnsi="Arial"/>
          <w:sz w:val="16"/>
        </w:rPr>
        <w:t>bola zostavená v súlade so zákonom</w:t>
      </w:r>
      <w:r w:rsidR="003A7D27">
        <w:rPr>
          <w:rFonts w:ascii="Arial" w:eastAsia="Arial" w:hAnsi="Arial"/>
          <w:sz w:val="16"/>
        </w:rPr>
        <w:t xml:space="preserve"> č. </w:t>
      </w:r>
      <w:r>
        <w:rPr>
          <w:rFonts w:ascii="Arial" w:eastAsia="Arial" w:hAnsi="Arial"/>
          <w:sz w:val="16"/>
        </w:rPr>
        <w:t>431/2002 Z. z. o účtovníctve v znení neskorších predpisov (ďalej len ,,zákon o účtovníctve“) a v súlade s Opatrením Ministerstva financií Slovenskej republiky zo dňa 17. decembra 2008 č. MF/27526/2008 – 31, ktorým sa ustanovujú podrobnosti o metódach a postupoch konsolidácie vo verejnej správe a podrobnosti o usporiadaní a označovaní položiek konsolidovanej účtovnej závierky vo verejnej správe v znení neskorších predpisov.</w:t>
      </w:r>
    </w:p>
    <w:p w:rsidR="001C249C" w:rsidRDefault="001C249C" w:rsidP="003A7D27">
      <w:pPr>
        <w:spacing w:line="200" w:lineRule="exact"/>
        <w:rPr>
          <w:rFonts w:ascii="Arial" w:eastAsia="Arial" w:hAnsi="Arial"/>
          <w:sz w:val="16"/>
        </w:rPr>
      </w:pPr>
    </w:p>
    <w:p w:rsidR="001C249C" w:rsidRDefault="001C249C" w:rsidP="003A7D27">
      <w:pPr>
        <w:spacing w:line="200" w:lineRule="exact"/>
        <w:rPr>
          <w:rFonts w:ascii="Arial" w:eastAsia="Arial" w:hAnsi="Arial"/>
          <w:sz w:val="16"/>
        </w:rPr>
      </w:pPr>
    </w:p>
    <w:p w:rsidR="001C249C" w:rsidRDefault="001C249C">
      <w:pPr>
        <w:spacing w:line="395" w:lineRule="exact"/>
        <w:rPr>
          <w:rFonts w:ascii="Arial" w:eastAsia="Arial" w:hAnsi="Arial"/>
          <w:sz w:val="16"/>
        </w:rPr>
      </w:pPr>
    </w:p>
    <w:p w:rsidR="001C249C" w:rsidRDefault="001C249C">
      <w:pPr>
        <w:numPr>
          <w:ilvl w:val="0"/>
          <w:numId w:val="2"/>
        </w:numPr>
        <w:tabs>
          <w:tab w:val="left" w:pos="398"/>
        </w:tabs>
        <w:spacing w:line="0" w:lineRule="atLeast"/>
        <w:ind w:left="398" w:hanging="38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konsolidovanom celku</w:t>
      </w:r>
    </w:p>
    <w:p w:rsidR="001C249C" w:rsidRDefault="001C249C">
      <w:pPr>
        <w:spacing w:line="242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spacing w:line="0" w:lineRule="atLeast"/>
        <w:ind w:left="29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Konsolido</w:t>
      </w:r>
      <w:r w:rsidR="003A7D27">
        <w:rPr>
          <w:rFonts w:ascii="Arial" w:eastAsia="Arial" w:hAnsi="Arial"/>
          <w:sz w:val="16"/>
        </w:rPr>
        <w:t>vaný celok Obce Belina</w:t>
      </w:r>
      <w:r>
        <w:rPr>
          <w:rFonts w:ascii="Arial" w:eastAsia="Arial" w:hAnsi="Arial"/>
          <w:sz w:val="16"/>
        </w:rPr>
        <w:t xml:space="preserve"> obsahuje tieto účtovné jednotky:</w:t>
      </w:r>
    </w:p>
    <w:tbl>
      <w:tblPr>
        <w:tblW w:w="0" w:type="auto"/>
        <w:tblInd w:w="3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0"/>
        <w:gridCol w:w="1840"/>
        <w:gridCol w:w="1700"/>
        <w:gridCol w:w="2260"/>
      </w:tblGrid>
      <w:tr w:rsidR="001C249C">
        <w:trPr>
          <w:trHeight w:val="176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176" w:lineRule="exac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Podiel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176" w:lineRule="exac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Podiel konsolidujúcej ÚJ</w:t>
            </w:r>
          </w:p>
        </w:tc>
      </w:tr>
      <w:tr w:rsidR="001C249C">
        <w:trPr>
          <w:trHeight w:val="181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181" w:lineRule="exact"/>
              <w:ind w:left="6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Názov účtovnej jednotky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181" w:lineRule="exact"/>
              <w:ind w:left="4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Právna forma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181" w:lineRule="exact"/>
              <w:jc w:val="center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konsolidujúcej ÚJ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181" w:lineRule="exac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na hlasovacích právach</w:t>
            </w:r>
          </w:p>
        </w:tc>
      </w:tr>
      <w:tr w:rsidR="001C249C">
        <w:trPr>
          <w:trHeight w:val="187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182" w:lineRule="exact"/>
              <w:jc w:val="center"/>
              <w:rPr>
                <w:rFonts w:ascii="Arial" w:eastAsia="Arial" w:hAnsi="Arial"/>
                <w:b/>
                <w:w w:val="98"/>
                <w:sz w:val="16"/>
              </w:rPr>
            </w:pPr>
            <w:r>
              <w:rPr>
                <w:rFonts w:ascii="Arial" w:eastAsia="Arial" w:hAnsi="Arial"/>
                <w:b/>
                <w:w w:val="98"/>
                <w:sz w:val="16"/>
              </w:rPr>
              <w:t>na ZI (%)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182" w:lineRule="exact"/>
              <w:jc w:val="center"/>
              <w:rPr>
                <w:rFonts w:ascii="Arial" w:eastAsia="Arial" w:hAnsi="Arial"/>
                <w:b/>
                <w:w w:val="96"/>
                <w:sz w:val="16"/>
              </w:rPr>
            </w:pPr>
            <w:r>
              <w:rPr>
                <w:rFonts w:ascii="Arial" w:eastAsia="Arial" w:hAnsi="Arial"/>
                <w:b/>
                <w:w w:val="96"/>
                <w:sz w:val="16"/>
              </w:rPr>
              <w:t>(%)</w:t>
            </w:r>
          </w:p>
        </w:tc>
      </w:tr>
      <w:tr w:rsidR="001C249C">
        <w:trPr>
          <w:trHeight w:val="176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 w:rsidP="003A7D27">
            <w:pPr>
              <w:spacing w:line="176" w:lineRule="exact"/>
              <w:ind w:left="1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 xml:space="preserve">Obec </w:t>
            </w:r>
            <w:r w:rsidR="003A7D27">
              <w:rPr>
                <w:rFonts w:ascii="Arial" w:eastAsia="Arial" w:hAnsi="Arial"/>
                <w:sz w:val="16"/>
              </w:rPr>
              <w:t>Belina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176" w:lineRule="exact"/>
              <w:ind w:left="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801  obec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1C249C">
        <w:trPr>
          <w:trHeight w:val="171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171" w:lineRule="exact"/>
              <w:ind w:left="1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 xml:space="preserve">ZŠ s MŠ </w:t>
            </w:r>
            <w:r w:rsidR="003A7D27">
              <w:rPr>
                <w:rFonts w:ascii="Arial" w:eastAsia="Arial" w:hAnsi="Arial"/>
                <w:sz w:val="16"/>
              </w:rPr>
              <w:t>s VJM Belina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171" w:lineRule="exact"/>
              <w:ind w:left="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321 rozpočtová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C249C">
        <w:trPr>
          <w:trHeight w:val="19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0" w:lineRule="atLeast"/>
              <w:ind w:left="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organizácia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49C" w:rsidRDefault="001C249C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:rsidR="001C249C" w:rsidRDefault="00CA04D0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16"/>
        </w:rPr>
        <w:pict>
          <v:rect id="_x0000_s1027" style="position:absolute;margin-left:460.95pt;margin-top:-.7pt;width:1pt;height:.95pt;z-index:-251661312;mso-position-horizontal-relative:text;mso-position-vertical-relative:text" o:userdrawn="t" fillcolor="black" strokecolor="none"/>
        </w:pict>
      </w:r>
    </w:p>
    <w:p w:rsidR="001C249C" w:rsidRDefault="001C249C">
      <w:pPr>
        <w:spacing w:line="157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Identifikačné údaje všetkých účtovných jednotiek konsolidova</w:t>
      </w:r>
      <w:r w:rsidR="003A7D27">
        <w:rPr>
          <w:rFonts w:ascii="Arial" w:eastAsia="Arial" w:hAnsi="Arial"/>
          <w:sz w:val="16"/>
        </w:rPr>
        <w:t>ného celku Obce Belina</w:t>
      </w:r>
      <w:r>
        <w:rPr>
          <w:rFonts w:ascii="Arial" w:eastAsia="Arial" w:hAnsi="Arial"/>
          <w:sz w:val="16"/>
        </w:rPr>
        <w:t xml:space="preserve"> sú uvedené v tabuľke</w:t>
      </w:r>
    </w:p>
    <w:p w:rsidR="001C249C" w:rsidRDefault="001C249C">
      <w:pPr>
        <w:spacing w:line="1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č. 1 poznámok konsolidovanej účtovnej závierky.</w:t>
      </w:r>
    </w:p>
    <w:p w:rsidR="001C249C" w:rsidRDefault="001C249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spacing w:line="236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numPr>
          <w:ilvl w:val="0"/>
          <w:numId w:val="3"/>
        </w:numPr>
        <w:tabs>
          <w:tab w:val="left" w:pos="489"/>
        </w:tabs>
        <w:spacing w:line="480" w:lineRule="auto"/>
        <w:ind w:left="458" w:right="1220" w:hanging="44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organizačnej štruktúre a hlavných predstaviteľoch konsolidujúcej účtovnej jednotky</w:t>
      </w:r>
    </w:p>
    <w:p w:rsidR="001C249C" w:rsidRDefault="001C249C">
      <w:pPr>
        <w:spacing w:line="195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Star</w:t>
      </w:r>
      <w:r w:rsidR="003A7D27">
        <w:rPr>
          <w:rFonts w:ascii="Arial" w:eastAsia="Arial" w:hAnsi="Arial"/>
          <w:sz w:val="16"/>
        </w:rPr>
        <w:t xml:space="preserve">osta Mgr. Zoltán </w:t>
      </w:r>
      <w:proofErr w:type="spellStart"/>
      <w:r w:rsidR="003A7D27">
        <w:rPr>
          <w:rFonts w:ascii="Arial" w:eastAsia="Arial" w:hAnsi="Arial"/>
          <w:sz w:val="16"/>
        </w:rPr>
        <w:t>Marcinkó</w:t>
      </w:r>
      <w:proofErr w:type="spellEnd"/>
      <w:r>
        <w:rPr>
          <w:rFonts w:ascii="Arial" w:eastAsia="Arial" w:hAnsi="Arial"/>
          <w:sz w:val="16"/>
        </w:rPr>
        <w:t xml:space="preserve"> je štatutárny orgán konsolidujúcej účtovne</w:t>
      </w:r>
      <w:r w:rsidR="003A7D27">
        <w:rPr>
          <w:rFonts w:ascii="Arial" w:eastAsia="Arial" w:hAnsi="Arial"/>
          <w:sz w:val="16"/>
        </w:rPr>
        <w:t>j jednotky Obec Belina</w:t>
      </w:r>
    </w:p>
    <w:p w:rsidR="001C249C" w:rsidRDefault="001C249C">
      <w:pPr>
        <w:spacing w:line="186" w:lineRule="exact"/>
        <w:rPr>
          <w:rFonts w:ascii="Times New Roman" w:eastAsia="Times New Roman" w:hAnsi="Times New Roman"/>
          <w:sz w:val="24"/>
        </w:rPr>
      </w:pPr>
    </w:p>
    <w:p w:rsidR="001C249C" w:rsidRPr="008C6152" w:rsidRDefault="001C249C">
      <w:pPr>
        <w:spacing w:line="0" w:lineRule="atLeast"/>
        <w:ind w:left="458"/>
        <w:rPr>
          <w:rFonts w:ascii="Arial" w:eastAsia="Arial" w:hAnsi="Arial"/>
          <w:sz w:val="16"/>
        </w:rPr>
      </w:pPr>
      <w:r w:rsidRPr="008C6152">
        <w:rPr>
          <w:rFonts w:ascii="Arial" w:eastAsia="Arial" w:hAnsi="Arial"/>
          <w:sz w:val="16"/>
        </w:rPr>
        <w:t xml:space="preserve">Konsolidovaný celok </w:t>
      </w:r>
      <w:r w:rsidR="008578B0">
        <w:rPr>
          <w:rFonts w:ascii="Arial" w:eastAsia="Arial" w:hAnsi="Arial"/>
          <w:sz w:val="16"/>
        </w:rPr>
        <w:t>mal v roku 2023</w:t>
      </w:r>
      <w:r w:rsidRPr="008C6152">
        <w:rPr>
          <w:rFonts w:ascii="Arial" w:eastAsia="Arial" w:hAnsi="Arial"/>
          <w:sz w:val="16"/>
        </w:rPr>
        <w:t xml:space="preserve"> priemerne  </w:t>
      </w:r>
      <w:r w:rsidR="000D6297" w:rsidRPr="008C6152">
        <w:rPr>
          <w:rFonts w:ascii="Arial" w:eastAsia="Arial" w:hAnsi="Arial"/>
          <w:sz w:val="16"/>
        </w:rPr>
        <w:t xml:space="preserve">22 </w:t>
      </w:r>
      <w:r w:rsidRPr="008C6152">
        <w:rPr>
          <w:rFonts w:ascii="Arial" w:eastAsia="Arial" w:hAnsi="Arial"/>
          <w:sz w:val="16"/>
        </w:rPr>
        <w:t xml:space="preserve">zamestnancov, z toho vedúcich pracovníkov </w:t>
      </w:r>
      <w:r w:rsidR="003A7D27" w:rsidRPr="008C6152">
        <w:rPr>
          <w:rFonts w:ascii="Arial" w:eastAsia="Arial" w:hAnsi="Arial"/>
          <w:sz w:val="16"/>
        </w:rPr>
        <w:t>2</w:t>
      </w:r>
      <w:r w:rsidRPr="008C6152">
        <w:rPr>
          <w:rFonts w:ascii="Arial" w:eastAsia="Arial" w:hAnsi="Arial"/>
          <w:sz w:val="16"/>
        </w:rPr>
        <w:t>.</w:t>
      </w:r>
    </w:p>
    <w:p w:rsidR="001C249C" w:rsidRPr="008C6152" w:rsidRDefault="001C249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spacing w:line="226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numPr>
          <w:ilvl w:val="0"/>
          <w:numId w:val="4"/>
        </w:numPr>
        <w:tabs>
          <w:tab w:val="left" w:pos="458"/>
        </w:tabs>
        <w:spacing w:line="0" w:lineRule="atLeast"/>
        <w:ind w:left="458" w:hanging="44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Zmena konsolidovaného celku</w:t>
      </w:r>
    </w:p>
    <w:p w:rsidR="001C249C" w:rsidRDefault="001C249C">
      <w:pPr>
        <w:spacing w:line="248" w:lineRule="exact"/>
        <w:rPr>
          <w:rFonts w:ascii="Times New Roman" w:eastAsia="Times New Roman" w:hAnsi="Times New Roman"/>
          <w:sz w:val="24"/>
        </w:rPr>
      </w:pPr>
    </w:p>
    <w:p w:rsidR="001C249C" w:rsidRDefault="001C249C">
      <w:pPr>
        <w:spacing w:line="235" w:lineRule="auto"/>
        <w:ind w:left="458" w:right="8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V priebehu účtovného obdobia od 1. januára 20</w:t>
      </w:r>
      <w:r w:rsidR="00C30419">
        <w:rPr>
          <w:rFonts w:ascii="Arial" w:eastAsia="Arial" w:hAnsi="Arial"/>
          <w:sz w:val="16"/>
        </w:rPr>
        <w:t>2</w:t>
      </w:r>
      <w:r w:rsidR="008578B0">
        <w:rPr>
          <w:rFonts w:ascii="Arial" w:eastAsia="Arial" w:hAnsi="Arial"/>
          <w:sz w:val="16"/>
        </w:rPr>
        <w:t>3</w:t>
      </w:r>
      <w:r w:rsidR="00C30419">
        <w:rPr>
          <w:rFonts w:ascii="Arial" w:eastAsia="Arial" w:hAnsi="Arial"/>
          <w:sz w:val="16"/>
        </w:rPr>
        <w:t xml:space="preserve"> do 31. decembra 202</w:t>
      </w:r>
      <w:r w:rsidR="008578B0">
        <w:rPr>
          <w:rFonts w:ascii="Arial" w:eastAsia="Arial" w:hAnsi="Arial"/>
          <w:sz w:val="16"/>
        </w:rPr>
        <w:t>3</w:t>
      </w:r>
      <w:r w:rsidR="003A7D27">
        <w:rPr>
          <w:rFonts w:ascii="Arial" w:eastAsia="Arial" w:hAnsi="Arial"/>
          <w:sz w:val="16"/>
        </w:rPr>
        <w:t xml:space="preserve"> </w:t>
      </w:r>
      <w:r>
        <w:rPr>
          <w:rFonts w:ascii="Arial" w:eastAsia="Arial" w:hAnsi="Arial"/>
          <w:sz w:val="16"/>
        </w:rPr>
        <w:t xml:space="preserve">nedošlo k zmenám v štruktúre konsolidovaného celku </w:t>
      </w:r>
      <w:r w:rsidR="003A7D27">
        <w:rPr>
          <w:rFonts w:ascii="Arial" w:eastAsia="Arial" w:hAnsi="Arial"/>
          <w:sz w:val="16"/>
        </w:rPr>
        <w:t>Obce Belina</w:t>
      </w:r>
      <w:r>
        <w:rPr>
          <w:rFonts w:ascii="Arial" w:eastAsia="Arial" w:hAnsi="Arial"/>
          <w:sz w:val="16"/>
        </w:rPr>
        <w:t>.</w:t>
      </w:r>
    </w:p>
    <w:p w:rsidR="001C249C" w:rsidRDefault="001C249C">
      <w:pPr>
        <w:spacing w:line="235" w:lineRule="auto"/>
        <w:ind w:left="458" w:right="80"/>
        <w:rPr>
          <w:rFonts w:ascii="Arial" w:eastAsia="Arial" w:hAnsi="Arial"/>
          <w:sz w:val="16"/>
        </w:rPr>
        <w:sectPr w:rsidR="001C249C">
          <w:type w:val="continuous"/>
          <w:pgSz w:w="11900" w:h="16838"/>
          <w:pgMar w:top="932" w:right="1266" w:bottom="1440" w:left="1402" w:header="0" w:footer="0" w:gutter="0"/>
          <w:cols w:space="0" w:equalWidth="0">
            <w:col w:w="9238"/>
          </w:cols>
          <w:docGrid w:linePitch="360"/>
        </w:sectPr>
      </w:pPr>
    </w:p>
    <w:p w:rsidR="001C249C" w:rsidRDefault="001C249C">
      <w:pPr>
        <w:spacing w:line="0" w:lineRule="atLeast"/>
        <w:ind w:left="7384"/>
        <w:rPr>
          <w:rFonts w:ascii="Times New Roman" w:eastAsia="Times New Roman" w:hAnsi="Times New Roman"/>
          <w:sz w:val="18"/>
        </w:rPr>
      </w:pPr>
      <w:bookmarkStart w:id="1" w:name="page2"/>
      <w:bookmarkEnd w:id="1"/>
      <w:r>
        <w:rPr>
          <w:rFonts w:ascii="Times New Roman" w:eastAsia="Times New Roman" w:hAnsi="Times New Roman"/>
          <w:sz w:val="18"/>
        </w:rPr>
        <w:lastRenderedPageBreak/>
        <w:t>2</w:t>
      </w:r>
    </w:p>
    <w:p w:rsidR="001C249C" w:rsidRDefault="008C747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308610</wp:posOffset>
            </wp:positionV>
            <wp:extent cx="5798185" cy="6350"/>
            <wp:effectExtent l="1270" t="3810" r="127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59" w:lineRule="exact"/>
        <w:rPr>
          <w:rFonts w:ascii="Times New Roman" w:eastAsia="Times New Roman" w:hAnsi="Times New Roman"/>
        </w:rPr>
      </w:pPr>
    </w:p>
    <w:p w:rsidR="001C249C" w:rsidRDefault="001C249C">
      <w:pPr>
        <w:numPr>
          <w:ilvl w:val="0"/>
          <w:numId w:val="5"/>
        </w:numPr>
        <w:tabs>
          <w:tab w:val="left" w:pos="438"/>
        </w:tabs>
        <w:spacing w:line="233" w:lineRule="auto"/>
        <w:ind w:left="424" w:right="1060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výsledku hospodárenia z dôvodu predaja majetku medzi účtovnými jednotkami konsolidova</w:t>
      </w:r>
      <w:r w:rsidR="003A7D27">
        <w:rPr>
          <w:rFonts w:ascii="Arial" w:eastAsia="Arial" w:hAnsi="Arial"/>
          <w:b/>
        </w:rPr>
        <w:t>ného celku Obce Belina</w:t>
      </w:r>
      <w:r>
        <w:rPr>
          <w:rFonts w:ascii="Arial" w:eastAsia="Arial" w:hAnsi="Arial"/>
          <w:b/>
        </w:rPr>
        <w:t>.</w:t>
      </w:r>
    </w:p>
    <w:p w:rsidR="001C249C" w:rsidRDefault="001C249C">
      <w:pPr>
        <w:spacing w:line="251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349" w:lineRule="auto"/>
        <w:ind w:left="424" w:right="8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V priebehu účtovného obdobia roku 20</w:t>
      </w:r>
      <w:r w:rsidR="008578B0">
        <w:rPr>
          <w:rFonts w:ascii="Arial" w:eastAsia="Arial" w:hAnsi="Arial"/>
          <w:sz w:val="16"/>
        </w:rPr>
        <w:t>23</w:t>
      </w:r>
      <w:r w:rsidR="003A7D27">
        <w:rPr>
          <w:rFonts w:ascii="Arial" w:eastAsia="Arial" w:hAnsi="Arial"/>
          <w:sz w:val="16"/>
        </w:rPr>
        <w:t xml:space="preserve"> </w:t>
      </w:r>
      <w:r>
        <w:rPr>
          <w:rFonts w:ascii="Arial" w:eastAsia="Arial" w:hAnsi="Arial"/>
          <w:sz w:val="16"/>
        </w:rPr>
        <w:t>sa medzi účtovnými jednotkami kons</w:t>
      </w:r>
      <w:r w:rsidR="003A7D27">
        <w:rPr>
          <w:rFonts w:ascii="Arial" w:eastAsia="Arial" w:hAnsi="Arial"/>
          <w:sz w:val="16"/>
        </w:rPr>
        <w:t>olidovaného celku Obce Belina</w:t>
      </w:r>
      <w:r>
        <w:rPr>
          <w:rFonts w:ascii="Arial" w:eastAsia="Arial" w:hAnsi="Arial"/>
          <w:sz w:val="16"/>
        </w:rPr>
        <w:t xml:space="preserve"> neuskutočnil nákup resp. predaj majetku.</w:t>
      </w: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34" w:lineRule="exact"/>
        <w:rPr>
          <w:rFonts w:ascii="Times New Roman" w:eastAsia="Times New Roman" w:hAnsi="Times New Roman"/>
        </w:rPr>
      </w:pPr>
    </w:p>
    <w:p w:rsidR="001C249C" w:rsidRDefault="001C249C">
      <w:pPr>
        <w:numPr>
          <w:ilvl w:val="0"/>
          <w:numId w:val="6"/>
        </w:numPr>
        <w:tabs>
          <w:tab w:val="left" w:pos="444"/>
        </w:tabs>
        <w:spacing w:line="0" w:lineRule="atLeast"/>
        <w:ind w:left="444" w:hanging="44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účtovných zásadách a účtovných metódach</w:t>
      </w:r>
    </w:p>
    <w:p w:rsidR="001C249C" w:rsidRDefault="001C249C">
      <w:pPr>
        <w:spacing w:line="241" w:lineRule="exact"/>
        <w:rPr>
          <w:rFonts w:ascii="Times New Roman" w:eastAsia="Times New Roman" w:hAnsi="Times New Roman"/>
        </w:rPr>
      </w:pPr>
    </w:p>
    <w:p w:rsidR="001C249C" w:rsidRDefault="001C249C">
      <w:pPr>
        <w:numPr>
          <w:ilvl w:val="0"/>
          <w:numId w:val="7"/>
        </w:num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Dlhodobý nehmotný a dlhodobý hmotný majetok</w:t>
      </w:r>
    </w:p>
    <w:p w:rsidR="001C249C" w:rsidRDefault="001C249C">
      <w:pPr>
        <w:spacing w:line="130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spacing w:line="237" w:lineRule="auto"/>
        <w:ind w:left="444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Dlhodobý majetok obstaraný kúpou sa oceňuje obstarávacou cenou, ktorá zahrňuje cenu obstarania a náklady súvisiace s obstaraním (clo, prepravu, montáž, poistné a pod.). Súčasťou obstarávacej ceny dlhodobého hmotného a nehmotného majetku nie sú/sú úroky z úverov (podľa rozhodnutia účtovnej jednotky). Zľava z ceny, ktorú poskytol dodávateľ k majetku sa účtuje ako zníženie nákladov na predaný alebo spotrebovaný majetok.</w:t>
      </w:r>
    </w:p>
    <w:p w:rsidR="001C249C" w:rsidRDefault="001C249C">
      <w:pPr>
        <w:spacing w:line="377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spacing w:line="235" w:lineRule="auto"/>
        <w:ind w:left="444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Hodnota obstarávaného dlhodobého hmotného majetku, ktorý sa používa, sa trvalo zníži o oprávky, ktoré zodpovedajú výške opotrebenia majetku.</w:t>
      </w:r>
    </w:p>
    <w:p w:rsidR="001C249C" w:rsidRDefault="001C249C">
      <w:pPr>
        <w:spacing w:line="191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spacing w:line="235" w:lineRule="auto"/>
        <w:ind w:left="444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O opravných položkách sa účtuje v prípade prechodného zníženia hodnoty majetku ku dňu, ku ktorému sa zostavuje účtovná závierka.</w:t>
      </w:r>
    </w:p>
    <w:p w:rsidR="001C249C" w:rsidRDefault="001C249C">
      <w:pPr>
        <w:spacing w:line="191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spacing w:line="236" w:lineRule="auto"/>
        <w:ind w:left="444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Dlhodobý majetok vytvorený vlastnou činnosťou sa oceňuje vlastnými nákladmi. Za vlastné náklady sa považujú všetky priame náklady vynaložené na výrobu alebo inú činnosť a všetky nepriame náklady vzťahujúce sa na výrobu alebo inú činnosť.</w:t>
      </w:r>
    </w:p>
    <w:p w:rsidR="001C249C" w:rsidRDefault="001C249C">
      <w:pPr>
        <w:spacing w:line="194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spacing w:line="233" w:lineRule="auto"/>
        <w:ind w:left="444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Dlhodobý majetok nadobudnutý bezodplatným prevodom pri splynutí, zlúčení, rozdelení alebo pri prevode správy sa oceňuje cenou, v ktorej sa doteraz viedol v účtovníctve. Ak cenu nie je možné zistiť, oceňuje sa</w:t>
      </w:r>
    </w:p>
    <w:p w:rsidR="001C249C" w:rsidRDefault="001C249C">
      <w:pPr>
        <w:spacing w:line="9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spacing w:line="236" w:lineRule="auto"/>
        <w:ind w:left="444" w:right="20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reprodukčnou obstarávacou cenou. Dlhodobý nehmotný a hmotný majetok obstaraný iným spôsobom (napr. bezodplatne nadobudnutý majetok, delimitovaný, novo zistený majetok pri inventarizácii) sa oceňuje reprodukčnou obstarávacou cenou, t.j. cenou, za ktorú by sa majetok obstaral v čase, keď sa o ňom účtuje.</w:t>
      </w:r>
    </w:p>
    <w:p w:rsidR="001C249C" w:rsidRDefault="001C249C">
      <w:pPr>
        <w:spacing w:line="191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spacing w:line="237" w:lineRule="auto"/>
        <w:ind w:left="444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Dlhodobý nehmotný majetok a dlhodobý hmotný majetok odpisovaný sa odpisuje podľa odpisového plánu, ktorý bol zostavený na základe predpokladanej doby jeho používania a predpokladaného priebehu jeho morálneho a fyzického opotrebenia. Účtovná jednotka odpisuje majetok na základe zákona o účtovníctve a účtuje o účtovných odpisoch.</w:t>
      </w:r>
    </w:p>
    <w:p w:rsidR="001C249C" w:rsidRDefault="001C249C">
      <w:pPr>
        <w:spacing w:line="200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spacing w:line="226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numPr>
          <w:ilvl w:val="0"/>
          <w:numId w:val="7"/>
        </w:num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Dlhodobý finančný majetok</w:t>
      </w:r>
    </w:p>
    <w:p w:rsidR="001C249C" w:rsidRDefault="001C249C">
      <w:pPr>
        <w:spacing w:line="128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spacing w:line="235" w:lineRule="auto"/>
        <w:ind w:left="444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Finančné investície, cenné papiere a majetkové účasti sa oceňujú obstarávacou cenou, vrátane nákladov súvisiacich s obstaraním (provízie maklérom, poplatky burze).</w:t>
      </w:r>
    </w:p>
    <w:p w:rsidR="001C249C" w:rsidRDefault="001C249C">
      <w:pPr>
        <w:spacing w:line="242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numPr>
          <w:ilvl w:val="0"/>
          <w:numId w:val="7"/>
        </w:num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Zásoby</w:t>
      </w:r>
    </w:p>
    <w:p w:rsidR="001C249C" w:rsidRDefault="001C249C">
      <w:pPr>
        <w:spacing w:line="130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spacing w:line="236" w:lineRule="auto"/>
        <w:ind w:left="464" w:right="100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1C249C" w:rsidRDefault="001C249C">
      <w:pPr>
        <w:spacing w:line="129" w:lineRule="exact"/>
        <w:rPr>
          <w:rFonts w:ascii="Arial" w:eastAsia="Arial" w:hAnsi="Arial"/>
          <w:b/>
          <w:sz w:val="16"/>
        </w:rPr>
      </w:pPr>
    </w:p>
    <w:p w:rsidR="00B27358" w:rsidRDefault="00B27358">
      <w:pPr>
        <w:spacing w:line="387" w:lineRule="auto"/>
        <w:ind w:left="464" w:right="38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Zásoby vytvorené vlastnou činnosťou sa oceňujú vlastnými nákladmi </w:t>
      </w:r>
    </w:p>
    <w:p w:rsidR="001C249C" w:rsidRDefault="001C249C">
      <w:pPr>
        <w:spacing w:line="387" w:lineRule="auto"/>
        <w:ind w:left="464" w:right="38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Toto ocenenie sa upravuje o zníženie hodnoty zásob.</w:t>
      </w:r>
    </w:p>
    <w:p w:rsidR="001C249C" w:rsidRDefault="001C249C">
      <w:pPr>
        <w:spacing w:line="248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numPr>
          <w:ilvl w:val="0"/>
          <w:numId w:val="7"/>
        </w:num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Pohľadávky</w:t>
      </w:r>
    </w:p>
    <w:p w:rsidR="001C249C" w:rsidRDefault="001C249C">
      <w:pPr>
        <w:spacing w:line="131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33" w:lineRule="auto"/>
        <w:ind w:left="444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Pohľadávky pri ich vzniku sa oceňujú menovitou hodnotou. Pohľadávky pri odplatnom nadobudnutí alebo pohľadávky nadobudnuté vkladom do základného imania sa oceňujú obstarávacou cenou, t.j. vrátane nákladov súvisiacich</w:t>
      </w:r>
    </w:p>
    <w:p w:rsidR="001C249C" w:rsidRDefault="001C249C">
      <w:pPr>
        <w:spacing w:line="2" w:lineRule="exact"/>
        <w:rPr>
          <w:rFonts w:ascii="Times New Roman" w:eastAsia="Times New Roman" w:hAnsi="Times New Roman"/>
        </w:rPr>
      </w:pPr>
    </w:p>
    <w:p w:rsidR="001C249C" w:rsidRDefault="001C249C">
      <w:pPr>
        <w:numPr>
          <w:ilvl w:val="0"/>
          <w:numId w:val="8"/>
        </w:numPr>
        <w:tabs>
          <w:tab w:val="left" w:pos="584"/>
        </w:tabs>
        <w:spacing w:line="0" w:lineRule="atLeast"/>
        <w:ind w:left="584" w:hanging="135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obstaraním.</w:t>
      </w:r>
    </w:p>
    <w:p w:rsidR="001C249C" w:rsidRDefault="001C249C">
      <w:pPr>
        <w:spacing w:line="191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35" w:lineRule="auto"/>
        <w:ind w:left="444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Opravná položka sa vytvára napr. k pohľadávkam po splatnosti a nedobytným pohľadávkam, kde existuje riziko nevymožiteľnosti pohľadávok.</w:t>
      </w:r>
    </w:p>
    <w:p w:rsidR="001C249C" w:rsidRDefault="001C249C">
      <w:pPr>
        <w:spacing w:line="242" w:lineRule="exact"/>
        <w:rPr>
          <w:rFonts w:ascii="Times New Roman" w:eastAsia="Times New Roman" w:hAnsi="Times New Roman"/>
        </w:rPr>
      </w:pPr>
    </w:p>
    <w:p w:rsidR="001C249C" w:rsidRDefault="001C249C">
      <w:pPr>
        <w:numPr>
          <w:ilvl w:val="0"/>
          <w:numId w:val="9"/>
        </w:num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Finančné účty</w:t>
      </w:r>
    </w:p>
    <w:p w:rsidR="001C249C" w:rsidRDefault="001C249C">
      <w:pPr>
        <w:spacing w:line="123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spacing w:line="0" w:lineRule="atLeast"/>
        <w:ind w:left="444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Peňažné prostriedky a ceniny sa oceňujú menovitou hodnotou.</w:t>
      </w:r>
    </w:p>
    <w:p w:rsidR="001C249C" w:rsidRDefault="001C249C">
      <w:pPr>
        <w:spacing w:line="240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numPr>
          <w:ilvl w:val="0"/>
          <w:numId w:val="9"/>
        </w:num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Náklady budúcich období a príjmy budúcich období</w:t>
      </w:r>
    </w:p>
    <w:p w:rsidR="001C249C" w:rsidRDefault="001C249C">
      <w:pPr>
        <w:tabs>
          <w:tab w:val="left" w:pos="464"/>
        </w:tabs>
        <w:spacing w:line="0" w:lineRule="atLeast"/>
        <w:ind w:left="464" w:hanging="464"/>
        <w:rPr>
          <w:rFonts w:ascii="Arial" w:eastAsia="Arial" w:hAnsi="Arial"/>
          <w:b/>
          <w:sz w:val="16"/>
        </w:rPr>
        <w:sectPr w:rsidR="001C249C">
          <w:pgSz w:w="11900" w:h="16838"/>
          <w:pgMar w:top="932" w:right="1326" w:bottom="872" w:left="1416" w:header="0" w:footer="0" w:gutter="0"/>
          <w:cols w:space="0" w:equalWidth="0">
            <w:col w:w="9164"/>
          </w:cols>
          <w:docGrid w:linePitch="360"/>
        </w:sectPr>
      </w:pPr>
    </w:p>
    <w:p w:rsidR="001C249C" w:rsidRDefault="001C249C">
      <w:pPr>
        <w:spacing w:line="0" w:lineRule="atLeast"/>
        <w:ind w:left="7398"/>
        <w:rPr>
          <w:rFonts w:ascii="Times New Roman" w:eastAsia="Times New Roman" w:hAnsi="Times New Roman"/>
          <w:sz w:val="18"/>
        </w:rPr>
      </w:pPr>
      <w:bookmarkStart w:id="2" w:name="page3"/>
      <w:bookmarkEnd w:id="2"/>
      <w:r>
        <w:rPr>
          <w:rFonts w:ascii="Times New Roman" w:eastAsia="Times New Roman" w:hAnsi="Times New Roman"/>
          <w:sz w:val="18"/>
        </w:rPr>
        <w:lastRenderedPageBreak/>
        <w:t>3</w:t>
      </w:r>
    </w:p>
    <w:p w:rsidR="001C249C" w:rsidRDefault="008C747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308610</wp:posOffset>
            </wp:positionV>
            <wp:extent cx="5798185" cy="6350"/>
            <wp:effectExtent l="1270" t="3810" r="127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29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35" w:lineRule="auto"/>
        <w:ind w:left="458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Náklady budúcich období a príjmy budúcich období sú vykázané vo výške, ktorá je potrebná na dodržanie zásady vecnej a časovej súvislosti s účtovným obdobím.</w:t>
      </w:r>
    </w:p>
    <w:p w:rsidR="001C249C" w:rsidRDefault="001C249C">
      <w:pPr>
        <w:spacing w:line="242" w:lineRule="exact"/>
        <w:rPr>
          <w:rFonts w:ascii="Times New Roman" w:eastAsia="Times New Roman" w:hAnsi="Times New Roman"/>
        </w:rPr>
      </w:pPr>
    </w:p>
    <w:p w:rsidR="001C249C" w:rsidRDefault="001C249C">
      <w:pPr>
        <w:numPr>
          <w:ilvl w:val="0"/>
          <w:numId w:val="10"/>
        </w:numPr>
        <w:tabs>
          <w:tab w:val="left" w:pos="478"/>
        </w:tabs>
        <w:spacing w:line="0" w:lineRule="atLeast"/>
        <w:ind w:left="478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Rezervy</w:t>
      </w:r>
    </w:p>
    <w:p w:rsidR="001C249C" w:rsidRDefault="001C249C">
      <w:pPr>
        <w:spacing w:line="131" w:lineRule="exact"/>
        <w:rPr>
          <w:rFonts w:ascii="Times New Roman" w:eastAsia="Times New Roman" w:hAnsi="Times New Roman"/>
        </w:rPr>
      </w:pPr>
    </w:p>
    <w:p w:rsidR="00A84CF8" w:rsidRPr="00612FC2" w:rsidRDefault="001C249C" w:rsidP="00A84CF8">
      <w:pPr>
        <w:spacing w:line="236" w:lineRule="auto"/>
        <w:ind w:left="458"/>
        <w:jc w:val="both"/>
        <w:rPr>
          <w:rFonts w:ascii="Arial" w:eastAsia="Arial" w:hAnsi="Arial"/>
          <w:sz w:val="16"/>
        </w:rPr>
      </w:pPr>
      <w:r w:rsidRPr="00612FC2">
        <w:rPr>
          <w:rFonts w:ascii="Arial" w:eastAsia="Arial" w:hAnsi="Arial"/>
          <w:sz w:val="16"/>
        </w:rPr>
        <w:t>Rezervy sú záväzky s neurčitým časovým vymedzením alebo výškou a oceňujú sa v očakávanej výške záväzku. V účtovnej závierke</w:t>
      </w:r>
      <w:r w:rsidR="00C30419" w:rsidRPr="00612FC2">
        <w:rPr>
          <w:rFonts w:ascii="Arial" w:eastAsia="Arial" w:hAnsi="Arial"/>
          <w:sz w:val="16"/>
        </w:rPr>
        <w:t xml:space="preserve"> za rok 202</w:t>
      </w:r>
      <w:r w:rsidR="008578B0">
        <w:rPr>
          <w:rFonts w:ascii="Arial" w:eastAsia="Arial" w:hAnsi="Arial"/>
          <w:sz w:val="16"/>
        </w:rPr>
        <w:t>3</w:t>
      </w:r>
      <w:r w:rsidRPr="00612FC2">
        <w:rPr>
          <w:rFonts w:ascii="Arial" w:eastAsia="Arial" w:hAnsi="Arial"/>
          <w:sz w:val="16"/>
        </w:rPr>
        <w:t xml:space="preserve"> sa </w:t>
      </w:r>
      <w:r w:rsidR="00A84CF8" w:rsidRPr="00612FC2">
        <w:rPr>
          <w:rFonts w:ascii="Arial" w:eastAsia="Arial" w:hAnsi="Arial"/>
          <w:sz w:val="16"/>
        </w:rPr>
        <w:t>ne</w:t>
      </w:r>
      <w:r w:rsidRPr="00612FC2">
        <w:rPr>
          <w:rFonts w:ascii="Arial" w:eastAsia="Arial" w:hAnsi="Arial"/>
          <w:sz w:val="16"/>
        </w:rPr>
        <w:t>tvorili rezervy</w:t>
      </w:r>
      <w:r w:rsidR="00A84CF8" w:rsidRPr="00612FC2">
        <w:rPr>
          <w:rFonts w:ascii="Arial" w:eastAsia="Arial" w:hAnsi="Arial"/>
          <w:sz w:val="16"/>
        </w:rPr>
        <w:t>.</w:t>
      </w:r>
      <w:r w:rsidRPr="00612FC2">
        <w:rPr>
          <w:rFonts w:ascii="Arial" w:eastAsia="Arial" w:hAnsi="Arial"/>
          <w:sz w:val="16"/>
        </w:rPr>
        <w:t xml:space="preserve"> </w:t>
      </w:r>
    </w:p>
    <w:p w:rsidR="00A84CF8" w:rsidRPr="00C30419" w:rsidRDefault="00A84CF8" w:rsidP="00A84CF8">
      <w:pPr>
        <w:spacing w:line="236" w:lineRule="auto"/>
        <w:ind w:left="458"/>
        <w:jc w:val="both"/>
        <w:rPr>
          <w:rFonts w:ascii="Arial" w:eastAsia="Arial" w:hAnsi="Arial"/>
          <w:color w:val="FF0000"/>
          <w:sz w:val="16"/>
        </w:rPr>
      </w:pPr>
    </w:p>
    <w:p w:rsidR="001C249C" w:rsidRDefault="001C249C" w:rsidP="00A84CF8">
      <w:pPr>
        <w:spacing w:line="236" w:lineRule="auto"/>
        <w:ind w:left="458"/>
        <w:jc w:val="both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Záväzky</w:t>
      </w:r>
    </w:p>
    <w:p w:rsidR="001C249C" w:rsidRDefault="001C249C">
      <w:pPr>
        <w:spacing w:line="123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0" w:lineRule="atLeast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Záväzky sa pri ich vzniku oceňujú menovitou hodnotou a pri ich prevzatí sa oceňujú obstarávacou cenou.</w:t>
      </w:r>
    </w:p>
    <w:p w:rsidR="001C249C" w:rsidRDefault="001C249C">
      <w:pPr>
        <w:spacing w:line="9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33" w:lineRule="auto"/>
        <w:ind w:left="45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Ak sa pri inventarizácii zistí, že suma záväzkov je iná ako ich výška v účtovníctve, uvedú sa záväzky v účtovníctve a v účtovnej závierke v tomto zistenom ocenení.</w:t>
      </w:r>
    </w:p>
    <w:p w:rsidR="001C249C" w:rsidRDefault="001C249C">
      <w:pPr>
        <w:spacing w:line="245" w:lineRule="exact"/>
        <w:rPr>
          <w:rFonts w:ascii="Times New Roman" w:eastAsia="Times New Roman" w:hAnsi="Times New Roman"/>
        </w:rPr>
      </w:pPr>
    </w:p>
    <w:p w:rsidR="001C249C" w:rsidRDefault="001C249C">
      <w:pPr>
        <w:numPr>
          <w:ilvl w:val="1"/>
          <w:numId w:val="12"/>
        </w:numPr>
        <w:tabs>
          <w:tab w:val="left" w:pos="478"/>
        </w:tabs>
        <w:spacing w:line="0" w:lineRule="atLeast"/>
        <w:ind w:left="478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Výdavky budúcich období a výnosy budúcich období</w:t>
      </w:r>
    </w:p>
    <w:p w:rsidR="001C249C" w:rsidRDefault="001C249C">
      <w:pPr>
        <w:spacing w:line="128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spacing w:line="235" w:lineRule="auto"/>
        <w:ind w:left="458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Výdavky budúcich období a výnosy budúcich období sú vykázané vo výške, ktorá je potrebná na dodržanie zásady vecnej a časovej súvislosti s účtovným obdobím.</w:t>
      </w:r>
    </w:p>
    <w:p w:rsidR="001C249C" w:rsidRDefault="001C249C">
      <w:pPr>
        <w:spacing w:line="241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numPr>
          <w:ilvl w:val="1"/>
          <w:numId w:val="12"/>
        </w:numPr>
        <w:tabs>
          <w:tab w:val="left" w:pos="478"/>
        </w:tabs>
        <w:spacing w:line="0" w:lineRule="atLeast"/>
        <w:ind w:left="478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Cudzia mena</w:t>
      </w:r>
    </w:p>
    <w:p w:rsidR="001C249C" w:rsidRDefault="001C249C">
      <w:pPr>
        <w:spacing w:line="130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spacing w:line="237" w:lineRule="auto"/>
        <w:ind w:left="458" w:right="20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deň, ak to ustanovuje osobitný predpis, resp. v deň, ku ktorému sa zostavuje účtovná závierka.</w:t>
      </w:r>
    </w:p>
    <w:p w:rsidR="001C249C" w:rsidRDefault="001C249C">
      <w:pPr>
        <w:spacing w:line="242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numPr>
          <w:ilvl w:val="1"/>
          <w:numId w:val="12"/>
        </w:numPr>
        <w:tabs>
          <w:tab w:val="left" w:pos="478"/>
        </w:tabs>
        <w:spacing w:line="0" w:lineRule="atLeast"/>
        <w:ind w:left="478" w:hanging="464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Výnosy</w:t>
      </w:r>
    </w:p>
    <w:p w:rsidR="001C249C" w:rsidRDefault="001C249C">
      <w:pPr>
        <w:spacing w:line="130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spacing w:line="236" w:lineRule="auto"/>
        <w:ind w:left="458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Tržby za vlastné výkony a tovar neobsahujú daň z pridanej hodnoty. Sú tiež znížené o zľavy a zrážky (rabaty, bonusy, skontá, dobropisy a pod.) bez ohľadu na to, či zákazník mal vopred na zľavu nárok, alebo či ide o dodatočne uznanú zľavu. Tržby sú účtované ku dňu splnenia dodávky alebo služby.</w:t>
      </w:r>
    </w:p>
    <w:p w:rsidR="001C249C" w:rsidRDefault="001C249C">
      <w:pPr>
        <w:spacing w:line="194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spacing w:line="233" w:lineRule="auto"/>
        <w:ind w:left="458" w:right="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O výnosoch z poplatkov sa účtuje v časovej a vecnej súvislosti s vyrubením poplatkov (ak je účtovná jednotka výbercom poplatkov).</w:t>
      </w:r>
    </w:p>
    <w:p w:rsidR="001C249C" w:rsidRDefault="001C249C">
      <w:pPr>
        <w:spacing w:line="245" w:lineRule="exact"/>
        <w:rPr>
          <w:rFonts w:ascii="Arial" w:eastAsia="Arial" w:hAnsi="Arial"/>
          <w:b/>
          <w:sz w:val="16"/>
        </w:rPr>
      </w:pPr>
    </w:p>
    <w:p w:rsidR="001C249C" w:rsidRDefault="001C249C">
      <w:pPr>
        <w:numPr>
          <w:ilvl w:val="0"/>
          <w:numId w:val="13"/>
        </w:numPr>
        <w:tabs>
          <w:tab w:val="left" w:pos="378"/>
        </w:tabs>
        <w:spacing w:line="0" w:lineRule="atLeast"/>
        <w:ind w:left="378" w:hanging="378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METÓDACH A POSTUPOCH KONSOLIDÁCIE</w:t>
      </w:r>
    </w:p>
    <w:p w:rsidR="001C249C" w:rsidRDefault="001C249C">
      <w:pPr>
        <w:spacing w:line="238" w:lineRule="exact"/>
        <w:rPr>
          <w:rFonts w:ascii="Times New Roman" w:eastAsia="Times New Roman" w:hAnsi="Times New Roman"/>
        </w:rPr>
      </w:pPr>
    </w:p>
    <w:p w:rsidR="001C249C" w:rsidRDefault="001C249C">
      <w:pPr>
        <w:numPr>
          <w:ilvl w:val="0"/>
          <w:numId w:val="14"/>
        </w:numPr>
        <w:tabs>
          <w:tab w:val="left" w:pos="438"/>
        </w:tabs>
        <w:spacing w:line="0" w:lineRule="atLeast"/>
        <w:ind w:left="438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použitých metódach konsolidácie</w:t>
      </w:r>
    </w:p>
    <w:p w:rsidR="001C249C" w:rsidRDefault="001C249C">
      <w:pPr>
        <w:spacing w:line="125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33" w:lineRule="auto"/>
        <w:ind w:left="438" w:right="80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sz w:val="16"/>
        </w:rPr>
        <w:t>Konsolidované účtovné jednotky boli zahrnuté do konsolidovanej účtovnej závierky k</w:t>
      </w:r>
      <w:r w:rsidR="003A7D27">
        <w:rPr>
          <w:rFonts w:ascii="Arial" w:eastAsia="Arial" w:hAnsi="Arial"/>
          <w:sz w:val="16"/>
        </w:rPr>
        <w:t>onsolidovaného celku Obce Belina</w:t>
      </w:r>
      <w:r>
        <w:rPr>
          <w:rFonts w:ascii="Arial" w:eastAsia="Arial" w:hAnsi="Arial"/>
          <w:sz w:val="16"/>
        </w:rPr>
        <w:t xml:space="preserve"> metódou </w:t>
      </w:r>
      <w:r>
        <w:rPr>
          <w:rFonts w:ascii="Arial" w:eastAsia="Arial" w:hAnsi="Arial"/>
          <w:b/>
          <w:sz w:val="16"/>
        </w:rPr>
        <w:t>úplnej konsolidácie.</w:t>
      </w:r>
    </w:p>
    <w:p w:rsidR="001C249C" w:rsidRDefault="001C249C">
      <w:pPr>
        <w:spacing w:line="339" w:lineRule="exact"/>
        <w:rPr>
          <w:rFonts w:ascii="Times New Roman" w:eastAsia="Times New Roman" w:hAnsi="Times New Roman"/>
        </w:rPr>
      </w:pPr>
    </w:p>
    <w:p w:rsidR="001C249C" w:rsidRDefault="001C249C">
      <w:pPr>
        <w:numPr>
          <w:ilvl w:val="0"/>
          <w:numId w:val="15"/>
        </w:numPr>
        <w:tabs>
          <w:tab w:val="left" w:pos="438"/>
        </w:tabs>
        <w:spacing w:line="0" w:lineRule="atLeast"/>
        <w:ind w:left="438" w:hanging="438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INFORMÁCIE O ÚDAJOCH NA STRANE AKTÍV A PASÍV SÚVAHY</w:t>
      </w:r>
    </w:p>
    <w:p w:rsidR="001C249C" w:rsidRDefault="001C249C">
      <w:pPr>
        <w:spacing w:line="238" w:lineRule="exact"/>
        <w:rPr>
          <w:rFonts w:ascii="Times New Roman" w:eastAsia="Times New Roman" w:hAnsi="Times New Roman"/>
        </w:rPr>
      </w:pPr>
    </w:p>
    <w:p w:rsidR="001C249C" w:rsidRDefault="001C249C">
      <w:pPr>
        <w:numPr>
          <w:ilvl w:val="0"/>
          <w:numId w:val="16"/>
        </w:numPr>
        <w:tabs>
          <w:tab w:val="left" w:pos="438"/>
        </w:tabs>
        <w:spacing w:line="0" w:lineRule="atLeast"/>
        <w:ind w:left="438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Dlhodobý majetok</w:t>
      </w:r>
    </w:p>
    <w:p w:rsidR="001C249C" w:rsidRDefault="001C249C">
      <w:pPr>
        <w:spacing w:line="251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37" w:lineRule="auto"/>
        <w:ind w:left="458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Prehľad o pohybe dlhodobého nehmotného a dlhodobého hmotného majetku od 1. januára 20</w:t>
      </w:r>
      <w:r w:rsidR="008578B0">
        <w:rPr>
          <w:rFonts w:ascii="Arial" w:eastAsia="Arial" w:hAnsi="Arial"/>
          <w:sz w:val="16"/>
        </w:rPr>
        <w:t>23 do 31. decembra 2023</w:t>
      </w:r>
      <w:r w:rsidR="00C30419">
        <w:rPr>
          <w:rFonts w:ascii="Arial" w:eastAsia="Arial" w:hAnsi="Arial"/>
          <w:sz w:val="16"/>
        </w:rPr>
        <w:t xml:space="preserve"> </w:t>
      </w:r>
      <w:r>
        <w:rPr>
          <w:rFonts w:ascii="Arial" w:eastAsia="Arial" w:hAnsi="Arial"/>
          <w:sz w:val="16"/>
        </w:rPr>
        <w:t>je uvedený v tabuľke č. 2 konsolidovaných poznámok. Taktiež sú tu uvedené detailnejšie informácie o dlhodobom finančnom majetku vykázanom v konsolidovanej účto</w:t>
      </w:r>
      <w:r w:rsidR="00C30419">
        <w:rPr>
          <w:rFonts w:ascii="Arial" w:eastAsia="Arial" w:hAnsi="Arial"/>
          <w:sz w:val="16"/>
        </w:rPr>
        <w:t>v</w:t>
      </w:r>
      <w:r w:rsidR="008578B0">
        <w:rPr>
          <w:rFonts w:ascii="Arial" w:eastAsia="Arial" w:hAnsi="Arial"/>
          <w:sz w:val="16"/>
        </w:rPr>
        <w:t>nej závierke k 31. decembru 2023</w:t>
      </w:r>
      <w:r>
        <w:rPr>
          <w:rFonts w:ascii="Arial" w:eastAsia="Arial" w:hAnsi="Arial"/>
          <w:sz w:val="16"/>
        </w:rPr>
        <w:t>.</w:t>
      </w: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24" w:lineRule="exact"/>
        <w:rPr>
          <w:rFonts w:ascii="Times New Roman" w:eastAsia="Times New Roman" w:hAnsi="Times New Roman"/>
        </w:rPr>
      </w:pPr>
    </w:p>
    <w:p w:rsidR="001C249C" w:rsidRDefault="001C249C">
      <w:pPr>
        <w:numPr>
          <w:ilvl w:val="0"/>
          <w:numId w:val="17"/>
        </w:numPr>
        <w:tabs>
          <w:tab w:val="left" w:pos="438"/>
        </w:tabs>
        <w:spacing w:line="0" w:lineRule="atLeast"/>
        <w:ind w:left="438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Zásoby</w:t>
      </w:r>
    </w:p>
    <w:p w:rsidR="001C249C" w:rsidRDefault="001C249C">
      <w:pPr>
        <w:spacing w:line="242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0" w:lineRule="atLeast"/>
        <w:ind w:left="438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K zásobám neboli tvorené opravné položky.</w:t>
      </w:r>
    </w:p>
    <w:p w:rsidR="001C249C" w:rsidRDefault="001C249C">
      <w:pPr>
        <w:spacing w:line="244" w:lineRule="exact"/>
        <w:rPr>
          <w:rFonts w:ascii="Times New Roman" w:eastAsia="Times New Roman" w:hAnsi="Times New Roman"/>
        </w:rPr>
      </w:pPr>
    </w:p>
    <w:p w:rsidR="001C249C" w:rsidRDefault="001C249C">
      <w:pPr>
        <w:numPr>
          <w:ilvl w:val="0"/>
          <w:numId w:val="18"/>
        </w:numPr>
        <w:tabs>
          <w:tab w:val="left" w:pos="438"/>
        </w:tabs>
        <w:spacing w:line="0" w:lineRule="atLeast"/>
        <w:ind w:left="438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Pohľadávky</w:t>
      </w:r>
    </w:p>
    <w:p w:rsidR="001C249C" w:rsidRDefault="001C249C">
      <w:pPr>
        <w:spacing w:line="240" w:lineRule="exact"/>
        <w:rPr>
          <w:rFonts w:ascii="Times New Roman" w:eastAsia="Times New Roman" w:hAnsi="Times New Roman"/>
        </w:rPr>
      </w:pPr>
    </w:p>
    <w:p w:rsidR="001C249C" w:rsidRPr="00C30419" w:rsidRDefault="00B27358">
      <w:pPr>
        <w:spacing w:line="0" w:lineRule="atLeast"/>
        <w:ind w:left="458"/>
        <w:rPr>
          <w:rFonts w:ascii="Arial" w:eastAsia="Arial" w:hAnsi="Arial"/>
          <w:sz w:val="16"/>
        </w:rPr>
      </w:pPr>
      <w:r w:rsidRPr="00C30419">
        <w:rPr>
          <w:rFonts w:ascii="Arial" w:eastAsia="Arial" w:hAnsi="Arial"/>
          <w:sz w:val="16"/>
        </w:rPr>
        <w:t xml:space="preserve">Konsolidovaný celok </w:t>
      </w:r>
      <w:r w:rsidR="00F75F2E" w:rsidRPr="00C30419">
        <w:rPr>
          <w:rFonts w:ascii="Arial" w:eastAsia="Arial" w:hAnsi="Arial"/>
          <w:sz w:val="16"/>
        </w:rPr>
        <w:t>n</w:t>
      </w:r>
      <w:r w:rsidRPr="00C30419">
        <w:rPr>
          <w:rFonts w:ascii="Arial" w:eastAsia="Arial" w:hAnsi="Arial"/>
          <w:sz w:val="16"/>
        </w:rPr>
        <w:t>eviduje pochybné a ne</w:t>
      </w:r>
      <w:r w:rsidR="001C249C" w:rsidRPr="00C30419">
        <w:rPr>
          <w:rFonts w:ascii="Arial" w:eastAsia="Arial" w:hAnsi="Arial"/>
          <w:sz w:val="16"/>
        </w:rPr>
        <w:t>doby</w:t>
      </w:r>
      <w:r w:rsidR="00F75F2E" w:rsidRPr="00C30419">
        <w:rPr>
          <w:rFonts w:ascii="Arial" w:eastAsia="Arial" w:hAnsi="Arial"/>
          <w:sz w:val="16"/>
        </w:rPr>
        <w:t>tné pohľadávky. K daňovým a nedaňovým pohľadávkam boli tvorené opravné položky.</w:t>
      </w:r>
    </w:p>
    <w:p w:rsidR="001C249C" w:rsidRPr="00C30419" w:rsidRDefault="001C249C">
      <w:pPr>
        <w:spacing w:line="1" w:lineRule="exact"/>
        <w:rPr>
          <w:rFonts w:ascii="Times New Roman" w:eastAsia="Times New Roman" w:hAnsi="Times New Roman"/>
        </w:rPr>
      </w:pPr>
    </w:p>
    <w:p w:rsidR="001C249C" w:rsidRPr="00C30419" w:rsidRDefault="001C249C">
      <w:pPr>
        <w:spacing w:line="9" w:lineRule="exact"/>
        <w:rPr>
          <w:rFonts w:ascii="Times New Roman" w:eastAsia="Times New Roman" w:hAnsi="Times New Roman"/>
        </w:rPr>
      </w:pPr>
    </w:p>
    <w:p w:rsidR="001C249C" w:rsidRPr="00C30419" w:rsidRDefault="001C249C">
      <w:pPr>
        <w:spacing w:line="234" w:lineRule="auto"/>
        <w:ind w:left="458"/>
        <w:rPr>
          <w:rFonts w:ascii="Arial" w:eastAsia="Arial" w:hAnsi="Arial"/>
          <w:sz w:val="16"/>
        </w:rPr>
      </w:pPr>
      <w:r w:rsidRPr="00C30419">
        <w:rPr>
          <w:rFonts w:ascii="Arial" w:eastAsia="Arial" w:hAnsi="Arial"/>
          <w:sz w:val="16"/>
        </w:rPr>
        <w:t>Prehľad pohľadávok z hľadiska ich vekovej štruktúry a z hľadiska splatnosti je uvedený v tabuľke č. 9 konsolidovaných poznámok.</w:t>
      </w:r>
    </w:p>
    <w:p w:rsidR="001C249C" w:rsidRPr="00C30419" w:rsidRDefault="001C249C">
      <w:pPr>
        <w:spacing w:line="194" w:lineRule="exact"/>
        <w:rPr>
          <w:rFonts w:ascii="Times New Roman" w:eastAsia="Times New Roman" w:hAnsi="Times New Roman"/>
        </w:rPr>
      </w:pPr>
    </w:p>
    <w:p w:rsidR="001C249C" w:rsidRPr="00C30419" w:rsidRDefault="001C249C">
      <w:pPr>
        <w:spacing w:line="233" w:lineRule="auto"/>
        <w:ind w:left="458"/>
        <w:rPr>
          <w:rFonts w:ascii="Arial" w:eastAsia="Arial" w:hAnsi="Arial"/>
          <w:sz w:val="16"/>
        </w:rPr>
      </w:pPr>
      <w:r w:rsidRPr="00C30419">
        <w:rPr>
          <w:rFonts w:ascii="Arial" w:eastAsia="Arial" w:hAnsi="Arial"/>
          <w:sz w:val="16"/>
        </w:rPr>
        <w:t xml:space="preserve">Z celkovej čiastky pohľadávok </w:t>
      </w:r>
      <w:r w:rsidR="008578B0">
        <w:rPr>
          <w:rFonts w:ascii="Arial" w:eastAsia="Arial" w:hAnsi="Arial"/>
          <w:sz w:val="16"/>
        </w:rPr>
        <w:t>28 195,39</w:t>
      </w:r>
      <w:r w:rsidR="000D6297" w:rsidRPr="00C30419">
        <w:rPr>
          <w:rFonts w:ascii="Arial" w:eastAsia="Arial" w:hAnsi="Arial"/>
          <w:sz w:val="16"/>
        </w:rPr>
        <w:t xml:space="preserve"> </w:t>
      </w:r>
      <w:r w:rsidRPr="00C30419">
        <w:rPr>
          <w:rFonts w:ascii="Arial" w:eastAsia="Arial" w:hAnsi="Arial"/>
          <w:sz w:val="16"/>
        </w:rPr>
        <w:t xml:space="preserve"> </w:t>
      </w:r>
      <w:r w:rsidR="00E7392B">
        <w:rPr>
          <w:rFonts w:ascii="Arial" w:eastAsia="Arial" w:hAnsi="Arial"/>
          <w:sz w:val="16"/>
        </w:rPr>
        <w:t>E</w:t>
      </w:r>
      <w:r w:rsidRPr="00C30419">
        <w:rPr>
          <w:rFonts w:ascii="Arial" w:eastAsia="Arial" w:hAnsi="Arial"/>
          <w:sz w:val="16"/>
        </w:rPr>
        <w:t>ur predstavujú pohľadávky voči ostatným účtovným jednotkám súhrnného celku hodnotu 0,00 eur.</w:t>
      </w:r>
    </w:p>
    <w:p w:rsidR="001C249C" w:rsidRDefault="001C249C">
      <w:pPr>
        <w:spacing w:line="233" w:lineRule="auto"/>
        <w:ind w:left="458"/>
        <w:rPr>
          <w:rFonts w:ascii="Arial" w:eastAsia="Arial" w:hAnsi="Arial"/>
          <w:sz w:val="16"/>
        </w:rPr>
        <w:sectPr w:rsidR="001C249C">
          <w:pgSz w:w="11900" w:h="16838"/>
          <w:pgMar w:top="932" w:right="1326" w:bottom="1440" w:left="1402" w:header="0" w:footer="0" w:gutter="0"/>
          <w:cols w:space="0" w:equalWidth="0">
            <w:col w:w="9178"/>
          </w:cols>
          <w:docGrid w:linePitch="360"/>
        </w:sectPr>
      </w:pPr>
    </w:p>
    <w:p w:rsidR="001C249C" w:rsidRDefault="001C249C">
      <w:pPr>
        <w:spacing w:line="0" w:lineRule="atLeast"/>
        <w:ind w:left="7460"/>
        <w:rPr>
          <w:rFonts w:ascii="Times New Roman" w:eastAsia="Times New Roman" w:hAnsi="Times New Roman"/>
          <w:sz w:val="18"/>
        </w:rPr>
      </w:pPr>
      <w:bookmarkStart w:id="3" w:name="page4"/>
      <w:bookmarkEnd w:id="3"/>
      <w:r>
        <w:rPr>
          <w:rFonts w:ascii="Times New Roman" w:eastAsia="Times New Roman" w:hAnsi="Times New Roman"/>
          <w:sz w:val="18"/>
        </w:rPr>
        <w:lastRenderedPageBreak/>
        <w:t>4</w:t>
      </w:r>
    </w:p>
    <w:p w:rsidR="001C249C" w:rsidRDefault="008C747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308610</wp:posOffset>
            </wp:positionV>
            <wp:extent cx="5798185" cy="6350"/>
            <wp:effectExtent l="1905" t="3810" r="635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20" w:lineRule="exact"/>
        <w:rPr>
          <w:rFonts w:ascii="Times New Roman" w:eastAsia="Times New Roman" w:hAnsi="Times New Roman"/>
        </w:rPr>
      </w:pPr>
    </w:p>
    <w:p w:rsidR="001C249C" w:rsidRDefault="001C249C">
      <w:pPr>
        <w:numPr>
          <w:ilvl w:val="0"/>
          <w:numId w:val="19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Časové rozlíšenie aktív</w:t>
      </w:r>
    </w:p>
    <w:p w:rsidR="001C249C" w:rsidRDefault="001C249C">
      <w:pPr>
        <w:spacing w:line="242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0" w:lineRule="atLeast"/>
        <w:ind w:left="5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V tabuľke č. 10 konsolidovaných poznámok sú uvedené významné položky časového rozlíšenia aktív.</w:t>
      </w:r>
    </w:p>
    <w:p w:rsidR="001C249C" w:rsidRDefault="001C249C">
      <w:pPr>
        <w:spacing w:line="241" w:lineRule="exact"/>
        <w:rPr>
          <w:rFonts w:ascii="Times New Roman" w:eastAsia="Times New Roman" w:hAnsi="Times New Roman"/>
        </w:rPr>
      </w:pPr>
    </w:p>
    <w:p w:rsidR="001C249C" w:rsidRDefault="001C249C">
      <w:pPr>
        <w:numPr>
          <w:ilvl w:val="0"/>
          <w:numId w:val="20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Vlastné imanie</w:t>
      </w:r>
    </w:p>
    <w:p w:rsidR="001C249C" w:rsidRDefault="001C249C">
      <w:pPr>
        <w:spacing w:line="250" w:lineRule="exact"/>
        <w:rPr>
          <w:rFonts w:ascii="Times New Roman" w:eastAsia="Times New Roman" w:hAnsi="Times New Roman"/>
        </w:rPr>
      </w:pPr>
    </w:p>
    <w:p w:rsidR="001C249C" w:rsidRPr="00C30419" w:rsidRDefault="001C249C">
      <w:pPr>
        <w:spacing w:line="235" w:lineRule="auto"/>
        <w:ind w:left="520"/>
        <w:rPr>
          <w:rFonts w:ascii="Arial" w:eastAsia="Arial" w:hAnsi="Arial"/>
          <w:sz w:val="16"/>
        </w:rPr>
      </w:pPr>
      <w:r w:rsidRPr="00C30419">
        <w:rPr>
          <w:rFonts w:ascii="Arial" w:eastAsia="Arial" w:hAnsi="Arial"/>
          <w:sz w:val="16"/>
        </w:rPr>
        <w:t>Prehľad o pohybe vlastného imania konsolidova</w:t>
      </w:r>
      <w:r w:rsidR="003A7D27" w:rsidRPr="00C30419">
        <w:rPr>
          <w:rFonts w:ascii="Arial" w:eastAsia="Arial" w:hAnsi="Arial"/>
          <w:sz w:val="16"/>
        </w:rPr>
        <w:t>ného celku Obce Belina</w:t>
      </w:r>
      <w:r w:rsidR="00C30419" w:rsidRPr="00C30419">
        <w:rPr>
          <w:rFonts w:ascii="Arial" w:eastAsia="Arial" w:hAnsi="Arial"/>
          <w:sz w:val="16"/>
        </w:rPr>
        <w:t xml:space="preserve"> od 1. januára 202</w:t>
      </w:r>
      <w:r w:rsidR="008578B0">
        <w:rPr>
          <w:rFonts w:ascii="Arial" w:eastAsia="Arial" w:hAnsi="Arial"/>
          <w:sz w:val="16"/>
        </w:rPr>
        <w:t>3</w:t>
      </w:r>
      <w:r w:rsidRPr="00C30419">
        <w:rPr>
          <w:rFonts w:ascii="Arial" w:eastAsia="Arial" w:hAnsi="Arial"/>
          <w:sz w:val="16"/>
        </w:rPr>
        <w:t xml:space="preserve"> do 31. decembra </w:t>
      </w:r>
      <w:r w:rsidR="008578B0">
        <w:rPr>
          <w:rFonts w:ascii="Arial" w:eastAsia="Arial" w:hAnsi="Arial"/>
          <w:sz w:val="16"/>
        </w:rPr>
        <w:t>2023</w:t>
      </w:r>
      <w:r w:rsidRPr="00C30419">
        <w:rPr>
          <w:rFonts w:ascii="Arial" w:eastAsia="Arial" w:hAnsi="Arial"/>
          <w:sz w:val="16"/>
        </w:rPr>
        <w:t xml:space="preserve"> je uvedený v tabuľke č. 12 konsolidovaných poznámok.</w:t>
      </w:r>
    </w:p>
    <w:p w:rsidR="001C249C" w:rsidRPr="00C30419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27" w:lineRule="exact"/>
        <w:rPr>
          <w:rFonts w:ascii="Times New Roman" w:eastAsia="Times New Roman" w:hAnsi="Times New Roman"/>
        </w:rPr>
      </w:pPr>
    </w:p>
    <w:p w:rsidR="001C249C" w:rsidRDefault="001C249C">
      <w:pPr>
        <w:numPr>
          <w:ilvl w:val="0"/>
          <w:numId w:val="21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Rezervy</w:t>
      </w:r>
    </w:p>
    <w:p w:rsidR="001C249C" w:rsidRDefault="001C249C">
      <w:pPr>
        <w:spacing w:line="251" w:lineRule="exact"/>
        <w:rPr>
          <w:rFonts w:ascii="Times New Roman" w:eastAsia="Times New Roman" w:hAnsi="Times New Roman"/>
        </w:rPr>
      </w:pPr>
    </w:p>
    <w:p w:rsidR="001C249C" w:rsidRDefault="001C249C" w:rsidP="003A7D27">
      <w:pPr>
        <w:spacing w:line="233" w:lineRule="auto"/>
        <w:ind w:left="520" w:right="20"/>
        <w:rPr>
          <w:rFonts w:ascii="Times New Roman" w:eastAsia="Times New Roman" w:hAnsi="Times New Roman"/>
        </w:rPr>
      </w:pPr>
      <w:r>
        <w:rPr>
          <w:rFonts w:ascii="Arial" w:eastAsia="Arial" w:hAnsi="Arial"/>
          <w:sz w:val="16"/>
        </w:rPr>
        <w:t>Konsolidovaný celok</w:t>
      </w:r>
      <w:r w:rsidR="008578B0">
        <w:rPr>
          <w:rFonts w:ascii="Arial" w:eastAsia="Arial" w:hAnsi="Arial"/>
          <w:sz w:val="16"/>
        </w:rPr>
        <w:t xml:space="preserve"> v roku 2023</w:t>
      </w:r>
      <w:r w:rsidR="00612FC2">
        <w:rPr>
          <w:rFonts w:ascii="Arial" w:eastAsia="Arial" w:hAnsi="Arial"/>
          <w:sz w:val="16"/>
        </w:rPr>
        <w:t xml:space="preserve"> </w:t>
      </w:r>
      <w:r w:rsidR="008578B0">
        <w:rPr>
          <w:rFonts w:ascii="Arial" w:eastAsia="Arial" w:hAnsi="Arial"/>
          <w:sz w:val="16"/>
        </w:rPr>
        <w:t>ne</w:t>
      </w:r>
      <w:r w:rsidR="003A7D27">
        <w:rPr>
          <w:rFonts w:ascii="Arial" w:eastAsia="Arial" w:hAnsi="Arial"/>
          <w:sz w:val="16"/>
        </w:rPr>
        <w:t>tvoril</w:t>
      </w:r>
      <w:r>
        <w:rPr>
          <w:rFonts w:ascii="Arial" w:eastAsia="Arial" w:hAnsi="Arial"/>
          <w:sz w:val="16"/>
        </w:rPr>
        <w:t xml:space="preserve"> krátkodobé rezervy</w:t>
      </w:r>
      <w:r w:rsidR="00612FC2">
        <w:rPr>
          <w:rFonts w:ascii="Arial" w:eastAsia="Arial" w:hAnsi="Arial"/>
          <w:sz w:val="16"/>
        </w:rPr>
        <w:t>, prehľad rezerv je uvedený v tabuľke č. 14 konsolidovaných poznámok.</w:t>
      </w:r>
      <w:r w:rsidR="00612FC2">
        <w:rPr>
          <w:rFonts w:ascii="Arial" w:eastAsia="Arial" w:hAnsi="Arial"/>
          <w:sz w:val="16"/>
        </w:rPr>
        <w:tab/>
      </w:r>
    </w:p>
    <w:p w:rsidR="001C249C" w:rsidRDefault="001C249C">
      <w:pPr>
        <w:spacing w:line="241" w:lineRule="exact"/>
        <w:rPr>
          <w:rFonts w:ascii="Times New Roman" w:eastAsia="Times New Roman" w:hAnsi="Times New Roman"/>
        </w:rPr>
      </w:pPr>
    </w:p>
    <w:p w:rsidR="001C249C" w:rsidRDefault="001C249C">
      <w:pPr>
        <w:numPr>
          <w:ilvl w:val="0"/>
          <w:numId w:val="22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Záväzky</w:t>
      </w:r>
    </w:p>
    <w:p w:rsidR="001C249C" w:rsidRPr="00C30419" w:rsidRDefault="001C249C">
      <w:pPr>
        <w:spacing w:line="242" w:lineRule="exact"/>
        <w:rPr>
          <w:rFonts w:ascii="Times New Roman" w:eastAsia="Times New Roman" w:hAnsi="Times New Roman"/>
          <w:color w:val="FF0000"/>
        </w:rPr>
      </w:pPr>
    </w:p>
    <w:p w:rsidR="001C249C" w:rsidRPr="00C30419" w:rsidRDefault="001C249C">
      <w:pPr>
        <w:spacing w:line="0" w:lineRule="atLeast"/>
        <w:ind w:left="520"/>
        <w:rPr>
          <w:rFonts w:ascii="Arial" w:eastAsia="Arial" w:hAnsi="Arial"/>
          <w:sz w:val="16"/>
        </w:rPr>
      </w:pPr>
      <w:r w:rsidRPr="00C30419">
        <w:rPr>
          <w:rFonts w:ascii="Arial" w:eastAsia="Arial" w:hAnsi="Arial"/>
          <w:sz w:val="16"/>
        </w:rPr>
        <w:t>Prehľad záväzkov z hľadiska splatnosti je uvedený v tabuľke č. 15 konsolidovaných poznámok.</w:t>
      </w:r>
    </w:p>
    <w:p w:rsidR="001C249C" w:rsidRPr="00C30419" w:rsidRDefault="001C249C">
      <w:pPr>
        <w:spacing w:line="191" w:lineRule="exact"/>
        <w:rPr>
          <w:rFonts w:ascii="Times New Roman" w:eastAsia="Times New Roman" w:hAnsi="Times New Roman"/>
        </w:rPr>
      </w:pPr>
    </w:p>
    <w:p w:rsidR="001C249C" w:rsidRPr="00C30419" w:rsidRDefault="001C249C">
      <w:pPr>
        <w:spacing w:line="235" w:lineRule="auto"/>
        <w:ind w:left="500" w:right="80"/>
        <w:rPr>
          <w:rFonts w:ascii="Arial" w:eastAsia="Arial" w:hAnsi="Arial"/>
          <w:sz w:val="16"/>
        </w:rPr>
      </w:pPr>
      <w:r w:rsidRPr="00C30419">
        <w:rPr>
          <w:rFonts w:ascii="Arial" w:eastAsia="Arial" w:hAnsi="Arial"/>
          <w:sz w:val="16"/>
        </w:rPr>
        <w:t>Z celkovej čiastky záväzkov</w:t>
      </w:r>
      <w:r w:rsidR="000D6297" w:rsidRPr="00C30419">
        <w:rPr>
          <w:rFonts w:ascii="Arial" w:eastAsia="Arial" w:hAnsi="Arial"/>
          <w:sz w:val="16"/>
        </w:rPr>
        <w:t xml:space="preserve">  </w:t>
      </w:r>
      <w:r w:rsidR="007D3082">
        <w:rPr>
          <w:rFonts w:ascii="Arial" w:eastAsia="Arial" w:hAnsi="Arial"/>
          <w:sz w:val="16"/>
        </w:rPr>
        <w:t>70 933,54</w:t>
      </w:r>
      <w:r w:rsidR="000D6297" w:rsidRPr="00C30419">
        <w:rPr>
          <w:rFonts w:ascii="Arial" w:eastAsia="Arial" w:hAnsi="Arial"/>
          <w:sz w:val="16"/>
        </w:rPr>
        <w:t xml:space="preserve"> </w:t>
      </w:r>
      <w:r w:rsidRPr="00C30419">
        <w:rPr>
          <w:rFonts w:ascii="Arial" w:eastAsia="Arial" w:hAnsi="Arial"/>
          <w:sz w:val="16"/>
        </w:rPr>
        <w:t xml:space="preserve"> EUR predstavujú záväzky voči ostatným účtovným jednotkám súhrnného celku hodnotu 0,00 EUR.</w:t>
      </w:r>
    </w:p>
    <w:p w:rsidR="00B27358" w:rsidRPr="00C30419" w:rsidRDefault="00B27358">
      <w:pPr>
        <w:spacing w:line="235" w:lineRule="auto"/>
        <w:ind w:left="500" w:right="80"/>
        <w:rPr>
          <w:rFonts w:ascii="Arial" w:eastAsia="Arial" w:hAnsi="Arial"/>
          <w:color w:val="FF0000"/>
          <w:sz w:val="16"/>
        </w:rPr>
      </w:pPr>
    </w:p>
    <w:p w:rsidR="001C249C" w:rsidRPr="00C30419" w:rsidRDefault="001C249C">
      <w:pPr>
        <w:spacing w:line="57" w:lineRule="exact"/>
        <w:rPr>
          <w:rFonts w:ascii="Times New Roman" w:eastAsia="Times New Roman" w:hAnsi="Times New Roman"/>
          <w:color w:val="FF0000"/>
        </w:rPr>
      </w:pPr>
    </w:p>
    <w:p w:rsidR="001C249C" w:rsidRDefault="001C249C">
      <w:pPr>
        <w:numPr>
          <w:ilvl w:val="0"/>
          <w:numId w:val="23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Bankové úvery a ostatné prijaté návratné finančné výpomoci</w:t>
      </w:r>
    </w:p>
    <w:p w:rsidR="001C249C" w:rsidRDefault="001C249C">
      <w:pPr>
        <w:spacing w:line="250" w:lineRule="exact"/>
        <w:rPr>
          <w:rFonts w:ascii="Times New Roman" w:eastAsia="Times New Roman" w:hAnsi="Times New Roman"/>
        </w:rPr>
      </w:pPr>
    </w:p>
    <w:p w:rsidR="00CA04D0" w:rsidRDefault="00C04250">
      <w:pPr>
        <w:spacing w:line="235" w:lineRule="auto"/>
        <w:ind w:left="560" w:right="1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Konsolidovaný celok </w:t>
      </w:r>
      <w:r w:rsidR="001C249C" w:rsidRPr="00C30419">
        <w:rPr>
          <w:rFonts w:ascii="Arial" w:eastAsia="Arial" w:hAnsi="Arial"/>
          <w:sz w:val="16"/>
        </w:rPr>
        <w:t>vykazuje za obdobie od 01. 01. 20</w:t>
      </w:r>
      <w:r>
        <w:rPr>
          <w:rFonts w:ascii="Arial" w:eastAsia="Arial" w:hAnsi="Arial"/>
          <w:sz w:val="16"/>
        </w:rPr>
        <w:t>23</w:t>
      </w:r>
      <w:r w:rsidR="003A7D27" w:rsidRPr="00C30419">
        <w:rPr>
          <w:rFonts w:ascii="Arial" w:eastAsia="Arial" w:hAnsi="Arial"/>
          <w:sz w:val="16"/>
        </w:rPr>
        <w:t xml:space="preserve"> </w:t>
      </w:r>
      <w:r w:rsidR="001C249C" w:rsidRPr="00C30419">
        <w:rPr>
          <w:rFonts w:ascii="Arial" w:eastAsia="Arial" w:hAnsi="Arial"/>
          <w:sz w:val="16"/>
        </w:rPr>
        <w:t>do 31.12. 20</w:t>
      </w:r>
      <w:r>
        <w:rPr>
          <w:rFonts w:ascii="Arial" w:eastAsia="Arial" w:hAnsi="Arial"/>
          <w:sz w:val="16"/>
        </w:rPr>
        <w:t xml:space="preserve">23 </w:t>
      </w:r>
      <w:r w:rsidR="001C249C" w:rsidRPr="00C30419">
        <w:rPr>
          <w:rFonts w:ascii="Arial" w:eastAsia="Arial" w:hAnsi="Arial"/>
          <w:sz w:val="16"/>
        </w:rPr>
        <w:t xml:space="preserve"> bankové úvery</w:t>
      </w:r>
      <w:r w:rsidR="00CA04D0">
        <w:rPr>
          <w:rFonts w:ascii="Arial" w:eastAsia="Arial" w:hAnsi="Arial"/>
          <w:sz w:val="16"/>
        </w:rPr>
        <w:t xml:space="preserve"> vo výške 187 305,53 €.</w:t>
      </w:r>
    </w:p>
    <w:p w:rsidR="001C249C" w:rsidRPr="00C30419" w:rsidRDefault="00CA04D0">
      <w:pPr>
        <w:spacing w:line="235" w:lineRule="auto"/>
        <w:ind w:left="560" w:right="1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P</w:t>
      </w:r>
      <w:r w:rsidR="001C249C" w:rsidRPr="00C30419">
        <w:rPr>
          <w:rFonts w:ascii="Arial" w:eastAsia="Arial" w:hAnsi="Arial"/>
          <w:sz w:val="16"/>
        </w:rPr>
        <w:t>rijaté návratné finančné výpomoci od subjektov verejnej správy ani od úč</w:t>
      </w:r>
      <w:r>
        <w:rPr>
          <w:rFonts w:ascii="Arial" w:eastAsia="Arial" w:hAnsi="Arial"/>
          <w:sz w:val="16"/>
        </w:rPr>
        <w:t>tovnej jednotky súhrnného celku neeviduje.</w:t>
      </w:r>
      <w:bookmarkStart w:id="4" w:name="_GoBack"/>
      <w:bookmarkEnd w:id="4"/>
    </w:p>
    <w:p w:rsidR="001C249C" w:rsidRPr="00C30419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Pr="00C30419" w:rsidRDefault="001C249C">
      <w:pPr>
        <w:spacing w:line="227" w:lineRule="exact"/>
        <w:rPr>
          <w:rFonts w:ascii="Times New Roman" w:eastAsia="Times New Roman" w:hAnsi="Times New Roman"/>
          <w:color w:val="FF0000"/>
        </w:rPr>
      </w:pPr>
    </w:p>
    <w:p w:rsidR="001C249C" w:rsidRDefault="001C249C">
      <w:pPr>
        <w:numPr>
          <w:ilvl w:val="0"/>
          <w:numId w:val="24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Časové rozlíšenie pasív</w:t>
      </w:r>
    </w:p>
    <w:p w:rsidR="001C249C" w:rsidRDefault="001C249C">
      <w:pPr>
        <w:spacing w:line="242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0" w:lineRule="atLeast"/>
        <w:ind w:left="5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V tabuľke č. 18 konsolidovaných poznámok sú uvedené významné položky časového rozlíšenia pasív.</w:t>
      </w:r>
    </w:p>
    <w:p w:rsidR="001C249C" w:rsidRDefault="001C249C">
      <w:pPr>
        <w:spacing w:line="181" w:lineRule="exact"/>
        <w:rPr>
          <w:rFonts w:ascii="Times New Roman" w:eastAsia="Times New Roman" w:hAnsi="Times New Roman"/>
        </w:rPr>
      </w:pPr>
    </w:p>
    <w:p w:rsidR="001C249C" w:rsidRDefault="001C249C">
      <w:pPr>
        <w:tabs>
          <w:tab w:val="left" w:pos="520"/>
        </w:tabs>
        <w:spacing w:line="0" w:lineRule="atLeast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10.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</w:rPr>
        <w:t>VÝNOSY</w:t>
      </w:r>
    </w:p>
    <w:p w:rsidR="001C249C" w:rsidRDefault="001C249C">
      <w:pPr>
        <w:spacing w:line="193" w:lineRule="exact"/>
        <w:rPr>
          <w:rFonts w:ascii="Times New Roman" w:eastAsia="Times New Roman" w:hAnsi="Times New Roman"/>
        </w:rPr>
      </w:pPr>
    </w:p>
    <w:p w:rsidR="001C249C" w:rsidRDefault="001C249C" w:rsidP="003A7D27">
      <w:pPr>
        <w:spacing w:line="235" w:lineRule="auto"/>
        <w:ind w:left="500" w:right="80"/>
        <w:rPr>
          <w:rFonts w:ascii="Times New Roman" w:eastAsia="Times New Roman" w:hAnsi="Times New Roman"/>
        </w:rPr>
      </w:pPr>
      <w:r>
        <w:rPr>
          <w:rFonts w:ascii="Arial" w:eastAsia="Arial" w:hAnsi="Arial"/>
          <w:sz w:val="16"/>
        </w:rPr>
        <w:t xml:space="preserve">V tabuľke č. 22 konsolidovaných poznámok je uvedené detailné členenie vybraných položiek výnosov konsolidovaného celku </w:t>
      </w:r>
      <w:r w:rsidR="003A7D27">
        <w:rPr>
          <w:rFonts w:ascii="Arial" w:eastAsia="Arial" w:hAnsi="Arial"/>
          <w:sz w:val="16"/>
        </w:rPr>
        <w:t xml:space="preserve">Obce Belina </w:t>
      </w:r>
      <w:r>
        <w:rPr>
          <w:rFonts w:ascii="Arial" w:eastAsia="Arial" w:hAnsi="Arial"/>
          <w:sz w:val="16"/>
        </w:rPr>
        <w:t xml:space="preserve"> účtovného obdobia roku </w:t>
      </w:r>
      <w:r w:rsidR="00C30419">
        <w:rPr>
          <w:rFonts w:ascii="Arial" w:eastAsia="Arial" w:hAnsi="Arial"/>
          <w:sz w:val="16"/>
        </w:rPr>
        <w:t>202</w:t>
      </w:r>
      <w:r w:rsidR="008578B0">
        <w:rPr>
          <w:rFonts w:ascii="Arial" w:eastAsia="Arial" w:hAnsi="Arial"/>
          <w:sz w:val="16"/>
        </w:rPr>
        <w:t>3</w:t>
      </w:r>
      <w:r w:rsidR="003A7D27">
        <w:rPr>
          <w:rFonts w:ascii="Arial" w:eastAsia="Arial" w:hAnsi="Arial"/>
          <w:sz w:val="16"/>
        </w:rPr>
        <w:t xml:space="preserve">. </w:t>
      </w:r>
    </w:p>
    <w:p w:rsidR="001C249C" w:rsidRDefault="008578B0">
      <w:pPr>
        <w:spacing w:line="237" w:lineRule="auto"/>
        <w:ind w:left="500" w:right="24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K 31. decembru 2023</w:t>
      </w:r>
      <w:r w:rsidR="003A7D27">
        <w:rPr>
          <w:rFonts w:ascii="Arial" w:eastAsia="Arial" w:hAnsi="Arial"/>
          <w:sz w:val="16"/>
        </w:rPr>
        <w:t xml:space="preserve"> </w:t>
      </w:r>
      <w:r w:rsidR="001C249C">
        <w:rPr>
          <w:rFonts w:ascii="Arial" w:eastAsia="Arial" w:hAnsi="Arial"/>
          <w:b/>
          <w:sz w:val="16"/>
        </w:rPr>
        <w:t>nie</w:t>
      </w:r>
      <w:r w:rsidR="001C249C">
        <w:rPr>
          <w:rFonts w:ascii="Arial" w:eastAsia="Arial" w:hAnsi="Arial"/>
          <w:sz w:val="16"/>
        </w:rPr>
        <w:t xml:space="preserve"> </w:t>
      </w:r>
      <w:r w:rsidR="001C249C">
        <w:rPr>
          <w:rFonts w:ascii="Arial" w:eastAsia="Arial" w:hAnsi="Arial"/>
          <w:b/>
          <w:sz w:val="16"/>
        </w:rPr>
        <w:t>sú</w:t>
      </w:r>
      <w:r w:rsidR="001C249C">
        <w:rPr>
          <w:rFonts w:ascii="Arial" w:eastAsia="Arial" w:hAnsi="Arial"/>
          <w:sz w:val="16"/>
        </w:rPr>
        <w:t xml:space="preserve"> ako výnosy konsolidovaného celku Obce </w:t>
      </w:r>
      <w:r w:rsidR="003A7D27">
        <w:rPr>
          <w:rFonts w:ascii="Arial" w:eastAsia="Arial" w:hAnsi="Arial"/>
          <w:sz w:val="16"/>
        </w:rPr>
        <w:t>Belina</w:t>
      </w:r>
      <w:r w:rsidR="001C249C">
        <w:rPr>
          <w:rFonts w:ascii="Arial" w:eastAsia="Arial" w:hAnsi="Arial"/>
          <w:sz w:val="16"/>
        </w:rPr>
        <w:t xml:space="preserve"> vykázané žiadne výnosy voči ostatným účtovným jednotkám súhrnného celku.</w:t>
      </w:r>
    </w:p>
    <w:p w:rsidR="001C249C" w:rsidRDefault="001C249C">
      <w:pPr>
        <w:spacing w:line="366" w:lineRule="exact"/>
        <w:rPr>
          <w:rFonts w:ascii="Times New Roman" w:eastAsia="Times New Roman" w:hAnsi="Times New Roman"/>
        </w:rPr>
      </w:pPr>
    </w:p>
    <w:p w:rsidR="001C249C" w:rsidRDefault="001C249C">
      <w:pPr>
        <w:numPr>
          <w:ilvl w:val="0"/>
          <w:numId w:val="25"/>
        </w:numPr>
        <w:tabs>
          <w:tab w:val="left" w:pos="540"/>
        </w:tabs>
        <w:spacing w:line="0" w:lineRule="atLeast"/>
        <w:ind w:left="540" w:hanging="46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NÁKLADY</w:t>
      </w:r>
    </w:p>
    <w:p w:rsidR="001C249C" w:rsidRDefault="001C249C">
      <w:pPr>
        <w:spacing w:line="196" w:lineRule="exact"/>
        <w:rPr>
          <w:rFonts w:ascii="Times New Roman" w:eastAsia="Times New Roman" w:hAnsi="Times New Roman"/>
        </w:rPr>
      </w:pPr>
    </w:p>
    <w:p w:rsidR="001C249C" w:rsidRDefault="001C249C" w:rsidP="003A7D27">
      <w:pPr>
        <w:spacing w:line="233" w:lineRule="auto"/>
        <w:ind w:left="500" w:right="100"/>
        <w:rPr>
          <w:rFonts w:ascii="Times New Roman" w:eastAsia="Times New Roman" w:hAnsi="Times New Roman"/>
        </w:rPr>
      </w:pPr>
      <w:r>
        <w:rPr>
          <w:rFonts w:ascii="Arial" w:eastAsia="Arial" w:hAnsi="Arial"/>
          <w:sz w:val="16"/>
        </w:rPr>
        <w:t>V tabuľke č. 20 a 21 konsolidovaných poznámok je uvedené detailné členenie vybraných položiek nákladov konsolidova</w:t>
      </w:r>
      <w:r w:rsidR="003A7D27">
        <w:rPr>
          <w:rFonts w:ascii="Arial" w:eastAsia="Arial" w:hAnsi="Arial"/>
          <w:sz w:val="16"/>
        </w:rPr>
        <w:t>ného celku Obce Belina</w:t>
      </w:r>
      <w:r>
        <w:rPr>
          <w:rFonts w:ascii="Arial" w:eastAsia="Arial" w:hAnsi="Arial"/>
          <w:sz w:val="16"/>
        </w:rPr>
        <w:t xml:space="preserve"> účtovného obdobia roku </w:t>
      </w:r>
      <w:r w:rsidR="00C30419">
        <w:rPr>
          <w:rFonts w:ascii="Arial" w:eastAsia="Arial" w:hAnsi="Arial"/>
          <w:sz w:val="16"/>
        </w:rPr>
        <w:t>2020</w:t>
      </w:r>
      <w:r w:rsidR="003A7D27">
        <w:rPr>
          <w:rFonts w:ascii="Arial" w:eastAsia="Arial" w:hAnsi="Arial"/>
          <w:sz w:val="16"/>
        </w:rPr>
        <w:t>.</w:t>
      </w:r>
    </w:p>
    <w:p w:rsidR="001C249C" w:rsidRDefault="008578B0">
      <w:pPr>
        <w:spacing w:line="235" w:lineRule="auto"/>
        <w:ind w:left="500" w:right="8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K 31. decembru 2023</w:t>
      </w:r>
      <w:r w:rsidR="003A7D27">
        <w:rPr>
          <w:rFonts w:ascii="Arial" w:eastAsia="Arial" w:hAnsi="Arial"/>
          <w:sz w:val="16"/>
        </w:rPr>
        <w:t xml:space="preserve"> </w:t>
      </w:r>
      <w:r w:rsidR="001C249C">
        <w:rPr>
          <w:rFonts w:ascii="Arial" w:eastAsia="Arial" w:hAnsi="Arial"/>
          <w:b/>
          <w:sz w:val="16"/>
        </w:rPr>
        <w:t>nie</w:t>
      </w:r>
      <w:r w:rsidR="001C249C">
        <w:rPr>
          <w:rFonts w:ascii="Arial" w:eastAsia="Arial" w:hAnsi="Arial"/>
          <w:sz w:val="16"/>
        </w:rPr>
        <w:t xml:space="preserve"> </w:t>
      </w:r>
      <w:r w:rsidR="001C249C">
        <w:rPr>
          <w:rFonts w:ascii="Arial" w:eastAsia="Arial" w:hAnsi="Arial"/>
          <w:b/>
          <w:sz w:val="16"/>
        </w:rPr>
        <w:t>sú</w:t>
      </w:r>
      <w:r w:rsidR="001C249C">
        <w:rPr>
          <w:rFonts w:ascii="Arial" w:eastAsia="Arial" w:hAnsi="Arial"/>
          <w:sz w:val="16"/>
        </w:rPr>
        <w:t xml:space="preserve"> ako náklady konsolidovaného celku Obce </w:t>
      </w:r>
      <w:r w:rsidR="003A7D27">
        <w:rPr>
          <w:rFonts w:ascii="Arial" w:eastAsia="Arial" w:hAnsi="Arial"/>
          <w:sz w:val="16"/>
        </w:rPr>
        <w:t>Belina</w:t>
      </w:r>
      <w:r w:rsidR="001C249C">
        <w:rPr>
          <w:rFonts w:ascii="Arial" w:eastAsia="Arial" w:hAnsi="Arial"/>
          <w:sz w:val="16"/>
        </w:rPr>
        <w:t xml:space="preserve"> vykázané žiadne náklady voči ostatným účtovným jednotkám súhrnného celku.</w:t>
      </w: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352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0" w:lineRule="atLeast"/>
        <w:ind w:left="80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IV. INÉ AKTÍVA A PASÍVA</w:t>
      </w:r>
    </w:p>
    <w:p w:rsidR="001C249C" w:rsidRDefault="001C249C">
      <w:pPr>
        <w:spacing w:line="183" w:lineRule="exact"/>
        <w:rPr>
          <w:rFonts w:ascii="Times New Roman" w:eastAsia="Times New Roman" w:hAnsi="Times New Roman"/>
        </w:rPr>
      </w:pPr>
    </w:p>
    <w:p w:rsidR="001C249C" w:rsidRDefault="001C249C">
      <w:pPr>
        <w:numPr>
          <w:ilvl w:val="0"/>
          <w:numId w:val="26"/>
        </w:numPr>
        <w:tabs>
          <w:tab w:val="left" w:pos="520"/>
        </w:tabs>
        <w:spacing w:line="0" w:lineRule="atLeast"/>
        <w:ind w:left="520" w:hanging="44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Prípadné ďalšie záväzky</w:t>
      </w:r>
    </w:p>
    <w:p w:rsidR="001C249C" w:rsidRDefault="001C249C">
      <w:pPr>
        <w:spacing w:line="195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35" w:lineRule="auto"/>
        <w:ind w:left="5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Konsolidovaný celok Obce </w:t>
      </w:r>
      <w:r w:rsidR="003A7D27">
        <w:rPr>
          <w:rFonts w:ascii="Arial" w:eastAsia="Arial" w:hAnsi="Arial"/>
          <w:sz w:val="16"/>
        </w:rPr>
        <w:t xml:space="preserve">Belina </w:t>
      </w:r>
      <w:r>
        <w:rPr>
          <w:rFonts w:ascii="Arial" w:eastAsia="Arial" w:hAnsi="Arial"/>
          <w:sz w:val="16"/>
        </w:rPr>
        <w:t>nemá ďalšie záväzky, ktoré sa nesledujú v bežnom účtovníctve a neuvádzajú sa v súvahe.</w:t>
      </w:r>
    </w:p>
    <w:p w:rsidR="001C249C" w:rsidRDefault="001C249C">
      <w:pPr>
        <w:spacing w:line="184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0" w:lineRule="atLeast"/>
        <w:ind w:left="5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Účtovná jednotka nespravuje  nehnuteľné kultúrne pamiatky.</w:t>
      </w:r>
    </w:p>
    <w:p w:rsidR="001C249C" w:rsidRDefault="001C249C">
      <w:pPr>
        <w:spacing w:line="366" w:lineRule="exact"/>
        <w:rPr>
          <w:rFonts w:ascii="Times New Roman" w:eastAsia="Times New Roman" w:hAnsi="Times New Roman"/>
        </w:rPr>
      </w:pPr>
    </w:p>
    <w:p w:rsidR="001C249C" w:rsidRDefault="001C249C">
      <w:pPr>
        <w:numPr>
          <w:ilvl w:val="0"/>
          <w:numId w:val="27"/>
        </w:numPr>
        <w:tabs>
          <w:tab w:val="left" w:pos="500"/>
        </w:tabs>
        <w:spacing w:line="0" w:lineRule="atLeast"/>
        <w:ind w:left="500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Ostatné finančné povinnosti</w:t>
      </w:r>
    </w:p>
    <w:p w:rsidR="001C249C" w:rsidRDefault="001C249C">
      <w:pPr>
        <w:spacing w:line="10" w:lineRule="exact"/>
        <w:rPr>
          <w:rFonts w:ascii="Times New Roman" w:eastAsia="Times New Roman" w:hAnsi="Times New Roman"/>
        </w:rPr>
      </w:pPr>
    </w:p>
    <w:p w:rsidR="00B27358" w:rsidRDefault="00B27358">
      <w:pPr>
        <w:spacing w:line="233" w:lineRule="auto"/>
        <w:ind w:left="520" w:right="20"/>
        <w:rPr>
          <w:rFonts w:ascii="Arial" w:eastAsia="Arial" w:hAnsi="Arial"/>
          <w:sz w:val="16"/>
        </w:rPr>
      </w:pPr>
    </w:p>
    <w:p w:rsidR="001C249C" w:rsidRDefault="001C249C">
      <w:pPr>
        <w:spacing w:line="233" w:lineRule="auto"/>
        <w:ind w:left="520" w:right="20"/>
        <w:rPr>
          <w:rFonts w:ascii="Arial" w:eastAsia="Arial" w:hAnsi="Arial"/>
          <w:sz w:val="16"/>
        </w:rPr>
        <w:sectPr w:rsidR="001C249C">
          <w:pgSz w:w="11900" w:h="16838"/>
          <w:pgMar w:top="932" w:right="1326" w:bottom="991" w:left="1340" w:header="0" w:footer="0" w:gutter="0"/>
          <w:cols w:space="0" w:equalWidth="0">
            <w:col w:w="9240"/>
          </w:cols>
          <w:docGrid w:linePitch="360"/>
        </w:sectPr>
      </w:pPr>
      <w:r>
        <w:rPr>
          <w:rFonts w:ascii="Arial" w:eastAsia="Arial" w:hAnsi="Arial"/>
          <w:sz w:val="16"/>
        </w:rPr>
        <w:t xml:space="preserve">Konsolidovaný celok Obec </w:t>
      </w:r>
      <w:r w:rsidR="003A7D27">
        <w:rPr>
          <w:rFonts w:ascii="Arial" w:eastAsia="Arial" w:hAnsi="Arial"/>
          <w:sz w:val="16"/>
        </w:rPr>
        <w:t xml:space="preserve">Belina </w:t>
      </w:r>
      <w:r w:rsidR="008578B0">
        <w:rPr>
          <w:rFonts w:ascii="Arial" w:eastAsia="Arial" w:hAnsi="Arial"/>
          <w:sz w:val="16"/>
        </w:rPr>
        <w:t>za obdobie 01.01.2023</w:t>
      </w:r>
      <w:r w:rsidR="00C30419">
        <w:rPr>
          <w:rFonts w:ascii="Arial" w:eastAsia="Arial" w:hAnsi="Arial"/>
          <w:sz w:val="16"/>
        </w:rPr>
        <w:t xml:space="preserve"> do 31.12.202</w:t>
      </w:r>
      <w:r w:rsidR="008578B0">
        <w:rPr>
          <w:rFonts w:ascii="Arial" w:eastAsia="Arial" w:hAnsi="Arial"/>
          <w:sz w:val="16"/>
        </w:rPr>
        <w:t>3</w:t>
      </w:r>
      <w:r w:rsidR="00A84CF8">
        <w:rPr>
          <w:rFonts w:ascii="Arial" w:eastAsia="Arial" w:hAnsi="Arial"/>
          <w:sz w:val="16"/>
        </w:rPr>
        <w:t xml:space="preserve"> neprijal žiadne finančné výpomoci.</w:t>
      </w:r>
    </w:p>
    <w:p w:rsidR="001C249C" w:rsidRDefault="001C249C">
      <w:pPr>
        <w:spacing w:line="0" w:lineRule="atLeast"/>
        <w:ind w:left="7384"/>
        <w:rPr>
          <w:rFonts w:ascii="Times New Roman" w:eastAsia="Times New Roman" w:hAnsi="Times New Roman"/>
          <w:sz w:val="18"/>
        </w:rPr>
      </w:pPr>
      <w:bookmarkStart w:id="5" w:name="page5"/>
      <w:bookmarkEnd w:id="5"/>
      <w:r>
        <w:rPr>
          <w:rFonts w:ascii="Times New Roman" w:eastAsia="Times New Roman" w:hAnsi="Times New Roman"/>
          <w:sz w:val="18"/>
        </w:rPr>
        <w:lastRenderedPageBreak/>
        <w:t>5</w:t>
      </w:r>
    </w:p>
    <w:p w:rsidR="001C249C" w:rsidRDefault="008C747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308610</wp:posOffset>
            </wp:positionV>
            <wp:extent cx="5798185" cy="6350"/>
            <wp:effectExtent l="1270" t="3810" r="127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200" w:lineRule="exact"/>
        <w:rPr>
          <w:rFonts w:ascii="Times New Roman" w:eastAsia="Times New Roman" w:hAnsi="Times New Roman"/>
        </w:rPr>
      </w:pPr>
    </w:p>
    <w:p w:rsidR="001C249C" w:rsidRDefault="001C249C">
      <w:pPr>
        <w:spacing w:line="399" w:lineRule="exact"/>
        <w:rPr>
          <w:rFonts w:ascii="Times New Roman" w:eastAsia="Times New Roman" w:hAnsi="Times New Roman"/>
        </w:rPr>
      </w:pPr>
    </w:p>
    <w:p w:rsidR="001C249C" w:rsidRDefault="001C249C">
      <w:pPr>
        <w:numPr>
          <w:ilvl w:val="0"/>
          <w:numId w:val="28"/>
        </w:numPr>
        <w:tabs>
          <w:tab w:val="left" w:pos="424"/>
        </w:tabs>
        <w:spacing w:line="233" w:lineRule="auto"/>
        <w:ind w:left="424" w:right="680" w:hanging="4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SKUTOČNOSTI, KTORÉ NASTALI PO DNI, KU KTORÉMU SA ZOSTAVUJE ÚČTOVNÁ ZÁVIERKA, DO DŇA JEJ ZOSTAVENIA</w:t>
      </w:r>
    </w:p>
    <w:p w:rsidR="001C249C" w:rsidRDefault="001C249C">
      <w:pPr>
        <w:spacing w:line="196" w:lineRule="exact"/>
        <w:rPr>
          <w:rFonts w:ascii="Times New Roman" w:eastAsia="Times New Roman" w:hAnsi="Times New Roman"/>
        </w:rPr>
      </w:pPr>
    </w:p>
    <w:p w:rsidR="001C249C" w:rsidRDefault="008578B0">
      <w:pPr>
        <w:spacing w:line="233" w:lineRule="auto"/>
        <w:ind w:left="444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Po 31. decembri 2023</w:t>
      </w:r>
      <w:r w:rsidR="003A7D27">
        <w:rPr>
          <w:rFonts w:ascii="Arial" w:eastAsia="Arial" w:hAnsi="Arial"/>
          <w:sz w:val="16"/>
        </w:rPr>
        <w:t xml:space="preserve"> </w:t>
      </w:r>
      <w:r w:rsidR="001C249C">
        <w:rPr>
          <w:rFonts w:ascii="Arial" w:eastAsia="Arial" w:hAnsi="Arial"/>
          <w:sz w:val="16"/>
        </w:rPr>
        <w:t xml:space="preserve"> nenastali také udalosti, ktoré by si vyžadovali zverejnenie alebo vykázanie v konsolidovanej účtovnej závierke za rok 20</w:t>
      </w:r>
      <w:r w:rsidR="00C30419">
        <w:rPr>
          <w:rFonts w:ascii="Arial" w:eastAsia="Arial" w:hAnsi="Arial"/>
          <w:sz w:val="16"/>
        </w:rPr>
        <w:t>2</w:t>
      </w:r>
      <w:r>
        <w:rPr>
          <w:rFonts w:ascii="Arial" w:eastAsia="Arial" w:hAnsi="Arial"/>
          <w:sz w:val="16"/>
        </w:rPr>
        <w:t>3</w:t>
      </w:r>
      <w:r w:rsidR="001C249C">
        <w:rPr>
          <w:rFonts w:ascii="Arial" w:eastAsia="Arial" w:hAnsi="Arial"/>
          <w:sz w:val="16"/>
        </w:rPr>
        <w:t>.</w:t>
      </w:r>
    </w:p>
    <w:p w:rsidR="00B27358" w:rsidRDefault="00CA04D0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16"/>
        </w:rPr>
        <w:pict>
          <v:line id="_x0000_s1032" style="position:absolute;z-index:-251656192" from="21.7pt,92.65pt" to="156.35pt,92.65pt" o:userdrawn="t" strokeweight=".16931mm"/>
        </w:pict>
      </w:r>
      <w:r>
        <w:rPr>
          <w:rFonts w:ascii="Arial" w:eastAsia="Arial" w:hAnsi="Arial"/>
          <w:sz w:val="16"/>
        </w:rPr>
        <w:pict>
          <v:line id="_x0000_s1033" style="position:absolute;z-index:-251655168" from="283.6pt,92.65pt" to="489.55pt,92.65pt" o:userdrawn="t" strokeweight=".16931mm"/>
        </w:pict>
      </w:r>
    </w:p>
    <w:p w:rsidR="00B27358" w:rsidRPr="00B27358" w:rsidRDefault="00B27358" w:rsidP="00B27358">
      <w:pPr>
        <w:rPr>
          <w:rFonts w:ascii="Times New Roman" w:eastAsia="Times New Roman" w:hAnsi="Times New Roman"/>
        </w:rPr>
      </w:pPr>
    </w:p>
    <w:p w:rsidR="00B27358" w:rsidRPr="00B27358" w:rsidRDefault="00B27358" w:rsidP="00B27358">
      <w:pPr>
        <w:rPr>
          <w:rFonts w:ascii="Times New Roman" w:eastAsia="Times New Roman" w:hAnsi="Times New Roman"/>
        </w:rPr>
      </w:pPr>
    </w:p>
    <w:p w:rsidR="00B27358" w:rsidRPr="00B27358" w:rsidRDefault="00B27358" w:rsidP="00B27358">
      <w:pPr>
        <w:rPr>
          <w:rFonts w:ascii="Times New Roman" w:eastAsia="Times New Roman" w:hAnsi="Times New Roman"/>
        </w:rPr>
      </w:pPr>
    </w:p>
    <w:p w:rsidR="00B27358" w:rsidRPr="00B27358" w:rsidRDefault="00B27358" w:rsidP="00B27358">
      <w:pPr>
        <w:rPr>
          <w:rFonts w:ascii="Times New Roman" w:eastAsia="Times New Roman" w:hAnsi="Times New Roman"/>
        </w:rPr>
      </w:pPr>
    </w:p>
    <w:p w:rsidR="00B27358" w:rsidRPr="00B27358" w:rsidRDefault="00B27358" w:rsidP="00B27358">
      <w:pPr>
        <w:rPr>
          <w:rFonts w:ascii="Times New Roman" w:eastAsia="Times New Roman" w:hAnsi="Times New Roman"/>
        </w:rPr>
      </w:pPr>
    </w:p>
    <w:p w:rsidR="00B27358" w:rsidRPr="00B27358" w:rsidRDefault="00B27358" w:rsidP="00B27358">
      <w:pPr>
        <w:rPr>
          <w:rFonts w:ascii="Times New Roman" w:eastAsia="Times New Roman" w:hAnsi="Times New Roman"/>
        </w:rPr>
      </w:pPr>
    </w:p>
    <w:p w:rsidR="00B27358" w:rsidRPr="00B27358" w:rsidRDefault="00B27358" w:rsidP="00B27358">
      <w:pPr>
        <w:rPr>
          <w:rFonts w:ascii="Times New Roman" w:eastAsia="Times New Roman" w:hAnsi="Times New Roman"/>
        </w:rPr>
      </w:pPr>
    </w:p>
    <w:p w:rsidR="00B27358" w:rsidRDefault="00B27358" w:rsidP="00B27358">
      <w:pPr>
        <w:rPr>
          <w:rFonts w:ascii="Times New Roman" w:eastAsia="Times New Roman" w:hAnsi="Times New Roman"/>
        </w:rPr>
      </w:pPr>
    </w:p>
    <w:p w:rsidR="001C249C" w:rsidRPr="00B27358" w:rsidRDefault="00B27358" w:rsidP="00B2735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Mgr. Agáta </w:t>
      </w:r>
      <w:proofErr w:type="spellStart"/>
      <w:r>
        <w:rPr>
          <w:rFonts w:ascii="Times New Roman" w:eastAsia="Times New Roman" w:hAnsi="Times New Roman"/>
        </w:rPr>
        <w:t>Bartová</w:t>
      </w:r>
      <w:proofErr w:type="spellEnd"/>
      <w:r>
        <w:rPr>
          <w:rFonts w:ascii="Times New Roman" w:eastAsia="Times New Roman" w:hAnsi="Times New Roman"/>
        </w:rPr>
        <w:t xml:space="preserve"> -ekonómka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Mgr. Zoltán </w:t>
      </w:r>
      <w:proofErr w:type="spellStart"/>
      <w:r>
        <w:rPr>
          <w:rFonts w:ascii="Times New Roman" w:eastAsia="Times New Roman" w:hAnsi="Times New Roman"/>
        </w:rPr>
        <w:t>Marcinkó</w:t>
      </w:r>
      <w:proofErr w:type="spellEnd"/>
      <w:r>
        <w:rPr>
          <w:rFonts w:ascii="Times New Roman" w:eastAsia="Times New Roman" w:hAnsi="Times New Roman"/>
        </w:rPr>
        <w:t xml:space="preserve"> - starosta</w:t>
      </w:r>
    </w:p>
    <w:sectPr w:rsidR="001C249C" w:rsidRPr="00B27358" w:rsidSect="00CC1BB1">
      <w:pgSz w:w="11900" w:h="16838"/>
      <w:pgMar w:top="932" w:right="1346" w:bottom="1440" w:left="1416" w:header="0" w:footer="0" w:gutter="0"/>
      <w:cols w:space="0" w:equalWidth="0">
        <w:col w:w="914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7FDCC232"/>
    <w:lvl w:ilvl="0" w:tplc="438E1866">
      <w:start w:val="9"/>
      <w:numFmt w:val="upperLetter"/>
      <w:lvlText w:val="%1."/>
      <w:lvlJc w:val="left"/>
    </w:lvl>
    <w:lvl w:ilvl="1" w:tplc="4F028288">
      <w:start w:val="1"/>
      <w:numFmt w:val="decimal"/>
      <w:lvlText w:val="%2."/>
      <w:lvlJc w:val="left"/>
    </w:lvl>
    <w:lvl w:ilvl="2" w:tplc="05305F24">
      <w:start w:val="1"/>
      <w:numFmt w:val="bullet"/>
      <w:lvlText w:val=""/>
      <w:lvlJc w:val="left"/>
    </w:lvl>
    <w:lvl w:ilvl="3" w:tplc="80CA3EBE">
      <w:start w:val="1"/>
      <w:numFmt w:val="bullet"/>
      <w:lvlText w:val=""/>
      <w:lvlJc w:val="left"/>
    </w:lvl>
    <w:lvl w:ilvl="4" w:tplc="55DE97C8">
      <w:start w:val="1"/>
      <w:numFmt w:val="bullet"/>
      <w:lvlText w:val=""/>
      <w:lvlJc w:val="left"/>
    </w:lvl>
    <w:lvl w:ilvl="5" w:tplc="68F60F1C">
      <w:start w:val="1"/>
      <w:numFmt w:val="bullet"/>
      <w:lvlText w:val=""/>
      <w:lvlJc w:val="left"/>
    </w:lvl>
    <w:lvl w:ilvl="6" w:tplc="1C44D1D6">
      <w:start w:val="1"/>
      <w:numFmt w:val="bullet"/>
      <w:lvlText w:val=""/>
      <w:lvlJc w:val="left"/>
    </w:lvl>
    <w:lvl w:ilvl="7" w:tplc="BC3AA540">
      <w:start w:val="1"/>
      <w:numFmt w:val="bullet"/>
      <w:lvlText w:val=""/>
      <w:lvlJc w:val="left"/>
    </w:lvl>
    <w:lvl w:ilvl="8" w:tplc="167AAE0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BEFD79E"/>
    <w:lvl w:ilvl="0" w:tplc="FE5466FA">
      <w:start w:val="1"/>
      <w:numFmt w:val="decimal"/>
      <w:lvlText w:val="%1."/>
      <w:lvlJc w:val="left"/>
    </w:lvl>
    <w:lvl w:ilvl="1" w:tplc="184C7566">
      <w:start w:val="1"/>
      <w:numFmt w:val="bullet"/>
      <w:lvlText w:val="č."/>
      <w:lvlJc w:val="left"/>
    </w:lvl>
    <w:lvl w:ilvl="2" w:tplc="23C0F354">
      <w:start w:val="1"/>
      <w:numFmt w:val="bullet"/>
      <w:lvlText w:val=""/>
      <w:lvlJc w:val="left"/>
    </w:lvl>
    <w:lvl w:ilvl="3" w:tplc="627497E2">
      <w:start w:val="1"/>
      <w:numFmt w:val="bullet"/>
      <w:lvlText w:val=""/>
      <w:lvlJc w:val="left"/>
    </w:lvl>
    <w:lvl w:ilvl="4" w:tplc="66B8FB64">
      <w:start w:val="1"/>
      <w:numFmt w:val="bullet"/>
      <w:lvlText w:val=""/>
      <w:lvlJc w:val="left"/>
    </w:lvl>
    <w:lvl w:ilvl="5" w:tplc="F28A211E">
      <w:start w:val="1"/>
      <w:numFmt w:val="bullet"/>
      <w:lvlText w:val=""/>
      <w:lvlJc w:val="left"/>
    </w:lvl>
    <w:lvl w:ilvl="6" w:tplc="C42C5802">
      <w:start w:val="1"/>
      <w:numFmt w:val="bullet"/>
      <w:lvlText w:val=""/>
      <w:lvlJc w:val="left"/>
    </w:lvl>
    <w:lvl w:ilvl="7" w:tplc="A252C1AC">
      <w:start w:val="1"/>
      <w:numFmt w:val="bullet"/>
      <w:lvlText w:val=""/>
      <w:lvlJc w:val="left"/>
    </w:lvl>
    <w:lvl w:ilvl="8" w:tplc="96002C56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1A7C4C8"/>
    <w:lvl w:ilvl="0" w:tplc="00287E60">
      <w:start w:val="3"/>
      <w:numFmt w:val="decimal"/>
      <w:lvlText w:val="%1."/>
      <w:lvlJc w:val="left"/>
    </w:lvl>
    <w:lvl w:ilvl="1" w:tplc="AD180C60">
      <w:start w:val="1"/>
      <w:numFmt w:val="bullet"/>
      <w:lvlText w:val=""/>
      <w:lvlJc w:val="left"/>
    </w:lvl>
    <w:lvl w:ilvl="2" w:tplc="15BAED8C">
      <w:start w:val="1"/>
      <w:numFmt w:val="bullet"/>
      <w:lvlText w:val=""/>
      <w:lvlJc w:val="left"/>
    </w:lvl>
    <w:lvl w:ilvl="3" w:tplc="AA503C74">
      <w:start w:val="1"/>
      <w:numFmt w:val="bullet"/>
      <w:lvlText w:val=""/>
      <w:lvlJc w:val="left"/>
    </w:lvl>
    <w:lvl w:ilvl="4" w:tplc="7BF6055E">
      <w:start w:val="1"/>
      <w:numFmt w:val="bullet"/>
      <w:lvlText w:val=""/>
      <w:lvlJc w:val="left"/>
    </w:lvl>
    <w:lvl w:ilvl="5" w:tplc="25C69DB0">
      <w:start w:val="1"/>
      <w:numFmt w:val="bullet"/>
      <w:lvlText w:val=""/>
      <w:lvlJc w:val="left"/>
    </w:lvl>
    <w:lvl w:ilvl="6" w:tplc="D8609B30">
      <w:start w:val="1"/>
      <w:numFmt w:val="bullet"/>
      <w:lvlText w:val=""/>
      <w:lvlJc w:val="left"/>
    </w:lvl>
    <w:lvl w:ilvl="7" w:tplc="EA3E083A">
      <w:start w:val="1"/>
      <w:numFmt w:val="bullet"/>
      <w:lvlText w:val=""/>
      <w:lvlJc w:val="left"/>
    </w:lvl>
    <w:lvl w:ilvl="8" w:tplc="199E10E2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6B68079A"/>
    <w:lvl w:ilvl="0" w:tplc="03A2D9E2">
      <w:start w:val="4"/>
      <w:numFmt w:val="decimal"/>
      <w:lvlText w:val="%1."/>
      <w:lvlJc w:val="left"/>
    </w:lvl>
    <w:lvl w:ilvl="1" w:tplc="3A66DFF4">
      <w:start w:val="1"/>
      <w:numFmt w:val="bullet"/>
      <w:lvlText w:val=""/>
      <w:lvlJc w:val="left"/>
    </w:lvl>
    <w:lvl w:ilvl="2" w:tplc="35F8DDC0">
      <w:start w:val="1"/>
      <w:numFmt w:val="bullet"/>
      <w:lvlText w:val=""/>
      <w:lvlJc w:val="left"/>
    </w:lvl>
    <w:lvl w:ilvl="3" w:tplc="C46E36DC">
      <w:start w:val="1"/>
      <w:numFmt w:val="bullet"/>
      <w:lvlText w:val=""/>
      <w:lvlJc w:val="left"/>
    </w:lvl>
    <w:lvl w:ilvl="4" w:tplc="EC08A386">
      <w:start w:val="1"/>
      <w:numFmt w:val="bullet"/>
      <w:lvlText w:val=""/>
      <w:lvlJc w:val="left"/>
    </w:lvl>
    <w:lvl w:ilvl="5" w:tplc="CDA6D38C">
      <w:start w:val="1"/>
      <w:numFmt w:val="bullet"/>
      <w:lvlText w:val=""/>
      <w:lvlJc w:val="left"/>
    </w:lvl>
    <w:lvl w:ilvl="6" w:tplc="3336EC08">
      <w:start w:val="1"/>
      <w:numFmt w:val="bullet"/>
      <w:lvlText w:val=""/>
      <w:lvlJc w:val="left"/>
    </w:lvl>
    <w:lvl w:ilvl="7" w:tplc="953E08A8">
      <w:start w:val="1"/>
      <w:numFmt w:val="bullet"/>
      <w:lvlText w:val=""/>
      <w:lvlJc w:val="left"/>
    </w:lvl>
    <w:lvl w:ilvl="8" w:tplc="6990291C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E6AFB66"/>
    <w:lvl w:ilvl="0" w:tplc="21D0A2D6">
      <w:start w:val="5"/>
      <w:numFmt w:val="decimal"/>
      <w:lvlText w:val="%1."/>
      <w:lvlJc w:val="left"/>
    </w:lvl>
    <w:lvl w:ilvl="1" w:tplc="89527E6C">
      <w:start w:val="1"/>
      <w:numFmt w:val="bullet"/>
      <w:lvlText w:val=""/>
      <w:lvlJc w:val="left"/>
    </w:lvl>
    <w:lvl w:ilvl="2" w:tplc="5C1AB0B0">
      <w:start w:val="1"/>
      <w:numFmt w:val="bullet"/>
      <w:lvlText w:val=""/>
      <w:lvlJc w:val="left"/>
    </w:lvl>
    <w:lvl w:ilvl="3" w:tplc="CB0C0BCE">
      <w:start w:val="1"/>
      <w:numFmt w:val="bullet"/>
      <w:lvlText w:val=""/>
      <w:lvlJc w:val="left"/>
    </w:lvl>
    <w:lvl w:ilvl="4" w:tplc="550C493C">
      <w:start w:val="1"/>
      <w:numFmt w:val="bullet"/>
      <w:lvlText w:val=""/>
      <w:lvlJc w:val="left"/>
    </w:lvl>
    <w:lvl w:ilvl="5" w:tplc="190E838A">
      <w:start w:val="1"/>
      <w:numFmt w:val="bullet"/>
      <w:lvlText w:val=""/>
      <w:lvlJc w:val="left"/>
    </w:lvl>
    <w:lvl w:ilvl="6" w:tplc="ECEE2D3E">
      <w:start w:val="1"/>
      <w:numFmt w:val="bullet"/>
      <w:lvlText w:val=""/>
      <w:lvlJc w:val="left"/>
    </w:lvl>
    <w:lvl w:ilvl="7" w:tplc="18CA58B0">
      <w:start w:val="1"/>
      <w:numFmt w:val="bullet"/>
      <w:lvlText w:val=""/>
      <w:lvlJc w:val="left"/>
    </w:lvl>
    <w:lvl w:ilvl="8" w:tplc="BC5A725A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25E45D32"/>
    <w:lvl w:ilvl="0" w:tplc="F2EC0124">
      <w:start w:val="6"/>
      <w:numFmt w:val="decimal"/>
      <w:lvlText w:val="%1."/>
      <w:lvlJc w:val="left"/>
    </w:lvl>
    <w:lvl w:ilvl="1" w:tplc="05C6F670">
      <w:start w:val="1"/>
      <w:numFmt w:val="bullet"/>
      <w:lvlText w:val=""/>
      <w:lvlJc w:val="left"/>
    </w:lvl>
    <w:lvl w:ilvl="2" w:tplc="C57838DC">
      <w:start w:val="1"/>
      <w:numFmt w:val="bullet"/>
      <w:lvlText w:val=""/>
      <w:lvlJc w:val="left"/>
    </w:lvl>
    <w:lvl w:ilvl="3" w:tplc="C4A212C8">
      <w:start w:val="1"/>
      <w:numFmt w:val="bullet"/>
      <w:lvlText w:val=""/>
      <w:lvlJc w:val="left"/>
    </w:lvl>
    <w:lvl w:ilvl="4" w:tplc="EB70AF0E">
      <w:start w:val="1"/>
      <w:numFmt w:val="bullet"/>
      <w:lvlText w:val=""/>
      <w:lvlJc w:val="left"/>
    </w:lvl>
    <w:lvl w:ilvl="5" w:tplc="4BE86DAC">
      <w:start w:val="1"/>
      <w:numFmt w:val="bullet"/>
      <w:lvlText w:val=""/>
      <w:lvlJc w:val="left"/>
    </w:lvl>
    <w:lvl w:ilvl="6" w:tplc="E3ACCB64">
      <w:start w:val="1"/>
      <w:numFmt w:val="bullet"/>
      <w:lvlText w:val=""/>
      <w:lvlJc w:val="left"/>
    </w:lvl>
    <w:lvl w:ilvl="7" w:tplc="2FE85040">
      <w:start w:val="1"/>
      <w:numFmt w:val="bullet"/>
      <w:lvlText w:val=""/>
      <w:lvlJc w:val="left"/>
    </w:lvl>
    <w:lvl w:ilvl="8" w:tplc="F634EF94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9B500C"/>
    <w:lvl w:ilvl="0" w:tplc="0ED6A900">
      <w:start w:val="1"/>
      <w:numFmt w:val="lowerLetter"/>
      <w:lvlText w:val="%1)"/>
      <w:lvlJc w:val="left"/>
    </w:lvl>
    <w:lvl w:ilvl="1" w:tplc="F31C0072">
      <w:start w:val="1"/>
      <w:numFmt w:val="bullet"/>
      <w:lvlText w:val=""/>
      <w:lvlJc w:val="left"/>
    </w:lvl>
    <w:lvl w:ilvl="2" w:tplc="7798742C">
      <w:start w:val="1"/>
      <w:numFmt w:val="bullet"/>
      <w:lvlText w:val=""/>
      <w:lvlJc w:val="left"/>
    </w:lvl>
    <w:lvl w:ilvl="3" w:tplc="3B08026E">
      <w:start w:val="1"/>
      <w:numFmt w:val="bullet"/>
      <w:lvlText w:val=""/>
      <w:lvlJc w:val="left"/>
    </w:lvl>
    <w:lvl w:ilvl="4" w:tplc="95820444">
      <w:start w:val="1"/>
      <w:numFmt w:val="bullet"/>
      <w:lvlText w:val=""/>
      <w:lvlJc w:val="left"/>
    </w:lvl>
    <w:lvl w:ilvl="5" w:tplc="F4725A70">
      <w:start w:val="1"/>
      <w:numFmt w:val="bullet"/>
      <w:lvlText w:val=""/>
      <w:lvlJc w:val="left"/>
    </w:lvl>
    <w:lvl w:ilvl="6" w:tplc="CCDC9E5A">
      <w:start w:val="1"/>
      <w:numFmt w:val="bullet"/>
      <w:lvlText w:val=""/>
      <w:lvlJc w:val="left"/>
    </w:lvl>
    <w:lvl w:ilvl="7" w:tplc="8928251E">
      <w:start w:val="1"/>
      <w:numFmt w:val="bullet"/>
      <w:lvlText w:val=""/>
      <w:lvlJc w:val="left"/>
    </w:lvl>
    <w:lvl w:ilvl="8" w:tplc="42621620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431BD7B6"/>
    <w:lvl w:ilvl="0" w:tplc="A3F0D820">
      <w:start w:val="19"/>
      <w:numFmt w:val="lowerLetter"/>
      <w:lvlText w:val="%1"/>
      <w:lvlJc w:val="left"/>
    </w:lvl>
    <w:lvl w:ilvl="1" w:tplc="CB10C09A">
      <w:start w:val="1"/>
      <w:numFmt w:val="bullet"/>
      <w:lvlText w:val=""/>
      <w:lvlJc w:val="left"/>
    </w:lvl>
    <w:lvl w:ilvl="2" w:tplc="55DE9D1E">
      <w:start w:val="1"/>
      <w:numFmt w:val="bullet"/>
      <w:lvlText w:val=""/>
      <w:lvlJc w:val="left"/>
    </w:lvl>
    <w:lvl w:ilvl="3" w:tplc="2FC053FC">
      <w:start w:val="1"/>
      <w:numFmt w:val="bullet"/>
      <w:lvlText w:val=""/>
      <w:lvlJc w:val="left"/>
    </w:lvl>
    <w:lvl w:ilvl="4" w:tplc="4278538C">
      <w:start w:val="1"/>
      <w:numFmt w:val="bullet"/>
      <w:lvlText w:val=""/>
      <w:lvlJc w:val="left"/>
    </w:lvl>
    <w:lvl w:ilvl="5" w:tplc="7EE6CE8A">
      <w:start w:val="1"/>
      <w:numFmt w:val="bullet"/>
      <w:lvlText w:val=""/>
      <w:lvlJc w:val="left"/>
    </w:lvl>
    <w:lvl w:ilvl="6" w:tplc="33A6E0C2">
      <w:start w:val="1"/>
      <w:numFmt w:val="bullet"/>
      <w:lvlText w:val=""/>
      <w:lvlJc w:val="left"/>
    </w:lvl>
    <w:lvl w:ilvl="7" w:tplc="1DEAF026">
      <w:start w:val="1"/>
      <w:numFmt w:val="bullet"/>
      <w:lvlText w:val=""/>
      <w:lvlJc w:val="left"/>
    </w:lvl>
    <w:lvl w:ilvl="8" w:tplc="67F45882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3F2DBA30"/>
    <w:lvl w:ilvl="0" w:tplc="640A3EB6">
      <w:start w:val="5"/>
      <w:numFmt w:val="lowerLetter"/>
      <w:lvlText w:val="%1)"/>
      <w:lvlJc w:val="left"/>
    </w:lvl>
    <w:lvl w:ilvl="1" w:tplc="4008D8CE">
      <w:start w:val="1"/>
      <w:numFmt w:val="bullet"/>
      <w:lvlText w:val=""/>
      <w:lvlJc w:val="left"/>
    </w:lvl>
    <w:lvl w:ilvl="2" w:tplc="D6C85B04">
      <w:start w:val="1"/>
      <w:numFmt w:val="bullet"/>
      <w:lvlText w:val=""/>
      <w:lvlJc w:val="left"/>
    </w:lvl>
    <w:lvl w:ilvl="3" w:tplc="405EE79A">
      <w:start w:val="1"/>
      <w:numFmt w:val="bullet"/>
      <w:lvlText w:val=""/>
      <w:lvlJc w:val="left"/>
    </w:lvl>
    <w:lvl w:ilvl="4" w:tplc="9C5619D0">
      <w:start w:val="1"/>
      <w:numFmt w:val="bullet"/>
      <w:lvlText w:val=""/>
      <w:lvlJc w:val="left"/>
    </w:lvl>
    <w:lvl w:ilvl="5" w:tplc="8FE4A714">
      <w:start w:val="1"/>
      <w:numFmt w:val="bullet"/>
      <w:lvlText w:val=""/>
      <w:lvlJc w:val="left"/>
    </w:lvl>
    <w:lvl w:ilvl="6" w:tplc="5D4A7886">
      <w:start w:val="1"/>
      <w:numFmt w:val="bullet"/>
      <w:lvlText w:val=""/>
      <w:lvlJc w:val="left"/>
    </w:lvl>
    <w:lvl w:ilvl="7" w:tplc="11460DA4">
      <w:start w:val="1"/>
      <w:numFmt w:val="bullet"/>
      <w:lvlText w:val=""/>
      <w:lvlJc w:val="left"/>
    </w:lvl>
    <w:lvl w:ilvl="8" w:tplc="C1F6806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7C83E458"/>
    <w:lvl w:ilvl="0" w:tplc="6106B160">
      <w:start w:val="7"/>
      <w:numFmt w:val="lowerLetter"/>
      <w:lvlText w:val="%1)"/>
      <w:lvlJc w:val="left"/>
    </w:lvl>
    <w:lvl w:ilvl="1" w:tplc="3426F4A6">
      <w:start w:val="1"/>
      <w:numFmt w:val="bullet"/>
      <w:lvlText w:val=""/>
      <w:lvlJc w:val="left"/>
    </w:lvl>
    <w:lvl w:ilvl="2" w:tplc="080E616A">
      <w:start w:val="1"/>
      <w:numFmt w:val="bullet"/>
      <w:lvlText w:val=""/>
      <w:lvlJc w:val="left"/>
    </w:lvl>
    <w:lvl w:ilvl="3" w:tplc="BEBCEE20">
      <w:start w:val="1"/>
      <w:numFmt w:val="bullet"/>
      <w:lvlText w:val=""/>
      <w:lvlJc w:val="left"/>
    </w:lvl>
    <w:lvl w:ilvl="4" w:tplc="FCF2530C">
      <w:start w:val="1"/>
      <w:numFmt w:val="bullet"/>
      <w:lvlText w:val=""/>
      <w:lvlJc w:val="left"/>
    </w:lvl>
    <w:lvl w:ilvl="5" w:tplc="7C86C48A">
      <w:start w:val="1"/>
      <w:numFmt w:val="bullet"/>
      <w:lvlText w:val=""/>
      <w:lvlJc w:val="left"/>
    </w:lvl>
    <w:lvl w:ilvl="6" w:tplc="5A54B798">
      <w:start w:val="1"/>
      <w:numFmt w:val="bullet"/>
      <w:lvlText w:val=""/>
      <w:lvlJc w:val="left"/>
    </w:lvl>
    <w:lvl w:ilvl="7" w:tplc="F7B6CBE8">
      <w:start w:val="1"/>
      <w:numFmt w:val="bullet"/>
      <w:lvlText w:val=""/>
      <w:lvlJc w:val="left"/>
    </w:lvl>
    <w:lvl w:ilvl="8" w:tplc="148CC51A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257130A2"/>
    <w:lvl w:ilvl="0" w:tplc="C95429E8">
      <w:start w:val="8"/>
      <w:numFmt w:val="lowerLetter"/>
      <w:lvlText w:val="%1)"/>
      <w:lvlJc w:val="left"/>
    </w:lvl>
    <w:lvl w:ilvl="1" w:tplc="316A2C24">
      <w:start w:val="1"/>
      <w:numFmt w:val="bullet"/>
      <w:lvlText w:val=""/>
      <w:lvlJc w:val="left"/>
    </w:lvl>
    <w:lvl w:ilvl="2" w:tplc="D67E37E8">
      <w:start w:val="1"/>
      <w:numFmt w:val="bullet"/>
      <w:lvlText w:val=""/>
      <w:lvlJc w:val="left"/>
    </w:lvl>
    <w:lvl w:ilvl="3" w:tplc="1742836E">
      <w:start w:val="1"/>
      <w:numFmt w:val="bullet"/>
      <w:lvlText w:val=""/>
      <w:lvlJc w:val="left"/>
    </w:lvl>
    <w:lvl w:ilvl="4" w:tplc="B27CD230">
      <w:start w:val="1"/>
      <w:numFmt w:val="bullet"/>
      <w:lvlText w:val=""/>
      <w:lvlJc w:val="left"/>
    </w:lvl>
    <w:lvl w:ilvl="5" w:tplc="331C4AF0">
      <w:start w:val="1"/>
      <w:numFmt w:val="bullet"/>
      <w:lvlText w:val=""/>
      <w:lvlJc w:val="left"/>
    </w:lvl>
    <w:lvl w:ilvl="6" w:tplc="2F648B70">
      <w:start w:val="1"/>
      <w:numFmt w:val="bullet"/>
      <w:lvlText w:val=""/>
      <w:lvlJc w:val="left"/>
    </w:lvl>
    <w:lvl w:ilvl="7" w:tplc="D7C8D552">
      <w:start w:val="1"/>
      <w:numFmt w:val="bullet"/>
      <w:lvlText w:val=""/>
      <w:lvlJc w:val="left"/>
    </w:lvl>
    <w:lvl w:ilvl="8" w:tplc="65DAE426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62BBD95A"/>
    <w:lvl w:ilvl="0" w:tplc="E534C0EE">
      <w:start w:val="1"/>
      <w:numFmt w:val="upperLetter"/>
      <w:lvlText w:val="%1"/>
      <w:lvlJc w:val="left"/>
    </w:lvl>
    <w:lvl w:ilvl="1" w:tplc="E4F8BB84">
      <w:start w:val="9"/>
      <w:numFmt w:val="lowerLetter"/>
      <w:lvlText w:val="%2)"/>
      <w:lvlJc w:val="left"/>
    </w:lvl>
    <w:lvl w:ilvl="2" w:tplc="26E0E01A">
      <w:start w:val="1"/>
      <w:numFmt w:val="bullet"/>
      <w:lvlText w:val=""/>
      <w:lvlJc w:val="left"/>
    </w:lvl>
    <w:lvl w:ilvl="3" w:tplc="E28CCE68">
      <w:start w:val="1"/>
      <w:numFmt w:val="bullet"/>
      <w:lvlText w:val=""/>
      <w:lvlJc w:val="left"/>
    </w:lvl>
    <w:lvl w:ilvl="4" w:tplc="0C0EB320">
      <w:start w:val="1"/>
      <w:numFmt w:val="bullet"/>
      <w:lvlText w:val=""/>
      <w:lvlJc w:val="left"/>
    </w:lvl>
    <w:lvl w:ilvl="5" w:tplc="74BAA8AE">
      <w:start w:val="1"/>
      <w:numFmt w:val="bullet"/>
      <w:lvlText w:val=""/>
      <w:lvlJc w:val="left"/>
    </w:lvl>
    <w:lvl w:ilvl="6" w:tplc="9AAE81E2">
      <w:start w:val="1"/>
      <w:numFmt w:val="bullet"/>
      <w:lvlText w:val=""/>
      <w:lvlJc w:val="left"/>
    </w:lvl>
    <w:lvl w:ilvl="7" w:tplc="3A564C1A">
      <w:start w:val="1"/>
      <w:numFmt w:val="bullet"/>
      <w:lvlText w:val=""/>
      <w:lvlJc w:val="left"/>
    </w:lvl>
    <w:lvl w:ilvl="8" w:tplc="D126267E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436C6124"/>
    <w:lvl w:ilvl="0" w:tplc="ADF29AE8">
      <w:start w:val="35"/>
      <w:numFmt w:val="upperLetter"/>
      <w:lvlText w:val="%1."/>
      <w:lvlJc w:val="left"/>
    </w:lvl>
    <w:lvl w:ilvl="1" w:tplc="20EAF63C">
      <w:start w:val="1"/>
      <w:numFmt w:val="lowerLetter"/>
      <w:lvlText w:val="%2"/>
      <w:lvlJc w:val="left"/>
    </w:lvl>
    <w:lvl w:ilvl="2" w:tplc="EC6C7B70">
      <w:start w:val="1"/>
      <w:numFmt w:val="bullet"/>
      <w:lvlText w:val=""/>
      <w:lvlJc w:val="left"/>
    </w:lvl>
    <w:lvl w:ilvl="3" w:tplc="E5AC89CC">
      <w:start w:val="1"/>
      <w:numFmt w:val="bullet"/>
      <w:lvlText w:val=""/>
      <w:lvlJc w:val="left"/>
    </w:lvl>
    <w:lvl w:ilvl="4" w:tplc="C648508C">
      <w:start w:val="1"/>
      <w:numFmt w:val="bullet"/>
      <w:lvlText w:val=""/>
      <w:lvlJc w:val="left"/>
    </w:lvl>
    <w:lvl w:ilvl="5" w:tplc="8E221E5A">
      <w:start w:val="1"/>
      <w:numFmt w:val="bullet"/>
      <w:lvlText w:val=""/>
      <w:lvlJc w:val="left"/>
    </w:lvl>
    <w:lvl w:ilvl="6" w:tplc="CCDA6DB8">
      <w:start w:val="1"/>
      <w:numFmt w:val="bullet"/>
      <w:lvlText w:val=""/>
      <w:lvlJc w:val="left"/>
    </w:lvl>
    <w:lvl w:ilvl="7" w:tplc="C3E84180">
      <w:start w:val="1"/>
      <w:numFmt w:val="bullet"/>
      <w:lvlText w:val=""/>
      <w:lvlJc w:val="left"/>
    </w:lvl>
    <w:lvl w:ilvl="8" w:tplc="54DE406A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628C895C"/>
    <w:lvl w:ilvl="0" w:tplc="3D0EAD8A">
      <w:start w:val="1"/>
      <w:numFmt w:val="decimal"/>
      <w:lvlText w:val="%1."/>
      <w:lvlJc w:val="left"/>
    </w:lvl>
    <w:lvl w:ilvl="1" w:tplc="2A986248">
      <w:start w:val="1"/>
      <w:numFmt w:val="bullet"/>
      <w:lvlText w:val=""/>
      <w:lvlJc w:val="left"/>
    </w:lvl>
    <w:lvl w:ilvl="2" w:tplc="C7D02A04">
      <w:start w:val="1"/>
      <w:numFmt w:val="bullet"/>
      <w:lvlText w:val=""/>
      <w:lvlJc w:val="left"/>
    </w:lvl>
    <w:lvl w:ilvl="3" w:tplc="390271C8">
      <w:start w:val="1"/>
      <w:numFmt w:val="bullet"/>
      <w:lvlText w:val=""/>
      <w:lvlJc w:val="left"/>
    </w:lvl>
    <w:lvl w:ilvl="4" w:tplc="77CEAC48">
      <w:start w:val="1"/>
      <w:numFmt w:val="bullet"/>
      <w:lvlText w:val=""/>
      <w:lvlJc w:val="left"/>
    </w:lvl>
    <w:lvl w:ilvl="5" w:tplc="CBB0D666">
      <w:start w:val="1"/>
      <w:numFmt w:val="bullet"/>
      <w:lvlText w:val=""/>
      <w:lvlJc w:val="left"/>
    </w:lvl>
    <w:lvl w:ilvl="6" w:tplc="C40CA39E">
      <w:start w:val="1"/>
      <w:numFmt w:val="bullet"/>
      <w:lvlText w:val=""/>
      <w:lvlJc w:val="left"/>
    </w:lvl>
    <w:lvl w:ilvl="7" w:tplc="709C7270">
      <w:start w:val="1"/>
      <w:numFmt w:val="bullet"/>
      <w:lvlText w:val=""/>
      <w:lvlJc w:val="left"/>
    </w:lvl>
    <w:lvl w:ilvl="8" w:tplc="A8DC75FA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333AB104"/>
    <w:lvl w:ilvl="0" w:tplc="E03AB77C">
      <w:start w:val="61"/>
      <w:numFmt w:val="upperLetter"/>
      <w:lvlText w:val="%1."/>
      <w:lvlJc w:val="left"/>
    </w:lvl>
    <w:lvl w:ilvl="1" w:tplc="C722FD66">
      <w:start w:val="1"/>
      <w:numFmt w:val="bullet"/>
      <w:lvlText w:val=""/>
      <w:lvlJc w:val="left"/>
    </w:lvl>
    <w:lvl w:ilvl="2" w:tplc="C2D051D4">
      <w:start w:val="1"/>
      <w:numFmt w:val="bullet"/>
      <w:lvlText w:val=""/>
      <w:lvlJc w:val="left"/>
    </w:lvl>
    <w:lvl w:ilvl="3" w:tplc="C86A0EAA">
      <w:start w:val="1"/>
      <w:numFmt w:val="bullet"/>
      <w:lvlText w:val=""/>
      <w:lvlJc w:val="left"/>
    </w:lvl>
    <w:lvl w:ilvl="4" w:tplc="CE948662">
      <w:start w:val="1"/>
      <w:numFmt w:val="bullet"/>
      <w:lvlText w:val=""/>
      <w:lvlJc w:val="left"/>
    </w:lvl>
    <w:lvl w:ilvl="5" w:tplc="F7DEB90A">
      <w:start w:val="1"/>
      <w:numFmt w:val="bullet"/>
      <w:lvlText w:val=""/>
      <w:lvlJc w:val="left"/>
    </w:lvl>
    <w:lvl w:ilvl="6" w:tplc="3B2A396E">
      <w:start w:val="1"/>
      <w:numFmt w:val="bullet"/>
      <w:lvlText w:val=""/>
      <w:lvlJc w:val="left"/>
    </w:lvl>
    <w:lvl w:ilvl="7" w:tplc="A80ECD72">
      <w:start w:val="1"/>
      <w:numFmt w:val="bullet"/>
      <w:lvlText w:val=""/>
      <w:lvlJc w:val="left"/>
    </w:lvl>
    <w:lvl w:ilvl="8" w:tplc="1C8C8C3E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721DA316"/>
    <w:lvl w:ilvl="0" w:tplc="77B83DFC">
      <w:start w:val="1"/>
      <w:numFmt w:val="decimal"/>
      <w:lvlText w:val="%1."/>
      <w:lvlJc w:val="left"/>
    </w:lvl>
    <w:lvl w:ilvl="1" w:tplc="61067926">
      <w:start w:val="1"/>
      <w:numFmt w:val="bullet"/>
      <w:lvlText w:val=""/>
      <w:lvlJc w:val="left"/>
    </w:lvl>
    <w:lvl w:ilvl="2" w:tplc="40961018">
      <w:start w:val="1"/>
      <w:numFmt w:val="bullet"/>
      <w:lvlText w:val=""/>
      <w:lvlJc w:val="left"/>
    </w:lvl>
    <w:lvl w:ilvl="3" w:tplc="BFCEB3FA">
      <w:start w:val="1"/>
      <w:numFmt w:val="bullet"/>
      <w:lvlText w:val=""/>
      <w:lvlJc w:val="left"/>
    </w:lvl>
    <w:lvl w:ilvl="4" w:tplc="1C403BDA">
      <w:start w:val="1"/>
      <w:numFmt w:val="bullet"/>
      <w:lvlText w:val=""/>
      <w:lvlJc w:val="left"/>
    </w:lvl>
    <w:lvl w:ilvl="5" w:tplc="AA761CE8">
      <w:start w:val="1"/>
      <w:numFmt w:val="bullet"/>
      <w:lvlText w:val=""/>
      <w:lvlJc w:val="left"/>
    </w:lvl>
    <w:lvl w:ilvl="6" w:tplc="72EE7BB4">
      <w:start w:val="1"/>
      <w:numFmt w:val="bullet"/>
      <w:lvlText w:val=""/>
      <w:lvlJc w:val="left"/>
    </w:lvl>
    <w:lvl w:ilvl="7" w:tplc="14988ED2">
      <w:start w:val="1"/>
      <w:numFmt w:val="bullet"/>
      <w:lvlText w:val=""/>
      <w:lvlJc w:val="left"/>
    </w:lvl>
    <w:lvl w:ilvl="8" w:tplc="72906092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2443A858"/>
    <w:lvl w:ilvl="0" w:tplc="C7CEB21C">
      <w:start w:val="2"/>
      <w:numFmt w:val="decimal"/>
      <w:lvlText w:val="%1."/>
      <w:lvlJc w:val="left"/>
    </w:lvl>
    <w:lvl w:ilvl="1" w:tplc="7B587D0E">
      <w:start w:val="1"/>
      <w:numFmt w:val="bullet"/>
      <w:lvlText w:val=""/>
      <w:lvlJc w:val="left"/>
    </w:lvl>
    <w:lvl w:ilvl="2" w:tplc="E72E73BE">
      <w:start w:val="1"/>
      <w:numFmt w:val="bullet"/>
      <w:lvlText w:val=""/>
      <w:lvlJc w:val="left"/>
    </w:lvl>
    <w:lvl w:ilvl="3" w:tplc="D82A707C">
      <w:start w:val="1"/>
      <w:numFmt w:val="bullet"/>
      <w:lvlText w:val=""/>
      <w:lvlJc w:val="left"/>
    </w:lvl>
    <w:lvl w:ilvl="4" w:tplc="C18EF50C">
      <w:start w:val="1"/>
      <w:numFmt w:val="bullet"/>
      <w:lvlText w:val=""/>
      <w:lvlJc w:val="left"/>
    </w:lvl>
    <w:lvl w:ilvl="5" w:tplc="960253A0">
      <w:start w:val="1"/>
      <w:numFmt w:val="bullet"/>
      <w:lvlText w:val=""/>
      <w:lvlJc w:val="left"/>
    </w:lvl>
    <w:lvl w:ilvl="6" w:tplc="B972F7CC">
      <w:start w:val="1"/>
      <w:numFmt w:val="bullet"/>
      <w:lvlText w:val=""/>
      <w:lvlJc w:val="left"/>
    </w:lvl>
    <w:lvl w:ilvl="7" w:tplc="FD4A9F16">
      <w:start w:val="1"/>
      <w:numFmt w:val="bullet"/>
      <w:lvlText w:val=""/>
      <w:lvlJc w:val="left"/>
    </w:lvl>
    <w:lvl w:ilvl="8" w:tplc="B5F60EB4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2D1D5AE8"/>
    <w:lvl w:ilvl="0" w:tplc="F78E91AE">
      <w:start w:val="3"/>
      <w:numFmt w:val="decimal"/>
      <w:lvlText w:val="%1."/>
      <w:lvlJc w:val="left"/>
    </w:lvl>
    <w:lvl w:ilvl="1" w:tplc="2402DBB2">
      <w:start w:val="1"/>
      <w:numFmt w:val="bullet"/>
      <w:lvlText w:val=""/>
      <w:lvlJc w:val="left"/>
    </w:lvl>
    <w:lvl w:ilvl="2" w:tplc="F57AFC2C">
      <w:start w:val="1"/>
      <w:numFmt w:val="bullet"/>
      <w:lvlText w:val=""/>
      <w:lvlJc w:val="left"/>
    </w:lvl>
    <w:lvl w:ilvl="3" w:tplc="A6EE9D20">
      <w:start w:val="1"/>
      <w:numFmt w:val="bullet"/>
      <w:lvlText w:val=""/>
      <w:lvlJc w:val="left"/>
    </w:lvl>
    <w:lvl w:ilvl="4" w:tplc="565ECD6A">
      <w:start w:val="1"/>
      <w:numFmt w:val="bullet"/>
      <w:lvlText w:val=""/>
      <w:lvlJc w:val="left"/>
    </w:lvl>
    <w:lvl w:ilvl="5" w:tplc="D5E690AC">
      <w:start w:val="1"/>
      <w:numFmt w:val="bullet"/>
      <w:lvlText w:val=""/>
      <w:lvlJc w:val="left"/>
    </w:lvl>
    <w:lvl w:ilvl="6" w:tplc="B7106016">
      <w:start w:val="1"/>
      <w:numFmt w:val="bullet"/>
      <w:lvlText w:val=""/>
      <w:lvlJc w:val="left"/>
    </w:lvl>
    <w:lvl w:ilvl="7" w:tplc="922AC3B0">
      <w:start w:val="1"/>
      <w:numFmt w:val="bullet"/>
      <w:lvlText w:val=""/>
      <w:lvlJc w:val="left"/>
    </w:lvl>
    <w:lvl w:ilvl="8" w:tplc="D07E20A6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6763845E"/>
    <w:lvl w:ilvl="0" w:tplc="8A6CB596">
      <w:start w:val="4"/>
      <w:numFmt w:val="decimal"/>
      <w:lvlText w:val="%1."/>
      <w:lvlJc w:val="left"/>
    </w:lvl>
    <w:lvl w:ilvl="1" w:tplc="F0DCCFC2">
      <w:start w:val="1"/>
      <w:numFmt w:val="bullet"/>
      <w:lvlText w:val=""/>
      <w:lvlJc w:val="left"/>
    </w:lvl>
    <w:lvl w:ilvl="2" w:tplc="E26AB002">
      <w:start w:val="1"/>
      <w:numFmt w:val="bullet"/>
      <w:lvlText w:val=""/>
      <w:lvlJc w:val="left"/>
    </w:lvl>
    <w:lvl w:ilvl="3" w:tplc="C0BC71CC">
      <w:start w:val="1"/>
      <w:numFmt w:val="bullet"/>
      <w:lvlText w:val=""/>
      <w:lvlJc w:val="left"/>
    </w:lvl>
    <w:lvl w:ilvl="4" w:tplc="3160A908">
      <w:start w:val="1"/>
      <w:numFmt w:val="bullet"/>
      <w:lvlText w:val=""/>
      <w:lvlJc w:val="left"/>
    </w:lvl>
    <w:lvl w:ilvl="5" w:tplc="30CA1584">
      <w:start w:val="1"/>
      <w:numFmt w:val="bullet"/>
      <w:lvlText w:val=""/>
      <w:lvlJc w:val="left"/>
    </w:lvl>
    <w:lvl w:ilvl="6" w:tplc="D368F5B4">
      <w:start w:val="1"/>
      <w:numFmt w:val="bullet"/>
      <w:lvlText w:val=""/>
      <w:lvlJc w:val="left"/>
    </w:lvl>
    <w:lvl w:ilvl="7" w:tplc="7F265202">
      <w:start w:val="1"/>
      <w:numFmt w:val="bullet"/>
      <w:lvlText w:val=""/>
      <w:lvlJc w:val="left"/>
    </w:lvl>
    <w:lvl w:ilvl="8" w:tplc="81FABA8A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75A2A8D4"/>
    <w:lvl w:ilvl="0" w:tplc="B246DB34">
      <w:start w:val="5"/>
      <w:numFmt w:val="decimal"/>
      <w:lvlText w:val="%1."/>
      <w:lvlJc w:val="left"/>
    </w:lvl>
    <w:lvl w:ilvl="1" w:tplc="FB1061EE">
      <w:start w:val="1"/>
      <w:numFmt w:val="bullet"/>
      <w:lvlText w:val=""/>
      <w:lvlJc w:val="left"/>
    </w:lvl>
    <w:lvl w:ilvl="2" w:tplc="53460D94">
      <w:start w:val="1"/>
      <w:numFmt w:val="bullet"/>
      <w:lvlText w:val=""/>
      <w:lvlJc w:val="left"/>
    </w:lvl>
    <w:lvl w:ilvl="3" w:tplc="42F8A52A">
      <w:start w:val="1"/>
      <w:numFmt w:val="bullet"/>
      <w:lvlText w:val=""/>
      <w:lvlJc w:val="left"/>
    </w:lvl>
    <w:lvl w:ilvl="4" w:tplc="D2082110">
      <w:start w:val="1"/>
      <w:numFmt w:val="bullet"/>
      <w:lvlText w:val=""/>
      <w:lvlJc w:val="left"/>
    </w:lvl>
    <w:lvl w:ilvl="5" w:tplc="B3A433B0">
      <w:start w:val="1"/>
      <w:numFmt w:val="bullet"/>
      <w:lvlText w:val=""/>
      <w:lvlJc w:val="left"/>
    </w:lvl>
    <w:lvl w:ilvl="6" w:tplc="30A6C08E">
      <w:start w:val="1"/>
      <w:numFmt w:val="bullet"/>
      <w:lvlText w:val=""/>
      <w:lvlJc w:val="left"/>
    </w:lvl>
    <w:lvl w:ilvl="7" w:tplc="A1EAF5F8">
      <w:start w:val="1"/>
      <w:numFmt w:val="bullet"/>
      <w:lvlText w:val=""/>
      <w:lvlJc w:val="left"/>
    </w:lvl>
    <w:lvl w:ilvl="8" w:tplc="E3664362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08EDBDAA"/>
    <w:lvl w:ilvl="0" w:tplc="4148EE3E">
      <w:start w:val="6"/>
      <w:numFmt w:val="decimal"/>
      <w:lvlText w:val="%1."/>
      <w:lvlJc w:val="left"/>
    </w:lvl>
    <w:lvl w:ilvl="1" w:tplc="4756449A">
      <w:start w:val="1"/>
      <w:numFmt w:val="bullet"/>
      <w:lvlText w:val=""/>
      <w:lvlJc w:val="left"/>
    </w:lvl>
    <w:lvl w:ilvl="2" w:tplc="1FD0D3D6">
      <w:start w:val="1"/>
      <w:numFmt w:val="bullet"/>
      <w:lvlText w:val=""/>
      <w:lvlJc w:val="left"/>
    </w:lvl>
    <w:lvl w:ilvl="3" w:tplc="48FAFD3C">
      <w:start w:val="1"/>
      <w:numFmt w:val="bullet"/>
      <w:lvlText w:val=""/>
      <w:lvlJc w:val="left"/>
    </w:lvl>
    <w:lvl w:ilvl="4" w:tplc="6B60C1BE">
      <w:start w:val="1"/>
      <w:numFmt w:val="bullet"/>
      <w:lvlText w:val=""/>
      <w:lvlJc w:val="left"/>
    </w:lvl>
    <w:lvl w:ilvl="5" w:tplc="289A0694">
      <w:start w:val="1"/>
      <w:numFmt w:val="bullet"/>
      <w:lvlText w:val=""/>
      <w:lvlJc w:val="left"/>
    </w:lvl>
    <w:lvl w:ilvl="6" w:tplc="B45A6318">
      <w:start w:val="1"/>
      <w:numFmt w:val="bullet"/>
      <w:lvlText w:val=""/>
      <w:lvlJc w:val="left"/>
    </w:lvl>
    <w:lvl w:ilvl="7" w:tplc="FDAC7580">
      <w:start w:val="1"/>
      <w:numFmt w:val="bullet"/>
      <w:lvlText w:val=""/>
      <w:lvlJc w:val="left"/>
    </w:lvl>
    <w:lvl w:ilvl="8" w:tplc="31283984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79838CB2"/>
    <w:lvl w:ilvl="0" w:tplc="5B60D6B0">
      <w:start w:val="7"/>
      <w:numFmt w:val="decimal"/>
      <w:lvlText w:val="%1."/>
      <w:lvlJc w:val="left"/>
    </w:lvl>
    <w:lvl w:ilvl="1" w:tplc="A95E2B68">
      <w:start w:val="1"/>
      <w:numFmt w:val="bullet"/>
      <w:lvlText w:val=""/>
      <w:lvlJc w:val="left"/>
    </w:lvl>
    <w:lvl w:ilvl="2" w:tplc="8176F710">
      <w:start w:val="1"/>
      <w:numFmt w:val="bullet"/>
      <w:lvlText w:val=""/>
      <w:lvlJc w:val="left"/>
    </w:lvl>
    <w:lvl w:ilvl="3" w:tplc="B0702728">
      <w:start w:val="1"/>
      <w:numFmt w:val="bullet"/>
      <w:lvlText w:val=""/>
      <w:lvlJc w:val="left"/>
    </w:lvl>
    <w:lvl w:ilvl="4" w:tplc="9C3E61CC">
      <w:start w:val="1"/>
      <w:numFmt w:val="bullet"/>
      <w:lvlText w:val=""/>
      <w:lvlJc w:val="left"/>
    </w:lvl>
    <w:lvl w:ilvl="5" w:tplc="66A401A4">
      <w:start w:val="1"/>
      <w:numFmt w:val="bullet"/>
      <w:lvlText w:val=""/>
      <w:lvlJc w:val="left"/>
    </w:lvl>
    <w:lvl w:ilvl="6" w:tplc="5906CA3A">
      <w:start w:val="1"/>
      <w:numFmt w:val="bullet"/>
      <w:lvlText w:val=""/>
      <w:lvlJc w:val="left"/>
    </w:lvl>
    <w:lvl w:ilvl="7" w:tplc="8FFC54D6">
      <w:start w:val="1"/>
      <w:numFmt w:val="bullet"/>
      <w:lvlText w:val=""/>
      <w:lvlJc w:val="left"/>
    </w:lvl>
    <w:lvl w:ilvl="8" w:tplc="F4DEB3AE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4353D0CC"/>
    <w:lvl w:ilvl="0" w:tplc="1158AF10">
      <w:start w:val="8"/>
      <w:numFmt w:val="decimal"/>
      <w:lvlText w:val="%1."/>
      <w:lvlJc w:val="left"/>
    </w:lvl>
    <w:lvl w:ilvl="1" w:tplc="9FBECED4">
      <w:start w:val="1"/>
      <w:numFmt w:val="bullet"/>
      <w:lvlText w:val=""/>
      <w:lvlJc w:val="left"/>
    </w:lvl>
    <w:lvl w:ilvl="2" w:tplc="2D6871B2">
      <w:start w:val="1"/>
      <w:numFmt w:val="bullet"/>
      <w:lvlText w:val=""/>
      <w:lvlJc w:val="left"/>
    </w:lvl>
    <w:lvl w:ilvl="3" w:tplc="38D0FB88">
      <w:start w:val="1"/>
      <w:numFmt w:val="bullet"/>
      <w:lvlText w:val=""/>
      <w:lvlJc w:val="left"/>
    </w:lvl>
    <w:lvl w:ilvl="4" w:tplc="18F83FCE">
      <w:start w:val="1"/>
      <w:numFmt w:val="bullet"/>
      <w:lvlText w:val=""/>
      <w:lvlJc w:val="left"/>
    </w:lvl>
    <w:lvl w:ilvl="5" w:tplc="2550F464">
      <w:start w:val="1"/>
      <w:numFmt w:val="bullet"/>
      <w:lvlText w:val=""/>
      <w:lvlJc w:val="left"/>
    </w:lvl>
    <w:lvl w:ilvl="6" w:tplc="2AFEAC04">
      <w:start w:val="1"/>
      <w:numFmt w:val="bullet"/>
      <w:lvlText w:val=""/>
      <w:lvlJc w:val="left"/>
    </w:lvl>
    <w:lvl w:ilvl="7" w:tplc="AC78F5F6">
      <w:start w:val="1"/>
      <w:numFmt w:val="bullet"/>
      <w:lvlText w:val=""/>
      <w:lvlJc w:val="left"/>
    </w:lvl>
    <w:lvl w:ilvl="8" w:tplc="6BF27AA4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0B03E0C6"/>
    <w:lvl w:ilvl="0" w:tplc="D7D0D4B0">
      <w:start w:val="9"/>
      <w:numFmt w:val="decimal"/>
      <w:lvlText w:val="%1."/>
      <w:lvlJc w:val="left"/>
    </w:lvl>
    <w:lvl w:ilvl="1" w:tplc="EDCE9C5E">
      <w:start w:val="1"/>
      <w:numFmt w:val="bullet"/>
      <w:lvlText w:val=""/>
      <w:lvlJc w:val="left"/>
    </w:lvl>
    <w:lvl w:ilvl="2" w:tplc="457E539A">
      <w:start w:val="1"/>
      <w:numFmt w:val="bullet"/>
      <w:lvlText w:val=""/>
      <w:lvlJc w:val="left"/>
    </w:lvl>
    <w:lvl w:ilvl="3" w:tplc="CFDCB836">
      <w:start w:val="1"/>
      <w:numFmt w:val="bullet"/>
      <w:lvlText w:val=""/>
      <w:lvlJc w:val="left"/>
    </w:lvl>
    <w:lvl w:ilvl="4" w:tplc="837CC3A2">
      <w:start w:val="1"/>
      <w:numFmt w:val="bullet"/>
      <w:lvlText w:val=""/>
      <w:lvlJc w:val="left"/>
    </w:lvl>
    <w:lvl w:ilvl="5" w:tplc="A282FE7A">
      <w:start w:val="1"/>
      <w:numFmt w:val="bullet"/>
      <w:lvlText w:val=""/>
      <w:lvlJc w:val="left"/>
    </w:lvl>
    <w:lvl w:ilvl="6" w:tplc="5560DC52">
      <w:start w:val="1"/>
      <w:numFmt w:val="bullet"/>
      <w:lvlText w:val=""/>
      <w:lvlJc w:val="left"/>
    </w:lvl>
    <w:lvl w:ilvl="7" w:tplc="F4B8EFCC">
      <w:start w:val="1"/>
      <w:numFmt w:val="bullet"/>
      <w:lvlText w:val=""/>
      <w:lvlJc w:val="left"/>
    </w:lvl>
    <w:lvl w:ilvl="8" w:tplc="F8404AF8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189A769A"/>
    <w:lvl w:ilvl="0" w:tplc="7938B5CC">
      <w:start w:val="11"/>
      <w:numFmt w:val="decimal"/>
      <w:lvlText w:val="%1."/>
      <w:lvlJc w:val="left"/>
    </w:lvl>
    <w:lvl w:ilvl="1" w:tplc="031EE5A8">
      <w:start w:val="1"/>
      <w:numFmt w:val="bullet"/>
      <w:lvlText w:val=""/>
      <w:lvlJc w:val="left"/>
    </w:lvl>
    <w:lvl w:ilvl="2" w:tplc="E8E08F0A">
      <w:start w:val="1"/>
      <w:numFmt w:val="bullet"/>
      <w:lvlText w:val=""/>
      <w:lvlJc w:val="left"/>
    </w:lvl>
    <w:lvl w:ilvl="3" w:tplc="024C574E">
      <w:start w:val="1"/>
      <w:numFmt w:val="bullet"/>
      <w:lvlText w:val=""/>
      <w:lvlJc w:val="left"/>
    </w:lvl>
    <w:lvl w:ilvl="4" w:tplc="B8CCEF94">
      <w:start w:val="1"/>
      <w:numFmt w:val="bullet"/>
      <w:lvlText w:val=""/>
      <w:lvlJc w:val="left"/>
    </w:lvl>
    <w:lvl w:ilvl="5" w:tplc="946C676A">
      <w:start w:val="1"/>
      <w:numFmt w:val="bullet"/>
      <w:lvlText w:val=""/>
      <w:lvlJc w:val="left"/>
    </w:lvl>
    <w:lvl w:ilvl="6" w:tplc="ADA63516">
      <w:start w:val="1"/>
      <w:numFmt w:val="bullet"/>
      <w:lvlText w:val=""/>
      <w:lvlJc w:val="left"/>
    </w:lvl>
    <w:lvl w:ilvl="7" w:tplc="16AE60A6">
      <w:start w:val="1"/>
      <w:numFmt w:val="bullet"/>
      <w:lvlText w:val=""/>
      <w:lvlJc w:val="left"/>
    </w:lvl>
    <w:lvl w:ilvl="8" w:tplc="42A8A970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54E49EB4"/>
    <w:lvl w:ilvl="0" w:tplc="3FD8A8A4">
      <w:start w:val="1"/>
      <w:numFmt w:val="decimal"/>
      <w:lvlText w:val="%1."/>
      <w:lvlJc w:val="left"/>
    </w:lvl>
    <w:lvl w:ilvl="1" w:tplc="422E5670">
      <w:start w:val="1"/>
      <w:numFmt w:val="bullet"/>
      <w:lvlText w:val=""/>
      <w:lvlJc w:val="left"/>
    </w:lvl>
    <w:lvl w:ilvl="2" w:tplc="973C45F2">
      <w:start w:val="1"/>
      <w:numFmt w:val="bullet"/>
      <w:lvlText w:val=""/>
      <w:lvlJc w:val="left"/>
    </w:lvl>
    <w:lvl w:ilvl="3" w:tplc="BD029552">
      <w:start w:val="1"/>
      <w:numFmt w:val="bullet"/>
      <w:lvlText w:val=""/>
      <w:lvlJc w:val="left"/>
    </w:lvl>
    <w:lvl w:ilvl="4" w:tplc="11B6F2DE">
      <w:start w:val="1"/>
      <w:numFmt w:val="bullet"/>
      <w:lvlText w:val=""/>
      <w:lvlJc w:val="left"/>
    </w:lvl>
    <w:lvl w:ilvl="5" w:tplc="D67E16CC">
      <w:start w:val="1"/>
      <w:numFmt w:val="bullet"/>
      <w:lvlText w:val=""/>
      <w:lvlJc w:val="left"/>
    </w:lvl>
    <w:lvl w:ilvl="6" w:tplc="00A2B89E">
      <w:start w:val="1"/>
      <w:numFmt w:val="bullet"/>
      <w:lvlText w:val=""/>
      <w:lvlJc w:val="left"/>
    </w:lvl>
    <w:lvl w:ilvl="7" w:tplc="1D84B598">
      <w:start w:val="1"/>
      <w:numFmt w:val="bullet"/>
      <w:lvlText w:val=""/>
      <w:lvlJc w:val="left"/>
    </w:lvl>
    <w:lvl w:ilvl="8" w:tplc="0DB65792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71F32454"/>
    <w:lvl w:ilvl="0" w:tplc="1910DA96">
      <w:start w:val="2"/>
      <w:numFmt w:val="decimal"/>
      <w:lvlText w:val="%1."/>
      <w:lvlJc w:val="left"/>
    </w:lvl>
    <w:lvl w:ilvl="1" w:tplc="2A86E5D2">
      <w:start w:val="1"/>
      <w:numFmt w:val="bullet"/>
      <w:lvlText w:val=""/>
      <w:lvlJc w:val="left"/>
    </w:lvl>
    <w:lvl w:ilvl="2" w:tplc="35684720">
      <w:start w:val="1"/>
      <w:numFmt w:val="bullet"/>
      <w:lvlText w:val=""/>
      <w:lvlJc w:val="left"/>
    </w:lvl>
    <w:lvl w:ilvl="3" w:tplc="1714C1DC">
      <w:start w:val="1"/>
      <w:numFmt w:val="bullet"/>
      <w:lvlText w:val=""/>
      <w:lvlJc w:val="left"/>
    </w:lvl>
    <w:lvl w:ilvl="4" w:tplc="8A788DA2">
      <w:start w:val="1"/>
      <w:numFmt w:val="bullet"/>
      <w:lvlText w:val=""/>
      <w:lvlJc w:val="left"/>
    </w:lvl>
    <w:lvl w:ilvl="5" w:tplc="F93058BE">
      <w:start w:val="1"/>
      <w:numFmt w:val="bullet"/>
      <w:lvlText w:val=""/>
      <w:lvlJc w:val="left"/>
    </w:lvl>
    <w:lvl w:ilvl="6" w:tplc="F5FEA49C">
      <w:start w:val="1"/>
      <w:numFmt w:val="bullet"/>
      <w:lvlText w:val=""/>
      <w:lvlJc w:val="left"/>
    </w:lvl>
    <w:lvl w:ilvl="7" w:tplc="91C80D0C">
      <w:start w:val="1"/>
      <w:numFmt w:val="bullet"/>
      <w:lvlText w:val=""/>
      <w:lvlJc w:val="left"/>
    </w:lvl>
    <w:lvl w:ilvl="8" w:tplc="F5705668">
      <w:start w:val="1"/>
      <w:numFmt w:val="bullet"/>
      <w:lvlText w:val=""/>
      <w:lvlJc w:val="left"/>
    </w:lvl>
  </w:abstractNum>
  <w:abstractNum w:abstractNumId="27">
    <w:nsid w:val="0000001C"/>
    <w:multiLevelType w:val="hybridMultilevel"/>
    <w:tmpl w:val="2CA88610"/>
    <w:lvl w:ilvl="0" w:tplc="860E570C">
      <w:start w:val="22"/>
      <w:numFmt w:val="upperLetter"/>
      <w:lvlText w:val="%1."/>
      <w:lvlJc w:val="left"/>
    </w:lvl>
    <w:lvl w:ilvl="1" w:tplc="C1E4B902">
      <w:start w:val="1"/>
      <w:numFmt w:val="bullet"/>
      <w:lvlText w:val=""/>
      <w:lvlJc w:val="left"/>
    </w:lvl>
    <w:lvl w:ilvl="2" w:tplc="286CFEDA">
      <w:start w:val="1"/>
      <w:numFmt w:val="bullet"/>
      <w:lvlText w:val=""/>
      <w:lvlJc w:val="left"/>
    </w:lvl>
    <w:lvl w:ilvl="3" w:tplc="948EA922">
      <w:start w:val="1"/>
      <w:numFmt w:val="bullet"/>
      <w:lvlText w:val=""/>
      <w:lvlJc w:val="left"/>
    </w:lvl>
    <w:lvl w:ilvl="4" w:tplc="12B2BE90">
      <w:start w:val="1"/>
      <w:numFmt w:val="bullet"/>
      <w:lvlText w:val=""/>
      <w:lvlJc w:val="left"/>
    </w:lvl>
    <w:lvl w:ilvl="5" w:tplc="334AF7DA">
      <w:start w:val="1"/>
      <w:numFmt w:val="bullet"/>
      <w:lvlText w:val=""/>
      <w:lvlJc w:val="left"/>
    </w:lvl>
    <w:lvl w:ilvl="6" w:tplc="0E2897E2">
      <w:start w:val="1"/>
      <w:numFmt w:val="bullet"/>
      <w:lvlText w:val=""/>
      <w:lvlJc w:val="left"/>
    </w:lvl>
    <w:lvl w:ilvl="7" w:tplc="30048D46">
      <w:start w:val="1"/>
      <w:numFmt w:val="bullet"/>
      <w:lvlText w:val=""/>
      <w:lvlJc w:val="left"/>
    </w:lvl>
    <w:lvl w:ilvl="8" w:tplc="43660C6A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3A7D27"/>
    <w:rsid w:val="00051124"/>
    <w:rsid w:val="000D6297"/>
    <w:rsid w:val="001335A2"/>
    <w:rsid w:val="00172B5F"/>
    <w:rsid w:val="001C249C"/>
    <w:rsid w:val="00212909"/>
    <w:rsid w:val="0027403D"/>
    <w:rsid w:val="0031491F"/>
    <w:rsid w:val="003A7D27"/>
    <w:rsid w:val="0055032A"/>
    <w:rsid w:val="00612FC2"/>
    <w:rsid w:val="00640E8B"/>
    <w:rsid w:val="006E0157"/>
    <w:rsid w:val="007D3082"/>
    <w:rsid w:val="00831B75"/>
    <w:rsid w:val="008457E4"/>
    <w:rsid w:val="008578B0"/>
    <w:rsid w:val="008C6152"/>
    <w:rsid w:val="008C7472"/>
    <w:rsid w:val="009D5BE7"/>
    <w:rsid w:val="00A84CF8"/>
    <w:rsid w:val="00AF1212"/>
    <w:rsid w:val="00B27358"/>
    <w:rsid w:val="00C04250"/>
    <w:rsid w:val="00C30419"/>
    <w:rsid w:val="00CA04D0"/>
    <w:rsid w:val="00CC1BB1"/>
    <w:rsid w:val="00E124FD"/>
    <w:rsid w:val="00E7392B"/>
    <w:rsid w:val="00E739D2"/>
    <w:rsid w:val="00F7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5:docId w15:val="{C2DBD0BF-C9FA-4AB5-B05A-BD19B20C3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1B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Používateľ systému Windows</cp:lastModifiedBy>
  <cp:revision>6</cp:revision>
  <cp:lastPrinted>2021-06-18T07:57:00Z</cp:lastPrinted>
  <dcterms:created xsi:type="dcterms:W3CDTF">2024-06-13T06:13:00Z</dcterms:created>
  <dcterms:modified xsi:type="dcterms:W3CDTF">2024-06-13T06:25:00Z</dcterms:modified>
</cp:coreProperties>
</file>