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25E8F" w14:textId="77777777" w:rsidR="00114A9E" w:rsidRPr="00114A9E" w:rsidRDefault="00114A9E" w:rsidP="00114A9E">
      <w:pPr>
        <w:spacing w:after="200" w:line="276" w:lineRule="auto"/>
        <w:rPr>
          <w:rFonts w:ascii="Calibri" w:eastAsia="Calibri" w:hAnsi="Calibri" w:cs="Times New Roman"/>
          <w:b/>
          <w:sz w:val="28"/>
          <w:szCs w:val="28"/>
        </w:rPr>
      </w:pPr>
    </w:p>
    <w:p w14:paraId="0392567D" w14:textId="77777777" w:rsidR="00114A9E" w:rsidRPr="00114A9E" w:rsidRDefault="00114A9E" w:rsidP="00114A9E">
      <w:pPr>
        <w:numPr>
          <w:ilvl w:val="0"/>
          <w:numId w:val="1"/>
        </w:numPr>
        <w:spacing w:after="200" w:line="276" w:lineRule="auto"/>
        <w:contextualSpacing/>
        <w:rPr>
          <w:rFonts w:ascii="Calibri" w:eastAsia="Calibri" w:hAnsi="Calibri" w:cs="Times New Roman"/>
          <w:b/>
          <w:sz w:val="28"/>
          <w:szCs w:val="28"/>
        </w:rPr>
      </w:pPr>
      <w:r w:rsidRPr="00114A9E">
        <w:rPr>
          <w:rFonts w:ascii="Calibri" w:eastAsia="Calibri" w:hAnsi="Calibri" w:cs="Times New Roman"/>
          <w:b/>
          <w:sz w:val="28"/>
          <w:szCs w:val="28"/>
        </w:rPr>
        <w:t>07.Informácie o účtovnej jednotke:</w:t>
      </w:r>
    </w:p>
    <w:p w14:paraId="200CB847" w14:textId="77777777" w:rsidR="00114A9E" w:rsidRPr="00114A9E" w:rsidRDefault="00114A9E" w:rsidP="00114A9E">
      <w:pPr>
        <w:spacing w:after="200" w:line="276" w:lineRule="auto"/>
        <w:ind w:left="720"/>
        <w:contextualSpacing/>
        <w:rPr>
          <w:rFonts w:ascii="Calibri" w:eastAsia="Calibri" w:hAnsi="Calibri" w:cs="Times New Roman"/>
          <w:b/>
          <w:sz w:val="28"/>
          <w:szCs w:val="28"/>
        </w:rPr>
      </w:pPr>
    </w:p>
    <w:p w14:paraId="23063E7B" w14:textId="1352ED7C" w:rsidR="00114A9E" w:rsidRPr="00114A9E" w:rsidRDefault="00114A9E" w:rsidP="00114A9E">
      <w:pPr>
        <w:numPr>
          <w:ilvl w:val="0"/>
          <w:numId w:val="2"/>
        </w:numPr>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 xml:space="preserve">Spoločnosť </w:t>
      </w:r>
      <w:r w:rsidR="00715F39">
        <w:rPr>
          <w:rFonts w:ascii="Calibri" w:eastAsia="Calibri" w:hAnsi="Calibri" w:cs="Times New Roman"/>
          <w:sz w:val="24"/>
          <w:szCs w:val="24"/>
        </w:rPr>
        <w:t xml:space="preserve">ROBI SLOVAKIA </w:t>
      </w:r>
      <w:r w:rsidRPr="00114A9E">
        <w:rPr>
          <w:rFonts w:ascii="Calibri" w:eastAsia="Calibri" w:hAnsi="Calibri" w:cs="Times New Roman"/>
          <w:sz w:val="24"/>
          <w:szCs w:val="24"/>
        </w:rPr>
        <w:t xml:space="preserve"> s.r.o., bola založená v obchodnom registri zakladateľskou listinou dňa </w:t>
      </w:r>
      <w:r w:rsidR="00715F39">
        <w:rPr>
          <w:rFonts w:ascii="Calibri" w:eastAsia="Calibri" w:hAnsi="Calibri" w:cs="Times New Roman"/>
          <w:sz w:val="24"/>
          <w:szCs w:val="24"/>
        </w:rPr>
        <w:t>1.9.2021</w:t>
      </w:r>
      <w:r w:rsidRPr="00114A9E">
        <w:rPr>
          <w:rFonts w:ascii="Calibri" w:eastAsia="Calibri" w:hAnsi="Calibri" w:cs="Times New Roman"/>
          <w:sz w:val="24"/>
          <w:szCs w:val="24"/>
        </w:rPr>
        <w:t xml:space="preserve">. Je zapísaná v obchodnom registri Okresného súdu Banská Bystrica, oddiel s.r.o., vložka </w:t>
      </w:r>
      <w:r w:rsidR="00715F39">
        <w:rPr>
          <w:rFonts w:ascii="Calibri" w:eastAsia="Calibri" w:hAnsi="Calibri" w:cs="Times New Roman"/>
          <w:sz w:val="24"/>
          <w:szCs w:val="24"/>
        </w:rPr>
        <w:t>41868/S</w:t>
      </w:r>
      <w:r w:rsidRPr="00114A9E">
        <w:rPr>
          <w:rFonts w:ascii="Calibri" w:eastAsia="Calibri" w:hAnsi="Calibri" w:cs="Times New Roman"/>
          <w:sz w:val="24"/>
          <w:szCs w:val="24"/>
        </w:rPr>
        <w:t xml:space="preserve">. Deň zápisu </w:t>
      </w:r>
      <w:r w:rsidR="00715F39">
        <w:rPr>
          <w:rFonts w:ascii="Calibri" w:eastAsia="Calibri" w:hAnsi="Calibri" w:cs="Times New Roman"/>
          <w:sz w:val="24"/>
          <w:szCs w:val="24"/>
        </w:rPr>
        <w:t>1.9.2021</w:t>
      </w:r>
      <w:r w:rsidRPr="00114A9E">
        <w:rPr>
          <w:rFonts w:ascii="Calibri" w:eastAsia="Calibri" w:hAnsi="Calibri" w:cs="Times New Roman"/>
          <w:sz w:val="24"/>
          <w:szCs w:val="24"/>
        </w:rPr>
        <w:t>.</w:t>
      </w:r>
    </w:p>
    <w:p w14:paraId="4197C17C" w14:textId="77777777" w:rsidR="00114A9E" w:rsidRPr="00114A9E" w:rsidRDefault="00114A9E" w:rsidP="00114A9E">
      <w:pPr>
        <w:numPr>
          <w:ilvl w:val="0"/>
          <w:numId w:val="2"/>
        </w:numPr>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 xml:space="preserve">Hlavné činnosti spoločnosti sú: </w:t>
      </w:r>
    </w:p>
    <w:p w14:paraId="75E692DA" w14:textId="100AD560" w:rsidR="00114A9E" w:rsidRPr="00114A9E" w:rsidRDefault="00715F39" w:rsidP="00114A9E">
      <w:pPr>
        <w:spacing w:after="200" w:line="276" w:lineRule="auto"/>
        <w:ind w:left="1080"/>
        <w:contextualSpacing/>
        <w:rPr>
          <w:rFonts w:ascii="Calibri" w:eastAsia="Calibri" w:hAnsi="Calibri" w:cs="Times New Roman"/>
          <w:sz w:val="24"/>
          <w:szCs w:val="24"/>
        </w:rPr>
      </w:pPr>
      <w:r>
        <w:rPr>
          <w:rFonts w:ascii="Calibri" w:eastAsia="Calibri" w:hAnsi="Calibri" w:cs="Times New Roman"/>
          <w:sz w:val="24"/>
          <w:szCs w:val="24"/>
        </w:rPr>
        <w:t>Vedenie účtovníctva</w:t>
      </w:r>
      <w:r w:rsidR="00A9444E">
        <w:rPr>
          <w:rFonts w:ascii="Calibri" w:eastAsia="Calibri" w:hAnsi="Calibri" w:cs="Times New Roman"/>
          <w:sz w:val="24"/>
          <w:szCs w:val="24"/>
        </w:rPr>
        <w:t>, stavebné práce</w:t>
      </w:r>
    </w:p>
    <w:p w14:paraId="299CA91C" w14:textId="55B0303D" w:rsidR="00114A9E" w:rsidRPr="00114A9E" w:rsidRDefault="00114A9E" w:rsidP="00114A9E">
      <w:pPr>
        <w:numPr>
          <w:ilvl w:val="0"/>
          <w:numId w:val="2"/>
        </w:numPr>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 xml:space="preserve">K dátumu zostavenia účtovnej uzávierky mala spoločnosť </w:t>
      </w:r>
      <w:r w:rsidR="00715F39">
        <w:rPr>
          <w:rFonts w:ascii="Calibri" w:eastAsia="Calibri" w:hAnsi="Calibri" w:cs="Times New Roman"/>
          <w:sz w:val="24"/>
          <w:szCs w:val="24"/>
        </w:rPr>
        <w:t>0</w:t>
      </w:r>
      <w:r w:rsidRPr="00114A9E">
        <w:rPr>
          <w:rFonts w:ascii="Calibri" w:eastAsia="Calibri" w:hAnsi="Calibri" w:cs="Times New Roman"/>
          <w:sz w:val="24"/>
          <w:szCs w:val="24"/>
        </w:rPr>
        <w:t xml:space="preserve"> zamestnancov, </w:t>
      </w:r>
      <w:r w:rsidR="00A9444E">
        <w:rPr>
          <w:rFonts w:ascii="Calibri" w:eastAsia="Calibri" w:hAnsi="Calibri" w:cs="Times New Roman"/>
          <w:sz w:val="24"/>
          <w:szCs w:val="24"/>
        </w:rPr>
        <w:t>1</w:t>
      </w:r>
      <w:r w:rsidR="0096795B">
        <w:rPr>
          <w:rFonts w:ascii="Calibri" w:eastAsia="Calibri" w:hAnsi="Calibri" w:cs="Times New Roman"/>
          <w:sz w:val="24"/>
          <w:szCs w:val="24"/>
        </w:rPr>
        <w:t xml:space="preserve"> </w:t>
      </w:r>
      <w:r w:rsidR="00715F39">
        <w:rPr>
          <w:rFonts w:ascii="Calibri" w:eastAsia="Calibri" w:hAnsi="Calibri" w:cs="Times New Roman"/>
          <w:sz w:val="24"/>
          <w:szCs w:val="24"/>
        </w:rPr>
        <w:t>spoloční</w:t>
      </w:r>
      <w:r w:rsidR="00A9444E">
        <w:rPr>
          <w:rFonts w:ascii="Calibri" w:eastAsia="Calibri" w:hAnsi="Calibri" w:cs="Times New Roman"/>
          <w:sz w:val="24"/>
          <w:szCs w:val="24"/>
        </w:rPr>
        <w:t>ka.</w:t>
      </w:r>
    </w:p>
    <w:p w14:paraId="7A107102" w14:textId="77777777" w:rsidR="00114A9E" w:rsidRPr="00114A9E" w:rsidRDefault="00114A9E" w:rsidP="00114A9E">
      <w:pPr>
        <w:numPr>
          <w:ilvl w:val="0"/>
          <w:numId w:val="2"/>
        </w:numPr>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Obchodná spoločnosť nie je obmedzene ručiacim spoločníkom v žiadnej spoločnosti.</w:t>
      </w:r>
    </w:p>
    <w:p w14:paraId="63CC51C3" w14:textId="0DC60526" w:rsidR="00114A9E" w:rsidRPr="00114A9E" w:rsidRDefault="00114A9E" w:rsidP="00114A9E">
      <w:pPr>
        <w:numPr>
          <w:ilvl w:val="0"/>
          <w:numId w:val="2"/>
        </w:numPr>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Účtovná uzávier</w:t>
      </w:r>
      <w:r w:rsidR="00F90D50">
        <w:rPr>
          <w:rFonts w:ascii="Calibri" w:eastAsia="Calibri" w:hAnsi="Calibri" w:cs="Times New Roman"/>
          <w:sz w:val="24"/>
          <w:szCs w:val="24"/>
        </w:rPr>
        <w:t>ka spoločnosti bola k 31.12.20</w:t>
      </w:r>
      <w:r w:rsidR="00715F39">
        <w:rPr>
          <w:rFonts w:ascii="Calibri" w:eastAsia="Calibri" w:hAnsi="Calibri" w:cs="Times New Roman"/>
          <w:sz w:val="24"/>
          <w:szCs w:val="24"/>
        </w:rPr>
        <w:t>2</w:t>
      </w:r>
      <w:r w:rsidR="004946A6">
        <w:rPr>
          <w:rFonts w:ascii="Calibri" w:eastAsia="Calibri" w:hAnsi="Calibri" w:cs="Times New Roman"/>
          <w:sz w:val="24"/>
          <w:szCs w:val="24"/>
        </w:rPr>
        <w:t>3</w:t>
      </w:r>
      <w:r w:rsidRPr="00114A9E">
        <w:rPr>
          <w:rFonts w:ascii="Calibri" w:eastAsia="Calibri" w:hAnsi="Calibri" w:cs="Times New Roman"/>
          <w:sz w:val="24"/>
          <w:szCs w:val="24"/>
        </w:rPr>
        <w:t xml:space="preserve"> zostavená ako riadna účtovná uzávierka podľa § 17ods. 6 zákona č. 431/2002 Z.z. o účtovníctve v znení neskorších predpisov.</w:t>
      </w:r>
    </w:p>
    <w:p w14:paraId="30697F61" w14:textId="06134EC5" w:rsidR="00114A9E" w:rsidRPr="00114A9E" w:rsidRDefault="00114A9E" w:rsidP="00114A9E">
      <w:pPr>
        <w:numPr>
          <w:ilvl w:val="0"/>
          <w:numId w:val="2"/>
        </w:numPr>
        <w:spacing w:after="200" w:line="276" w:lineRule="auto"/>
        <w:contextualSpacing/>
        <w:rPr>
          <w:rFonts w:ascii="Calibri" w:eastAsia="Calibri" w:hAnsi="Calibri" w:cs="Times New Roman"/>
          <w:sz w:val="24"/>
          <w:szCs w:val="24"/>
        </w:rPr>
      </w:pPr>
    </w:p>
    <w:p w14:paraId="5A488866" w14:textId="77777777" w:rsidR="00114A9E" w:rsidRPr="00114A9E" w:rsidRDefault="00114A9E" w:rsidP="00114A9E">
      <w:pPr>
        <w:spacing w:after="200" w:line="276" w:lineRule="auto"/>
        <w:rPr>
          <w:rFonts w:ascii="Calibri" w:eastAsia="Calibri" w:hAnsi="Calibri" w:cs="Times New Roman"/>
          <w:sz w:val="24"/>
          <w:szCs w:val="24"/>
        </w:rPr>
      </w:pPr>
    </w:p>
    <w:p w14:paraId="2BA59AEE" w14:textId="77777777" w:rsidR="00114A9E" w:rsidRPr="00114A9E" w:rsidRDefault="00114A9E" w:rsidP="00114A9E">
      <w:pPr>
        <w:numPr>
          <w:ilvl w:val="0"/>
          <w:numId w:val="3"/>
        </w:numPr>
        <w:spacing w:after="200" w:line="276" w:lineRule="auto"/>
        <w:contextualSpacing/>
        <w:rPr>
          <w:rFonts w:ascii="Calibri" w:eastAsia="Calibri" w:hAnsi="Calibri" w:cs="Times New Roman"/>
          <w:b/>
        </w:rPr>
      </w:pPr>
      <w:r w:rsidRPr="00114A9E">
        <w:rPr>
          <w:rFonts w:ascii="Calibri" w:eastAsia="Calibri" w:hAnsi="Calibri" w:cs="Times New Roman"/>
          <w:b/>
          <w:sz w:val="24"/>
          <w:szCs w:val="24"/>
        </w:rPr>
        <w:t>Informácie o počte zamestnancov</w:t>
      </w:r>
    </w:p>
    <w:tbl>
      <w:tblPr>
        <w:tblStyle w:val="Mriekatabuky1"/>
        <w:tblW w:w="9782" w:type="dxa"/>
        <w:tblInd w:w="-318" w:type="dxa"/>
        <w:tblLook w:val="04A0" w:firstRow="1" w:lastRow="0" w:firstColumn="1" w:lastColumn="0" w:noHBand="0" w:noVBand="1"/>
      </w:tblPr>
      <w:tblGrid>
        <w:gridCol w:w="3085"/>
        <w:gridCol w:w="2778"/>
        <w:gridCol w:w="3919"/>
      </w:tblGrid>
      <w:tr w:rsidR="00114A9E" w:rsidRPr="00114A9E" w14:paraId="782C2988" w14:textId="77777777" w:rsidTr="002D2998">
        <w:tc>
          <w:tcPr>
            <w:tcW w:w="3085" w:type="dxa"/>
          </w:tcPr>
          <w:p w14:paraId="0B356931" w14:textId="77777777" w:rsidR="00114A9E" w:rsidRPr="00114A9E" w:rsidRDefault="00114A9E" w:rsidP="00114A9E">
            <w:pPr>
              <w:rPr>
                <w:rFonts w:ascii="Calibri" w:eastAsia="Calibri" w:hAnsi="Calibri" w:cs="Times New Roman"/>
                <w:b/>
                <w:sz w:val="28"/>
                <w:szCs w:val="28"/>
              </w:rPr>
            </w:pPr>
            <w:r w:rsidRPr="00114A9E">
              <w:rPr>
                <w:rFonts w:ascii="Calibri" w:eastAsia="Calibri" w:hAnsi="Calibri" w:cs="Times New Roman"/>
                <w:b/>
                <w:sz w:val="28"/>
                <w:szCs w:val="28"/>
              </w:rPr>
              <w:t xml:space="preserve">      Názov položky</w:t>
            </w:r>
          </w:p>
          <w:p w14:paraId="1B113047" w14:textId="77777777" w:rsidR="00114A9E" w:rsidRPr="00114A9E" w:rsidRDefault="00114A9E" w:rsidP="00114A9E">
            <w:pPr>
              <w:rPr>
                <w:rFonts w:ascii="Calibri" w:eastAsia="Calibri" w:hAnsi="Calibri" w:cs="Times New Roman"/>
                <w:b/>
                <w:sz w:val="28"/>
                <w:szCs w:val="28"/>
              </w:rPr>
            </w:pPr>
          </w:p>
        </w:tc>
        <w:tc>
          <w:tcPr>
            <w:tcW w:w="2778" w:type="dxa"/>
          </w:tcPr>
          <w:p w14:paraId="7D75E576" w14:textId="77777777" w:rsidR="00114A9E" w:rsidRPr="00114A9E" w:rsidRDefault="00114A9E" w:rsidP="00114A9E">
            <w:pPr>
              <w:rPr>
                <w:rFonts w:ascii="Calibri" w:eastAsia="Calibri" w:hAnsi="Calibri" w:cs="Times New Roman"/>
                <w:b/>
                <w:sz w:val="28"/>
                <w:szCs w:val="28"/>
              </w:rPr>
            </w:pPr>
            <w:r w:rsidRPr="00114A9E">
              <w:rPr>
                <w:rFonts w:ascii="Calibri" w:eastAsia="Calibri" w:hAnsi="Calibri" w:cs="Times New Roman"/>
                <w:b/>
                <w:sz w:val="28"/>
                <w:szCs w:val="28"/>
              </w:rPr>
              <w:t>Bežné účtovné obdobie</w:t>
            </w:r>
          </w:p>
        </w:tc>
        <w:tc>
          <w:tcPr>
            <w:tcW w:w="3919" w:type="dxa"/>
          </w:tcPr>
          <w:p w14:paraId="2EF0DF9F" w14:textId="77777777" w:rsidR="00114A9E" w:rsidRPr="00114A9E" w:rsidRDefault="00114A9E" w:rsidP="00114A9E">
            <w:pPr>
              <w:rPr>
                <w:rFonts w:ascii="Calibri" w:eastAsia="Calibri" w:hAnsi="Calibri" w:cs="Times New Roman"/>
                <w:b/>
                <w:sz w:val="28"/>
                <w:szCs w:val="28"/>
              </w:rPr>
            </w:pPr>
            <w:r w:rsidRPr="00114A9E">
              <w:rPr>
                <w:rFonts w:ascii="Calibri" w:eastAsia="Calibri" w:hAnsi="Calibri" w:cs="Times New Roman"/>
                <w:b/>
                <w:sz w:val="28"/>
                <w:szCs w:val="28"/>
              </w:rPr>
              <w:t xml:space="preserve">Bezprostredne predchádzajúce </w:t>
            </w:r>
          </w:p>
          <w:p w14:paraId="69BFA50F" w14:textId="77777777" w:rsidR="00114A9E" w:rsidRPr="00114A9E" w:rsidRDefault="00114A9E" w:rsidP="00114A9E">
            <w:pPr>
              <w:rPr>
                <w:rFonts w:ascii="Calibri" w:eastAsia="Calibri" w:hAnsi="Calibri" w:cs="Times New Roman"/>
                <w:b/>
                <w:sz w:val="28"/>
                <w:szCs w:val="28"/>
              </w:rPr>
            </w:pPr>
            <w:r w:rsidRPr="00114A9E">
              <w:rPr>
                <w:rFonts w:ascii="Calibri" w:eastAsia="Calibri" w:hAnsi="Calibri" w:cs="Times New Roman"/>
                <w:b/>
                <w:sz w:val="28"/>
                <w:szCs w:val="28"/>
              </w:rPr>
              <w:t xml:space="preserve">            účtovné obdobie</w:t>
            </w:r>
          </w:p>
        </w:tc>
      </w:tr>
      <w:tr w:rsidR="00114A9E" w:rsidRPr="00114A9E" w14:paraId="0CF1B607" w14:textId="77777777" w:rsidTr="002D2998">
        <w:tc>
          <w:tcPr>
            <w:tcW w:w="3085" w:type="dxa"/>
          </w:tcPr>
          <w:p w14:paraId="514234A0" w14:textId="77777777" w:rsidR="00114A9E" w:rsidRPr="00114A9E" w:rsidRDefault="00114A9E" w:rsidP="00114A9E">
            <w:pPr>
              <w:rPr>
                <w:rFonts w:ascii="Calibri" w:eastAsia="Calibri" w:hAnsi="Calibri" w:cs="Times New Roman"/>
                <w:sz w:val="24"/>
                <w:szCs w:val="24"/>
              </w:rPr>
            </w:pPr>
            <w:r w:rsidRPr="00114A9E">
              <w:rPr>
                <w:rFonts w:ascii="Calibri" w:eastAsia="Calibri" w:hAnsi="Calibri" w:cs="Times New Roman"/>
                <w:sz w:val="24"/>
                <w:szCs w:val="24"/>
              </w:rPr>
              <w:t xml:space="preserve">Priemerný prepočítaný počet zamestnancov </w:t>
            </w:r>
          </w:p>
        </w:tc>
        <w:tc>
          <w:tcPr>
            <w:tcW w:w="2778" w:type="dxa"/>
          </w:tcPr>
          <w:p w14:paraId="73E9BF74" w14:textId="75FE0623" w:rsidR="00114A9E" w:rsidRPr="00114A9E" w:rsidRDefault="00715F39" w:rsidP="00114A9E">
            <w:pPr>
              <w:rPr>
                <w:rFonts w:ascii="Calibri" w:eastAsia="Calibri" w:hAnsi="Calibri" w:cs="Times New Roman"/>
                <w:b/>
              </w:rPr>
            </w:pPr>
            <w:r>
              <w:rPr>
                <w:rFonts w:ascii="Calibri" w:eastAsia="Calibri" w:hAnsi="Calibri" w:cs="Times New Roman"/>
                <w:b/>
              </w:rPr>
              <w:t>0</w:t>
            </w:r>
          </w:p>
        </w:tc>
        <w:tc>
          <w:tcPr>
            <w:tcW w:w="3919" w:type="dxa"/>
          </w:tcPr>
          <w:p w14:paraId="6962C378" w14:textId="3A55A9B0" w:rsidR="00114A9E" w:rsidRPr="00114A9E" w:rsidRDefault="00715F39" w:rsidP="00114A9E">
            <w:pPr>
              <w:rPr>
                <w:rFonts w:ascii="Calibri" w:eastAsia="Calibri" w:hAnsi="Calibri" w:cs="Times New Roman"/>
                <w:b/>
              </w:rPr>
            </w:pPr>
            <w:r>
              <w:rPr>
                <w:rFonts w:ascii="Calibri" w:eastAsia="Calibri" w:hAnsi="Calibri" w:cs="Times New Roman"/>
                <w:b/>
              </w:rPr>
              <w:t>0</w:t>
            </w:r>
          </w:p>
        </w:tc>
      </w:tr>
      <w:tr w:rsidR="00114A9E" w:rsidRPr="00114A9E" w14:paraId="6BCE6D8C" w14:textId="77777777" w:rsidTr="002D2998">
        <w:tc>
          <w:tcPr>
            <w:tcW w:w="3085" w:type="dxa"/>
          </w:tcPr>
          <w:p w14:paraId="2FE0DF72" w14:textId="77777777" w:rsidR="00114A9E" w:rsidRPr="00114A9E" w:rsidRDefault="00114A9E" w:rsidP="00114A9E">
            <w:pPr>
              <w:rPr>
                <w:rFonts w:ascii="Calibri" w:eastAsia="Calibri" w:hAnsi="Calibri" w:cs="Times New Roman"/>
                <w:sz w:val="24"/>
                <w:szCs w:val="24"/>
              </w:rPr>
            </w:pPr>
            <w:r w:rsidRPr="00114A9E">
              <w:rPr>
                <w:rFonts w:ascii="Calibri" w:eastAsia="Calibri" w:hAnsi="Calibri" w:cs="Times New Roman"/>
                <w:sz w:val="24"/>
                <w:szCs w:val="24"/>
              </w:rPr>
              <w:t>Stav zamestnancov ku dňu, ku ktorému sa zostavuje účtovná závierka , z toho:</w:t>
            </w:r>
          </w:p>
        </w:tc>
        <w:tc>
          <w:tcPr>
            <w:tcW w:w="2778" w:type="dxa"/>
          </w:tcPr>
          <w:p w14:paraId="60E8D508" w14:textId="503595E9" w:rsidR="00114A9E" w:rsidRPr="00114A9E" w:rsidRDefault="00715F39" w:rsidP="00114A9E">
            <w:pPr>
              <w:rPr>
                <w:rFonts w:ascii="Calibri" w:eastAsia="Calibri" w:hAnsi="Calibri" w:cs="Times New Roman"/>
                <w:b/>
              </w:rPr>
            </w:pPr>
            <w:r>
              <w:rPr>
                <w:rFonts w:ascii="Calibri" w:eastAsia="Calibri" w:hAnsi="Calibri" w:cs="Times New Roman"/>
                <w:b/>
              </w:rPr>
              <w:t>0</w:t>
            </w:r>
          </w:p>
        </w:tc>
        <w:tc>
          <w:tcPr>
            <w:tcW w:w="3919" w:type="dxa"/>
          </w:tcPr>
          <w:p w14:paraId="5F416BB8" w14:textId="6B127F0B" w:rsidR="00114A9E" w:rsidRPr="00114A9E" w:rsidRDefault="00715F39" w:rsidP="00114A9E">
            <w:pPr>
              <w:rPr>
                <w:rFonts w:ascii="Calibri" w:eastAsia="Calibri" w:hAnsi="Calibri" w:cs="Times New Roman"/>
                <w:b/>
              </w:rPr>
            </w:pPr>
            <w:r>
              <w:rPr>
                <w:rFonts w:ascii="Calibri" w:eastAsia="Calibri" w:hAnsi="Calibri" w:cs="Times New Roman"/>
                <w:b/>
              </w:rPr>
              <w:t>0</w:t>
            </w:r>
          </w:p>
        </w:tc>
      </w:tr>
      <w:tr w:rsidR="00114A9E" w:rsidRPr="00114A9E" w14:paraId="6A1C9822" w14:textId="77777777" w:rsidTr="002D2998">
        <w:tc>
          <w:tcPr>
            <w:tcW w:w="3085" w:type="dxa"/>
          </w:tcPr>
          <w:p w14:paraId="694D8FCA" w14:textId="77777777" w:rsidR="00114A9E" w:rsidRPr="00114A9E" w:rsidRDefault="00114A9E" w:rsidP="00114A9E">
            <w:pPr>
              <w:rPr>
                <w:rFonts w:ascii="Calibri" w:eastAsia="Calibri" w:hAnsi="Calibri" w:cs="Times New Roman"/>
              </w:rPr>
            </w:pPr>
            <w:r w:rsidRPr="00114A9E">
              <w:rPr>
                <w:rFonts w:ascii="Calibri" w:eastAsia="Calibri" w:hAnsi="Calibri" w:cs="Times New Roman"/>
              </w:rPr>
              <w:t>Počet vedúcich zamestnancov</w:t>
            </w:r>
          </w:p>
        </w:tc>
        <w:tc>
          <w:tcPr>
            <w:tcW w:w="2778" w:type="dxa"/>
          </w:tcPr>
          <w:p w14:paraId="5F922301" w14:textId="4CBDB069" w:rsidR="00114A9E" w:rsidRPr="00114A9E" w:rsidRDefault="00A9444E" w:rsidP="00114A9E">
            <w:pPr>
              <w:rPr>
                <w:rFonts w:ascii="Calibri" w:eastAsia="Calibri" w:hAnsi="Calibri" w:cs="Times New Roman"/>
                <w:b/>
              </w:rPr>
            </w:pPr>
            <w:r>
              <w:rPr>
                <w:rFonts w:ascii="Calibri" w:eastAsia="Calibri" w:hAnsi="Calibri" w:cs="Times New Roman"/>
                <w:b/>
              </w:rPr>
              <w:t>1</w:t>
            </w:r>
          </w:p>
        </w:tc>
        <w:tc>
          <w:tcPr>
            <w:tcW w:w="3919" w:type="dxa"/>
          </w:tcPr>
          <w:p w14:paraId="0455C96A" w14:textId="6199F29D" w:rsidR="00114A9E" w:rsidRPr="00114A9E" w:rsidRDefault="00715F39" w:rsidP="00114A9E">
            <w:pPr>
              <w:rPr>
                <w:rFonts w:ascii="Calibri" w:eastAsia="Calibri" w:hAnsi="Calibri" w:cs="Times New Roman"/>
                <w:b/>
              </w:rPr>
            </w:pPr>
            <w:r>
              <w:rPr>
                <w:rFonts w:ascii="Calibri" w:eastAsia="Calibri" w:hAnsi="Calibri" w:cs="Times New Roman"/>
                <w:b/>
              </w:rPr>
              <w:t>2</w:t>
            </w:r>
          </w:p>
        </w:tc>
      </w:tr>
    </w:tbl>
    <w:p w14:paraId="66054C22" w14:textId="77777777" w:rsidR="00114A9E" w:rsidRPr="00114A9E" w:rsidRDefault="00114A9E" w:rsidP="00114A9E">
      <w:pPr>
        <w:spacing w:after="200" w:line="276" w:lineRule="auto"/>
        <w:rPr>
          <w:rFonts w:ascii="Calibri" w:eastAsia="Calibri" w:hAnsi="Calibri" w:cs="Times New Roman"/>
          <w:b/>
        </w:rPr>
      </w:pPr>
    </w:p>
    <w:p w14:paraId="744690E3" w14:textId="77777777" w:rsidR="00114A9E" w:rsidRPr="00114A9E" w:rsidRDefault="00114A9E" w:rsidP="00114A9E">
      <w:pPr>
        <w:spacing w:after="200" w:line="276" w:lineRule="auto"/>
        <w:rPr>
          <w:rFonts w:ascii="Calibri" w:eastAsia="Calibri" w:hAnsi="Calibri" w:cs="Times New Roman"/>
          <w:b/>
        </w:rPr>
      </w:pPr>
    </w:p>
    <w:p w14:paraId="52313AD1" w14:textId="77777777" w:rsidR="00114A9E" w:rsidRPr="00114A9E" w:rsidRDefault="00114A9E" w:rsidP="00114A9E">
      <w:pPr>
        <w:spacing w:after="200" w:line="276" w:lineRule="auto"/>
        <w:rPr>
          <w:rFonts w:ascii="Calibri" w:eastAsia="Calibri" w:hAnsi="Calibri" w:cs="Times New Roman"/>
          <w:b/>
        </w:rPr>
      </w:pPr>
      <w:r w:rsidRPr="00114A9E">
        <w:rPr>
          <w:rFonts w:ascii="Calibri" w:eastAsia="Calibri" w:hAnsi="Calibri" w:cs="Times New Roman"/>
          <w:b/>
        </w:rPr>
        <w:t xml:space="preserve">                 Informácie o konsolidovanom celku :</w:t>
      </w:r>
    </w:p>
    <w:p w14:paraId="45AA428F" w14:textId="77777777" w:rsidR="00114A9E" w:rsidRPr="00114A9E" w:rsidRDefault="00114A9E" w:rsidP="00114A9E">
      <w:pPr>
        <w:tabs>
          <w:tab w:val="left" w:pos="1365"/>
        </w:tabs>
        <w:spacing w:after="200" w:line="276" w:lineRule="auto"/>
        <w:rPr>
          <w:rFonts w:ascii="Calibri" w:eastAsia="Calibri" w:hAnsi="Calibri" w:cs="Times New Roman"/>
        </w:rPr>
      </w:pPr>
      <w:r w:rsidRPr="00114A9E">
        <w:rPr>
          <w:rFonts w:ascii="Calibri" w:eastAsia="Calibri" w:hAnsi="Calibri" w:cs="Times New Roman"/>
          <w:b/>
        </w:rPr>
        <w:t xml:space="preserve">                 </w:t>
      </w:r>
      <w:r w:rsidRPr="00114A9E">
        <w:rPr>
          <w:rFonts w:ascii="Calibri" w:eastAsia="Calibri" w:hAnsi="Calibri" w:cs="Times New Roman"/>
        </w:rPr>
        <w:t>Spoločnosť nie je súčasťou konsolidovaného celku.</w:t>
      </w:r>
    </w:p>
    <w:p w14:paraId="2FC85199" w14:textId="77777777" w:rsidR="00114A9E" w:rsidRPr="00114A9E" w:rsidRDefault="00114A9E" w:rsidP="00114A9E">
      <w:pPr>
        <w:tabs>
          <w:tab w:val="left" w:pos="1365"/>
        </w:tabs>
        <w:spacing w:after="200" w:line="276" w:lineRule="auto"/>
        <w:rPr>
          <w:rFonts w:ascii="Calibri" w:eastAsia="Calibri" w:hAnsi="Calibri" w:cs="Times New Roman"/>
        </w:rPr>
      </w:pPr>
    </w:p>
    <w:p w14:paraId="32EF38C5" w14:textId="77777777" w:rsidR="00114A9E" w:rsidRPr="00114A9E" w:rsidRDefault="00114A9E" w:rsidP="00114A9E">
      <w:pPr>
        <w:tabs>
          <w:tab w:val="left" w:pos="1365"/>
        </w:tabs>
        <w:spacing w:after="200" w:line="276" w:lineRule="auto"/>
        <w:rPr>
          <w:rFonts w:ascii="Calibri" w:eastAsia="Calibri" w:hAnsi="Calibri" w:cs="Times New Roman"/>
          <w:b/>
        </w:rPr>
      </w:pPr>
    </w:p>
    <w:p w14:paraId="1E619D68" w14:textId="77777777" w:rsidR="00114A9E" w:rsidRPr="00114A9E" w:rsidRDefault="00114A9E" w:rsidP="00114A9E">
      <w:pPr>
        <w:numPr>
          <w:ilvl w:val="0"/>
          <w:numId w:val="1"/>
        </w:numPr>
        <w:tabs>
          <w:tab w:val="left" w:pos="1365"/>
        </w:tabs>
        <w:spacing w:after="200" w:line="276" w:lineRule="auto"/>
        <w:contextualSpacing/>
        <w:rPr>
          <w:rFonts w:ascii="Calibri" w:eastAsia="Calibri" w:hAnsi="Calibri" w:cs="Times New Roman"/>
          <w:b/>
          <w:sz w:val="28"/>
          <w:szCs w:val="28"/>
        </w:rPr>
      </w:pPr>
      <w:r w:rsidRPr="00114A9E">
        <w:rPr>
          <w:rFonts w:ascii="Calibri" w:eastAsia="Calibri" w:hAnsi="Calibri" w:cs="Times New Roman"/>
          <w:b/>
          <w:sz w:val="28"/>
          <w:szCs w:val="28"/>
        </w:rPr>
        <w:t>Informácie o orgánoch účtovnej jednotky</w:t>
      </w:r>
    </w:p>
    <w:p w14:paraId="21E06F55" w14:textId="77777777" w:rsidR="00114A9E" w:rsidRPr="00114A9E" w:rsidRDefault="00114A9E" w:rsidP="00114A9E">
      <w:pPr>
        <w:tabs>
          <w:tab w:val="left" w:pos="1365"/>
        </w:tabs>
        <w:spacing w:after="200" w:line="276" w:lineRule="auto"/>
        <w:ind w:left="720"/>
        <w:contextualSpacing/>
        <w:rPr>
          <w:rFonts w:ascii="Calibri" w:eastAsia="Calibri" w:hAnsi="Calibri" w:cs="Times New Roman"/>
          <w:b/>
          <w:sz w:val="28"/>
          <w:szCs w:val="28"/>
        </w:rPr>
      </w:pPr>
    </w:p>
    <w:p w14:paraId="3A1BCD78" w14:textId="24259B6A" w:rsidR="00114A9E" w:rsidRPr="00114A9E" w:rsidRDefault="00830C34" w:rsidP="00114A9E">
      <w:pPr>
        <w:tabs>
          <w:tab w:val="left" w:pos="1365"/>
        </w:tabs>
        <w:spacing w:after="200" w:line="276" w:lineRule="auto"/>
        <w:ind w:left="720"/>
        <w:contextualSpacing/>
        <w:rPr>
          <w:rFonts w:ascii="Calibri" w:eastAsia="Calibri" w:hAnsi="Calibri" w:cs="Times New Roman"/>
          <w:sz w:val="24"/>
          <w:szCs w:val="24"/>
        </w:rPr>
      </w:pPr>
      <w:r>
        <w:rPr>
          <w:rFonts w:ascii="Calibri" w:eastAsia="Calibri" w:hAnsi="Calibri" w:cs="Times New Roman"/>
          <w:sz w:val="24"/>
          <w:szCs w:val="24"/>
        </w:rPr>
        <w:t>Konatel</w:t>
      </w:r>
      <w:r w:rsidR="001F5B90">
        <w:rPr>
          <w:rFonts w:ascii="Calibri" w:eastAsia="Calibri" w:hAnsi="Calibri" w:cs="Times New Roman"/>
          <w:sz w:val="24"/>
          <w:szCs w:val="24"/>
        </w:rPr>
        <w:t>ia</w:t>
      </w:r>
      <w:r w:rsidR="00114A9E" w:rsidRPr="00114A9E">
        <w:rPr>
          <w:rFonts w:ascii="Calibri" w:eastAsia="Calibri" w:hAnsi="Calibri" w:cs="Times New Roman"/>
          <w:sz w:val="24"/>
          <w:szCs w:val="24"/>
        </w:rPr>
        <w:t xml:space="preserve">: </w:t>
      </w:r>
      <w:r w:rsidR="00817F84">
        <w:rPr>
          <w:rFonts w:ascii="Calibri" w:eastAsia="Calibri" w:hAnsi="Calibri" w:cs="Times New Roman"/>
          <w:sz w:val="24"/>
          <w:szCs w:val="24"/>
        </w:rPr>
        <w:t xml:space="preserve"> </w:t>
      </w:r>
      <w:r w:rsidR="0063671C">
        <w:rPr>
          <w:rFonts w:ascii="Calibri" w:eastAsia="Calibri" w:hAnsi="Calibri" w:cs="Times New Roman"/>
          <w:sz w:val="24"/>
          <w:szCs w:val="24"/>
        </w:rPr>
        <w:t>Roman Janšo</w:t>
      </w:r>
    </w:p>
    <w:p w14:paraId="57A65A45" w14:textId="253348E5" w:rsidR="00114A9E" w:rsidRPr="00114A9E" w:rsidRDefault="00BA7AAC" w:rsidP="00114A9E">
      <w:pPr>
        <w:tabs>
          <w:tab w:val="left" w:pos="1365"/>
        </w:tabs>
        <w:spacing w:after="200" w:line="276" w:lineRule="auto"/>
        <w:ind w:left="720"/>
        <w:contextualSpacing/>
        <w:rPr>
          <w:rFonts w:ascii="Calibri" w:eastAsia="Calibri" w:hAnsi="Calibri" w:cs="Times New Roman"/>
          <w:sz w:val="24"/>
          <w:szCs w:val="24"/>
        </w:rPr>
      </w:pPr>
      <w:r>
        <w:rPr>
          <w:rFonts w:ascii="Calibri" w:eastAsia="Calibri" w:hAnsi="Calibri" w:cs="Times New Roman"/>
          <w:sz w:val="24"/>
          <w:szCs w:val="24"/>
        </w:rPr>
        <w:lastRenderedPageBreak/>
        <w:t>Konateľom</w:t>
      </w:r>
      <w:r w:rsidR="00F90D50">
        <w:rPr>
          <w:rFonts w:ascii="Calibri" w:eastAsia="Calibri" w:hAnsi="Calibri" w:cs="Times New Roman"/>
          <w:sz w:val="24"/>
          <w:szCs w:val="24"/>
        </w:rPr>
        <w:t xml:space="preserve"> neboli v roku 20</w:t>
      </w:r>
      <w:r w:rsidR="0063671C">
        <w:rPr>
          <w:rFonts w:ascii="Calibri" w:eastAsia="Calibri" w:hAnsi="Calibri" w:cs="Times New Roman"/>
          <w:sz w:val="24"/>
          <w:szCs w:val="24"/>
        </w:rPr>
        <w:t>2</w:t>
      </w:r>
      <w:r w:rsidR="00013FC8">
        <w:rPr>
          <w:rFonts w:ascii="Calibri" w:eastAsia="Calibri" w:hAnsi="Calibri" w:cs="Times New Roman"/>
          <w:sz w:val="24"/>
          <w:szCs w:val="24"/>
        </w:rPr>
        <w:t>3</w:t>
      </w:r>
      <w:r w:rsidR="00114A9E" w:rsidRPr="00114A9E">
        <w:rPr>
          <w:rFonts w:ascii="Calibri" w:eastAsia="Calibri" w:hAnsi="Calibri" w:cs="Times New Roman"/>
          <w:sz w:val="24"/>
          <w:szCs w:val="24"/>
        </w:rPr>
        <w:t xml:space="preserve"> poskytnuté pôžičky, záruky alebo iné formy zabezpečenia, ani finančné prostriedky alebo iné plnenia na súkromné účely.</w:t>
      </w:r>
    </w:p>
    <w:p w14:paraId="23E1F591" w14:textId="73DA472C" w:rsidR="00114A9E" w:rsidRPr="00114A9E" w:rsidRDefault="00013FC8" w:rsidP="00114A9E">
      <w:pPr>
        <w:tabs>
          <w:tab w:val="left" w:pos="1365"/>
        </w:tabs>
        <w:spacing w:after="200" w:line="276" w:lineRule="auto"/>
        <w:ind w:left="720"/>
        <w:contextualSpacing/>
        <w:rPr>
          <w:rFonts w:ascii="Calibri" w:eastAsia="Calibri" w:hAnsi="Calibri" w:cs="Times New Roman"/>
          <w:sz w:val="24"/>
          <w:szCs w:val="24"/>
        </w:rPr>
      </w:pPr>
      <w:r>
        <w:rPr>
          <w:rFonts w:ascii="Calibri" w:eastAsia="Calibri" w:hAnsi="Calibri" w:cs="Times New Roman"/>
          <w:sz w:val="24"/>
          <w:szCs w:val="24"/>
        </w:rPr>
        <w:t>Konateľ</w:t>
      </w:r>
      <w:r w:rsidR="00114A9E" w:rsidRPr="00114A9E">
        <w:rPr>
          <w:rFonts w:ascii="Calibri" w:eastAsia="Calibri" w:hAnsi="Calibri" w:cs="Times New Roman"/>
          <w:sz w:val="24"/>
          <w:szCs w:val="24"/>
        </w:rPr>
        <w:t>:</w:t>
      </w:r>
      <w:r w:rsidR="001F5B90">
        <w:rPr>
          <w:rFonts w:ascii="Calibri" w:eastAsia="Calibri" w:hAnsi="Calibri" w:cs="Times New Roman"/>
          <w:sz w:val="24"/>
          <w:szCs w:val="24"/>
        </w:rPr>
        <w:t xml:space="preserve"> </w:t>
      </w:r>
      <w:r w:rsidR="0063671C">
        <w:rPr>
          <w:rFonts w:ascii="Calibri" w:eastAsia="Calibri" w:hAnsi="Calibri" w:cs="Times New Roman"/>
          <w:sz w:val="24"/>
          <w:szCs w:val="24"/>
        </w:rPr>
        <w:t>Roman Janšo</w:t>
      </w:r>
    </w:p>
    <w:p w14:paraId="2E966FC1" w14:textId="77777777" w:rsidR="00114A9E" w:rsidRPr="00114A9E" w:rsidRDefault="00114A9E" w:rsidP="00114A9E">
      <w:pPr>
        <w:tabs>
          <w:tab w:val="left" w:pos="1365"/>
        </w:tabs>
        <w:spacing w:after="200" w:line="276" w:lineRule="auto"/>
        <w:ind w:left="720"/>
        <w:contextualSpacing/>
        <w:rPr>
          <w:rFonts w:ascii="Calibri" w:eastAsia="Calibri" w:hAnsi="Calibri" w:cs="Times New Roman"/>
          <w:sz w:val="24"/>
          <w:szCs w:val="24"/>
        </w:rPr>
      </w:pPr>
    </w:p>
    <w:p w14:paraId="5C49FBCE" w14:textId="77777777" w:rsidR="00114A9E" w:rsidRPr="00114A9E" w:rsidRDefault="00114A9E" w:rsidP="00114A9E">
      <w:pPr>
        <w:tabs>
          <w:tab w:val="left" w:pos="1365"/>
        </w:tabs>
        <w:spacing w:after="200" w:line="276" w:lineRule="auto"/>
        <w:ind w:left="720"/>
        <w:contextualSpacing/>
        <w:rPr>
          <w:rFonts w:ascii="Calibri" w:eastAsia="Calibri" w:hAnsi="Calibri" w:cs="Times New Roman"/>
          <w:sz w:val="24"/>
          <w:szCs w:val="24"/>
        </w:rPr>
      </w:pPr>
    </w:p>
    <w:p w14:paraId="1D4DEC9F" w14:textId="77777777" w:rsidR="00114A9E" w:rsidRPr="00114A9E" w:rsidRDefault="00114A9E" w:rsidP="00114A9E">
      <w:pPr>
        <w:numPr>
          <w:ilvl w:val="0"/>
          <w:numId w:val="1"/>
        </w:numPr>
        <w:tabs>
          <w:tab w:val="left" w:pos="1365"/>
        </w:tabs>
        <w:spacing w:after="200" w:line="276" w:lineRule="auto"/>
        <w:contextualSpacing/>
        <w:rPr>
          <w:rFonts w:ascii="Calibri" w:eastAsia="Calibri" w:hAnsi="Calibri" w:cs="Times New Roman"/>
          <w:b/>
          <w:sz w:val="28"/>
          <w:szCs w:val="28"/>
        </w:rPr>
      </w:pPr>
      <w:r w:rsidRPr="00114A9E">
        <w:rPr>
          <w:rFonts w:ascii="Calibri" w:eastAsia="Calibri" w:hAnsi="Calibri" w:cs="Times New Roman"/>
          <w:b/>
          <w:sz w:val="28"/>
          <w:szCs w:val="28"/>
        </w:rPr>
        <w:t xml:space="preserve">Informácie o použitých účtovných zásadách a účtovných metódach :  </w:t>
      </w:r>
    </w:p>
    <w:p w14:paraId="517B60FC"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sz w:val="24"/>
          <w:szCs w:val="24"/>
        </w:rPr>
      </w:pPr>
      <w:r w:rsidRPr="00114A9E">
        <w:rPr>
          <w:rFonts w:ascii="Calibri" w:eastAsia="Calibri" w:hAnsi="Calibri" w:cs="Times New Roman"/>
          <w:sz w:val="24"/>
          <w:szCs w:val="24"/>
        </w:rPr>
        <w:t>Základné účtovné metódy použité pri zostavovaní tejto individuálnej účtovnej závierky sú opísané nižšie . Tieto metódy sa uplatňujú konzistentne počas všetkých účtovných období, ak nie je uvedené inak.</w:t>
      </w:r>
    </w:p>
    <w:p w14:paraId="0544797E"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sz w:val="24"/>
          <w:szCs w:val="24"/>
        </w:rPr>
      </w:pPr>
      <w:r w:rsidRPr="00114A9E">
        <w:rPr>
          <w:rFonts w:ascii="Calibri" w:eastAsia="Calibri" w:hAnsi="Calibri" w:cs="Times New Roman"/>
          <w:sz w:val="24"/>
          <w:szCs w:val="24"/>
        </w:rPr>
        <w:t>Spoločnosť zostavila účtovnú závierku za predpokladu nepretržitého pokračovania vo svojej činnosti.</w:t>
      </w:r>
    </w:p>
    <w:p w14:paraId="2EF5975D"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sz w:val="24"/>
          <w:szCs w:val="24"/>
        </w:rPr>
      </w:pPr>
    </w:p>
    <w:p w14:paraId="1EBC944B"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Spôsob oceňovania jednotlivých zložiek majetku a záväzkov :</w:t>
      </w:r>
    </w:p>
    <w:p w14:paraId="4391BBFD"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b/>
          <w:sz w:val="24"/>
          <w:szCs w:val="24"/>
        </w:rPr>
      </w:pPr>
      <w:r w:rsidRPr="00114A9E">
        <w:rPr>
          <w:rFonts w:ascii="Calibri" w:eastAsia="Calibri" w:hAnsi="Calibri" w:cs="Times New Roman"/>
          <w:b/>
          <w:sz w:val="24"/>
          <w:szCs w:val="24"/>
        </w:rPr>
        <w:t>Dlhodobý nehmotný majetok</w:t>
      </w:r>
    </w:p>
    <w:p w14:paraId="48E5C256" w14:textId="77777777" w:rsidR="00114A9E" w:rsidRPr="00114A9E" w:rsidRDefault="00114A9E" w:rsidP="00114A9E">
      <w:pPr>
        <w:numPr>
          <w:ilvl w:val="0"/>
          <w:numId w:val="4"/>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Dlhodobý nehmotný majetok nakupovaný sa oceňuje obstarávacou cenou, ktorá zahŕňa cenu obstarania a náklady súvisiace s obstaraním ( clo, prepravu, montáž, poistné a pod.) Súčasťou obstarávacej ceny dlhodobého nehmotného majetku nie sú úroky z úverov súvisiacich s obstaraním majetku, ktoré vznikli do momentu zaradenia majetku do užívania.</w:t>
      </w:r>
    </w:p>
    <w:p w14:paraId="315D2686" w14:textId="77777777" w:rsidR="00114A9E" w:rsidRPr="00114A9E" w:rsidRDefault="00114A9E" w:rsidP="00114A9E">
      <w:pPr>
        <w:numPr>
          <w:ilvl w:val="0"/>
          <w:numId w:val="4"/>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Dlhodobý nehmotný majetok vytvorený vlastnou činnosťou sa oceňuje vlastnými nákladmi. Vlastnými nákladmi sú všetky priame náklady vynaložené na výrobu alebo na inú činnosť a nepriame náklady, ktoré sa vzťahujú na výrobu a činnosť.</w:t>
      </w:r>
    </w:p>
    <w:p w14:paraId="5D9BAEE1" w14:textId="77777777" w:rsidR="00114A9E" w:rsidRPr="00114A9E" w:rsidRDefault="00114A9E" w:rsidP="00114A9E">
      <w:pPr>
        <w:tabs>
          <w:tab w:val="left" w:pos="1365"/>
        </w:tabs>
        <w:spacing w:after="200" w:line="276" w:lineRule="auto"/>
        <w:ind w:left="644"/>
        <w:rPr>
          <w:rFonts w:ascii="Calibri" w:eastAsia="Calibri" w:hAnsi="Calibri" w:cs="Times New Roman"/>
          <w:sz w:val="24"/>
          <w:szCs w:val="24"/>
        </w:rPr>
      </w:pPr>
      <w:r w:rsidRPr="00114A9E">
        <w:rPr>
          <w:rFonts w:ascii="Calibri" w:eastAsia="Calibri" w:hAnsi="Calibri" w:cs="Times New Roman"/>
          <w:b/>
          <w:sz w:val="24"/>
          <w:szCs w:val="24"/>
        </w:rPr>
        <w:t>Dlhodobý hmotný majetok</w:t>
      </w:r>
    </w:p>
    <w:p w14:paraId="3890E387" w14:textId="77777777" w:rsidR="00114A9E" w:rsidRPr="00114A9E" w:rsidRDefault="00114A9E" w:rsidP="00114A9E">
      <w:pPr>
        <w:numPr>
          <w:ilvl w:val="0"/>
          <w:numId w:val="5"/>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Dlhodobý hmotný majetok nakupovaný sa oceňuje obstarávacou cenou, ktorá zahŕňa cenu obstarania a náklady súvisiace s obstaraním (clo, prepravu, montáž, poistné a pod.) Súčasťou obstarávacej ceny dlhodobého hmotného majetku nie sú úroku z úverov súvisiacich s obstaraním majetku, ktoré vznikli do momentu zaradenia majetku do užívania.</w:t>
      </w:r>
    </w:p>
    <w:p w14:paraId="29757A33" w14:textId="77777777" w:rsidR="00114A9E" w:rsidRPr="00114A9E" w:rsidRDefault="00114A9E" w:rsidP="00114A9E">
      <w:pPr>
        <w:numPr>
          <w:ilvl w:val="0"/>
          <w:numId w:val="5"/>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Do dlhodobého hmotného majetku patrí majetok, ku ktorému má účtovná jednotka vlastnícke právo. Súčasťou dlhodobého hmot. majetku je aj majetok, ktorý spoločnosť obstarala na základe zmluvy o finančnom prenájme.</w:t>
      </w:r>
    </w:p>
    <w:p w14:paraId="1ADDCD4C" w14:textId="77777777" w:rsidR="00114A9E" w:rsidRPr="00114A9E" w:rsidRDefault="00114A9E" w:rsidP="00114A9E">
      <w:pPr>
        <w:numPr>
          <w:ilvl w:val="0"/>
          <w:numId w:val="5"/>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Odpisy dlhodobého hmot. majetku sú stanovené podľa predpokladanej doby jeho používania a predpokladaného priebehu jeho opotrebenia. Pozemky sa neodpisujú.</w:t>
      </w:r>
    </w:p>
    <w:p w14:paraId="4A199D1F" w14:textId="77777777" w:rsidR="00114A9E" w:rsidRPr="00114A9E" w:rsidRDefault="00114A9E" w:rsidP="00114A9E">
      <w:pPr>
        <w:numPr>
          <w:ilvl w:val="0"/>
          <w:numId w:val="5"/>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Vypracuje sa odpisový plán pre jednotlivé druhy majetku so stanovenou metódou odpisovania a ročnou odpisovou sadzbou.</w:t>
      </w:r>
    </w:p>
    <w:p w14:paraId="53AD9729" w14:textId="77777777" w:rsidR="00114A9E" w:rsidRPr="00114A9E" w:rsidRDefault="00114A9E" w:rsidP="00114A9E">
      <w:pPr>
        <w:numPr>
          <w:ilvl w:val="0"/>
          <w:numId w:val="5"/>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Technické zhodnotenie dlhodobého hmotného majetku nie je technickým zhodnotením, ak neprevyšuje úhrnne za účtovné obdobie sumu 1700 eur.</w:t>
      </w:r>
    </w:p>
    <w:p w14:paraId="458CE51F" w14:textId="77777777" w:rsidR="00114A9E" w:rsidRPr="00114A9E" w:rsidRDefault="00114A9E" w:rsidP="00114A9E">
      <w:pPr>
        <w:tabs>
          <w:tab w:val="left" w:pos="1365"/>
        </w:tabs>
        <w:spacing w:after="200" w:line="276" w:lineRule="auto"/>
        <w:ind w:left="1004"/>
        <w:contextualSpacing/>
        <w:rPr>
          <w:rFonts w:ascii="Calibri" w:eastAsia="Calibri" w:hAnsi="Calibri" w:cs="Times New Roman"/>
          <w:sz w:val="24"/>
          <w:szCs w:val="24"/>
        </w:rPr>
      </w:pPr>
    </w:p>
    <w:p w14:paraId="493EBF50" w14:textId="77777777" w:rsidR="00114A9E" w:rsidRPr="00114A9E" w:rsidRDefault="00114A9E" w:rsidP="00114A9E">
      <w:pPr>
        <w:tabs>
          <w:tab w:val="left" w:pos="1365"/>
        </w:tabs>
        <w:spacing w:after="200" w:line="276" w:lineRule="auto"/>
        <w:ind w:left="1004"/>
        <w:contextualSpacing/>
        <w:rPr>
          <w:rFonts w:ascii="Calibri" w:eastAsia="Calibri" w:hAnsi="Calibri" w:cs="Times New Roman"/>
          <w:sz w:val="24"/>
          <w:szCs w:val="24"/>
        </w:rPr>
      </w:pPr>
    </w:p>
    <w:p w14:paraId="073E2CDE" w14:textId="77777777" w:rsidR="00114A9E" w:rsidRPr="00114A9E" w:rsidRDefault="00114A9E" w:rsidP="00114A9E">
      <w:pPr>
        <w:tabs>
          <w:tab w:val="left" w:pos="1365"/>
        </w:tabs>
        <w:spacing w:after="200" w:line="276" w:lineRule="auto"/>
        <w:ind w:left="1004"/>
        <w:contextualSpacing/>
        <w:rPr>
          <w:rFonts w:ascii="Calibri" w:eastAsia="Calibri" w:hAnsi="Calibri" w:cs="Times New Roman"/>
          <w:sz w:val="24"/>
          <w:szCs w:val="24"/>
        </w:rPr>
      </w:pPr>
    </w:p>
    <w:p w14:paraId="774BFB17"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Cenné papiere a podiely</w:t>
      </w:r>
    </w:p>
    <w:p w14:paraId="38EC9545" w14:textId="77777777" w:rsidR="00114A9E" w:rsidRPr="00114A9E" w:rsidRDefault="00114A9E" w:rsidP="00114A9E">
      <w:pPr>
        <w:numPr>
          <w:ilvl w:val="0"/>
          <w:numId w:val="6"/>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Cenné papiere a podiely sa oceňujú pri nadobudnutí obstarávacou cenou, vrátane nákladov súvisiacich s obstaraním.</w:t>
      </w:r>
    </w:p>
    <w:p w14:paraId="672751E7" w14:textId="77777777" w:rsidR="00114A9E" w:rsidRPr="00114A9E" w:rsidRDefault="00114A9E" w:rsidP="00114A9E">
      <w:pPr>
        <w:numPr>
          <w:ilvl w:val="0"/>
          <w:numId w:val="6"/>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Ku dňu, ku ktorému sa zostavuje účtovná závierka spoločnosť nevlastnila cenné papiere a podiely</w:t>
      </w:r>
    </w:p>
    <w:p w14:paraId="6A7E02F3"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 xml:space="preserve">       Zásoby</w:t>
      </w:r>
    </w:p>
    <w:p w14:paraId="7F442407" w14:textId="77777777" w:rsidR="00114A9E" w:rsidRPr="00114A9E" w:rsidRDefault="00114A9E" w:rsidP="00114A9E">
      <w:pPr>
        <w:numPr>
          <w:ilvl w:val="0"/>
          <w:numId w:val="7"/>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Do zásob patrí skladovaný materiál a skladovaný tovar a priame náklady na neukončené servisné opravy.</w:t>
      </w:r>
    </w:p>
    <w:p w14:paraId="74271521" w14:textId="77777777" w:rsidR="00114A9E" w:rsidRPr="00114A9E" w:rsidRDefault="00114A9E" w:rsidP="00114A9E">
      <w:pPr>
        <w:numPr>
          <w:ilvl w:val="0"/>
          <w:numId w:val="7"/>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Materiál a tovar sa prvotne oceňujú obstarávacou cenou, ktorú tvorí cena obstarania a náklady súvisiace s obstaraním (prepravné, poistné, provízie, skonto). Úroky z úverov nie sú súčasťou obstarávacej ceny.</w:t>
      </w:r>
    </w:p>
    <w:p w14:paraId="1A62851B" w14:textId="77777777" w:rsidR="00114A9E" w:rsidRPr="00114A9E" w:rsidRDefault="00114A9E" w:rsidP="00114A9E">
      <w:pPr>
        <w:numPr>
          <w:ilvl w:val="0"/>
          <w:numId w:val="7"/>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Nakupované zásoby sa:</w:t>
      </w:r>
    </w:p>
    <w:p w14:paraId="509928DC" w14:textId="77777777" w:rsidR="00114A9E" w:rsidRPr="00114A9E" w:rsidRDefault="00114A9E" w:rsidP="00114A9E">
      <w:pPr>
        <w:numPr>
          <w:ilvl w:val="0"/>
          <w:numId w:val="8"/>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Vyskladňujú váženým aritmetickým priemerom z obstarávaných cien</w:t>
      </w:r>
    </w:p>
    <w:p w14:paraId="1EC167C6" w14:textId="77777777" w:rsidR="00114A9E" w:rsidRPr="00114A9E" w:rsidRDefault="00114A9E" w:rsidP="00114A9E">
      <w:pPr>
        <w:numPr>
          <w:ilvl w:val="0"/>
          <w:numId w:val="8"/>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Úbytok vedľajších nákladov, pripadajúcich na spotrebované zásoby sa určí – úbytok zásob za mesiac*priemerné percento /100</w:t>
      </w:r>
    </w:p>
    <w:p w14:paraId="7CB6E753" w14:textId="77777777" w:rsidR="00114A9E" w:rsidRPr="00114A9E" w:rsidRDefault="00114A9E" w:rsidP="00114A9E">
      <w:pPr>
        <w:tabs>
          <w:tab w:val="left" w:pos="1365"/>
        </w:tabs>
        <w:spacing w:after="200" w:line="276" w:lineRule="auto"/>
        <w:ind w:left="1080"/>
        <w:contextualSpacing/>
        <w:rPr>
          <w:rFonts w:ascii="Calibri" w:eastAsia="Calibri" w:hAnsi="Calibri" w:cs="Times New Roman"/>
          <w:sz w:val="24"/>
          <w:szCs w:val="24"/>
        </w:rPr>
      </w:pPr>
    </w:p>
    <w:p w14:paraId="0FD55789"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Pohľadávky</w:t>
      </w:r>
    </w:p>
    <w:p w14:paraId="068BEA54" w14:textId="77777777" w:rsidR="00114A9E" w:rsidRPr="00114A9E" w:rsidRDefault="00114A9E" w:rsidP="00114A9E">
      <w:pPr>
        <w:numPr>
          <w:ilvl w:val="0"/>
          <w:numId w:val="9"/>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Pohľadávky pri ich vzniku sa oceňujú menovitou hodnotou. Postúpené pohľadávky sa oceňujú obstarávacou cenou vrátane nákladov súvisiacich s obstaraním. Zníženie ocenenia pohľadávok prostredníctvom tvorby opravných položiek sa tvorí k pochybným pohľadávkam a nevymožiteľným pohľadávkam.</w:t>
      </w:r>
    </w:p>
    <w:p w14:paraId="40A95DE6" w14:textId="77777777" w:rsidR="00114A9E" w:rsidRPr="00114A9E" w:rsidRDefault="00114A9E" w:rsidP="00114A9E">
      <w:pPr>
        <w:numPr>
          <w:ilvl w:val="0"/>
          <w:numId w:val="9"/>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Pohľadávky s dobou splatnosti od dňa, ktorému sa zostavuje účtovná závierka menej ako 12 mesiacov sú dlhodobé a pohľadávky s dobou splatnosti odo dňa ku ktorému sa zostavuje účtovná závierka menej ako 12 mesiacov sa vykazujú ako krátkodobé.</w:t>
      </w:r>
    </w:p>
    <w:p w14:paraId="3C842209" w14:textId="77777777" w:rsidR="00114A9E" w:rsidRPr="00114A9E" w:rsidRDefault="00114A9E" w:rsidP="00114A9E">
      <w:pPr>
        <w:numPr>
          <w:ilvl w:val="0"/>
          <w:numId w:val="9"/>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Ak je zostatková doba splatnosti pohľadávky dlhšia ako jeden rok, vytvára sa opravná položka, ktorá predstavuje rozdiel medzi menovitou a súčasnou hodnotou pohľadávky.</w:t>
      </w:r>
    </w:p>
    <w:p w14:paraId="341A992C" w14:textId="77777777" w:rsidR="00114A9E" w:rsidRPr="00114A9E" w:rsidRDefault="00114A9E" w:rsidP="00114A9E">
      <w:pPr>
        <w:numPr>
          <w:ilvl w:val="0"/>
          <w:numId w:val="9"/>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Opravná položka na pohľadávky z obchodného styku sa vytvára vtedy, ak existuje objektívny dôkaz, že obchodná spoločnosť nebude schopná zinkasovať všetky dlžné čiastky podľa pôvodných podmienok pohľadávok. Významné finančné problémy dlžníka, pravdepodobnosť, že dlžník vstúpi do konkurzu, platobná neschopnosť alebo omeškanie platieb sa považujú za indikátory toho, že pohľadávka z obchodného styku je znehodnotená. Výška opravnej položky predstavuje rozdiel medzi účtovnou hodnotou daného majetku a hodnotou predpokladaných budúcich peňažných tokov.</w:t>
      </w:r>
    </w:p>
    <w:p w14:paraId="7B730805" w14:textId="77777777" w:rsidR="00114A9E" w:rsidRPr="00114A9E" w:rsidRDefault="00114A9E" w:rsidP="00114A9E">
      <w:pPr>
        <w:tabs>
          <w:tab w:val="left" w:pos="1365"/>
        </w:tabs>
        <w:spacing w:after="200" w:line="276" w:lineRule="auto"/>
        <w:ind w:left="840"/>
        <w:contextualSpacing/>
        <w:rPr>
          <w:rFonts w:ascii="Calibri" w:eastAsia="Calibri" w:hAnsi="Calibri" w:cs="Times New Roman"/>
          <w:sz w:val="24"/>
          <w:szCs w:val="24"/>
        </w:rPr>
      </w:pPr>
    </w:p>
    <w:p w14:paraId="07079C42" w14:textId="77777777" w:rsidR="00114A9E" w:rsidRPr="00114A9E" w:rsidRDefault="00114A9E" w:rsidP="00114A9E">
      <w:pPr>
        <w:tabs>
          <w:tab w:val="left" w:pos="1365"/>
        </w:tabs>
        <w:spacing w:after="200" w:line="276" w:lineRule="auto"/>
        <w:ind w:left="840"/>
        <w:contextualSpacing/>
        <w:rPr>
          <w:rFonts w:ascii="Calibri" w:eastAsia="Calibri" w:hAnsi="Calibri" w:cs="Times New Roman"/>
          <w:sz w:val="24"/>
          <w:szCs w:val="24"/>
        </w:rPr>
      </w:pPr>
    </w:p>
    <w:p w14:paraId="4A024DF1" w14:textId="77777777" w:rsidR="00114A9E" w:rsidRPr="00114A9E" w:rsidRDefault="00114A9E" w:rsidP="00114A9E">
      <w:pPr>
        <w:tabs>
          <w:tab w:val="left" w:pos="1365"/>
        </w:tabs>
        <w:spacing w:after="200" w:line="276" w:lineRule="auto"/>
        <w:ind w:left="840"/>
        <w:contextualSpacing/>
        <w:rPr>
          <w:rFonts w:ascii="Calibri" w:eastAsia="Calibri" w:hAnsi="Calibri" w:cs="Times New Roman"/>
          <w:sz w:val="24"/>
          <w:szCs w:val="24"/>
        </w:rPr>
      </w:pPr>
    </w:p>
    <w:p w14:paraId="5574F8B5" w14:textId="77777777" w:rsidR="00114A9E" w:rsidRPr="00114A9E" w:rsidRDefault="00114A9E" w:rsidP="00114A9E">
      <w:pPr>
        <w:tabs>
          <w:tab w:val="left" w:pos="1365"/>
        </w:tabs>
        <w:spacing w:after="200" w:line="276" w:lineRule="auto"/>
        <w:ind w:left="840"/>
        <w:contextualSpacing/>
        <w:rPr>
          <w:rFonts w:ascii="Calibri" w:eastAsia="Calibri" w:hAnsi="Calibri" w:cs="Times New Roman"/>
          <w:sz w:val="24"/>
          <w:szCs w:val="24"/>
        </w:rPr>
      </w:pPr>
    </w:p>
    <w:p w14:paraId="03760FA6"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Peňažné prostriedky, ekvivalenty peňažných prostriedkov a peňažné ekvivalenty</w:t>
      </w:r>
    </w:p>
    <w:p w14:paraId="63430940"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b/>
          <w:sz w:val="24"/>
          <w:szCs w:val="24"/>
        </w:rPr>
        <w:t xml:space="preserve">            </w:t>
      </w:r>
      <w:r w:rsidRPr="00114A9E">
        <w:rPr>
          <w:rFonts w:ascii="Calibri" w:eastAsia="Calibri" w:hAnsi="Calibri" w:cs="Times New Roman"/>
          <w:sz w:val="24"/>
          <w:szCs w:val="24"/>
        </w:rPr>
        <w:t>Peňažné prostriedky a ceniny sa oceňujú ich menovitou hodnotou. Zníženie ich hodnoty sa vyjadruje opravnou položkou. Peňažné prostriedky a peňažné ekvivalenty zahŕňajú peňažnú hotovosť, termínované vklady v bankách, iné krátkodobé vysoko likvidné investície s pôvodnou lehotou splatnosti do troch mesiacov a kontokorentné úvery. V súvahe sú kontokorentné úvery vykázané ako krátkodobé bankové úvery.</w:t>
      </w:r>
    </w:p>
    <w:p w14:paraId="1DC6D410"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p>
    <w:p w14:paraId="6FC22E4B"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Náklady budúcich období a príjmy budúcich období</w:t>
      </w:r>
    </w:p>
    <w:p w14:paraId="0776F434"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Náklady budúcich období a príjmy budúcich období sa vykazujú vo výške, ktorá je potrebná na dodržanie zásady vecnej a časovej súvislosti s účtovným obdobím.</w:t>
      </w:r>
    </w:p>
    <w:p w14:paraId="7983133A"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Rezervy</w:t>
      </w:r>
    </w:p>
    <w:p w14:paraId="34859BF2"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Rezervy sa vytvárajú, ak má obchodná spoločnosť súčasný zákonný, zmluvný alebo mimozmluvný záväzok, ktorý je dôsledkom minulých udalostí a na základe ktorého pravdepodobne dôjde k úbytku ekonomických úžitkov, a zároveň je možné vykonať spoľahlivý odhad výšky týchto záväzkov. Rezervy sú záväzky s neurčitým časovým vymedzením alebo výškou, tvoria sa na krytie známych rizík alebo strát z podnikania. Oceňujú sa v očakávanej výške záväzku. Rezervy sa oceňujú odhadom v sume dostatočnej na splnenie existujúcej povinnosti ku dňu , ku ktorému sa zostavuje účtovná závierka pri zohľadnení rizík a neistôt.</w:t>
      </w:r>
    </w:p>
    <w:p w14:paraId="04BC60C5"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 xml:space="preserve">Záväzky </w:t>
      </w:r>
    </w:p>
    <w:p w14:paraId="49D90E7A"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270D3EE8"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b/>
          <w:sz w:val="24"/>
          <w:szCs w:val="24"/>
        </w:rPr>
        <w:t>Odložené dane</w:t>
      </w:r>
    </w:p>
    <w:p w14:paraId="423302ED"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Odložené dane sa vzťahujú na :</w:t>
      </w:r>
    </w:p>
    <w:p w14:paraId="3A04243A" w14:textId="77777777" w:rsidR="00114A9E" w:rsidRPr="00114A9E" w:rsidRDefault="00114A9E" w:rsidP="00114A9E">
      <w:pPr>
        <w:numPr>
          <w:ilvl w:val="0"/>
          <w:numId w:val="10"/>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Dočasné rozdiely medzi účtovnou hodnotou majetku a účtovnou hodnotou záväzkov vykázanou v súvahe a ich daňovou základňou,</w:t>
      </w:r>
    </w:p>
    <w:p w14:paraId="4BEE8EA6" w14:textId="77777777" w:rsidR="00114A9E" w:rsidRPr="00114A9E" w:rsidRDefault="00114A9E" w:rsidP="00114A9E">
      <w:pPr>
        <w:numPr>
          <w:ilvl w:val="0"/>
          <w:numId w:val="10"/>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Možnosť umorovať daňovú stratu v budúcnosti, ktorou sa rozumie možnosť odpočítať daňovú stratu od základu dane v budúcnosti,</w:t>
      </w:r>
    </w:p>
    <w:p w14:paraId="19E35E62" w14:textId="77777777" w:rsidR="00114A9E" w:rsidRPr="00114A9E" w:rsidRDefault="00114A9E" w:rsidP="00114A9E">
      <w:pPr>
        <w:numPr>
          <w:ilvl w:val="0"/>
          <w:numId w:val="10"/>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sz w:val="24"/>
          <w:szCs w:val="24"/>
        </w:rPr>
        <w:t xml:space="preserve">Možnosť previesť nevyužité daňové odpočty a iné daňové nároky do budúcich období. Odložená daň z príjmov sa účtuje použitím záväzkovej metódy. O odloženej dani z príjmov sa neúčtuje , ak vzniká pri prvotnom zaúčtovaní </w:t>
      </w:r>
      <w:r w:rsidRPr="00114A9E">
        <w:rPr>
          <w:rFonts w:ascii="Calibri" w:eastAsia="Calibri" w:hAnsi="Calibri" w:cs="Times New Roman"/>
          <w:sz w:val="24"/>
          <w:szCs w:val="24"/>
        </w:rPr>
        <w:lastRenderedPageBreak/>
        <w:t>majetku alebo záväzku v účtovníctve , ak v čase prvotného zaúčtovania nemá tento účtovný prípad vplyv ani na výsledok hospodárenia ani na základ dane a zároveň nejde o účtovný prípad vznikajúci u kupujúceho pri kúpe podniku alebo časti podniku, u prijímateľa vkladu pri vklade podniku alebo časti podniku alebo u nástupníckej účtovnej jednotky pri zlúčení, splynutí alebo rozdelení. Odložená daň z príjmov sa stanovuje pomocou daňovej sadzby, ktoré boli známe ku dňu, ku ktorému sa zostavuje účtovná závierka a očakáva sa ich platnosť v čase realizácie príslušnej odloženej daňovej pohľadávky alebo vyrovnania odloženého daňového záväzku. Odložené daňové pohľadávky sa účtujú, ak je pravdepodobné, že v budúcnosti bude generovaný zisk, voči ktorému sa budú môcť dočasné rozdiely zrealizovať.</w:t>
      </w:r>
    </w:p>
    <w:p w14:paraId="42A8948B" w14:textId="77777777" w:rsidR="00114A9E" w:rsidRPr="00114A9E" w:rsidRDefault="00114A9E" w:rsidP="00114A9E">
      <w:pPr>
        <w:tabs>
          <w:tab w:val="left" w:pos="1365"/>
        </w:tabs>
        <w:spacing w:after="200" w:line="276" w:lineRule="auto"/>
        <w:ind w:left="990"/>
        <w:contextualSpacing/>
        <w:rPr>
          <w:rFonts w:ascii="Calibri" w:eastAsia="Calibri" w:hAnsi="Calibri" w:cs="Times New Roman"/>
          <w:sz w:val="24"/>
          <w:szCs w:val="24"/>
        </w:rPr>
      </w:pPr>
    </w:p>
    <w:p w14:paraId="58576226"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Výdavky budúcich období a výnosy budúcich období</w:t>
      </w:r>
    </w:p>
    <w:p w14:paraId="2B5D3ADA"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Výdavky budúcich období a výnosy budúcich období sa vykazujú vo výške, ktorá je potrebná na dodržanie zásady vecnej a časovej súvislosti s účtovným obdobím.</w:t>
      </w:r>
    </w:p>
    <w:p w14:paraId="32A77804"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Cudzia mena</w:t>
      </w:r>
    </w:p>
    <w:p w14:paraId="5DB3FB7B"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Majetok a záväzky vyjadrené v cudzej mene sa ku dňu uskutočnenia účtovného prípadu prepočítavajú a menu euro referenčným výmenným kurzom určeným a vyhláseným Európskou centrálnou bankou alebo Národnou bankou Slovenskej republiky v deň predchádzajúci dňu uskutočnenia účtovného prípadu.</w:t>
      </w:r>
    </w:p>
    <w:p w14:paraId="5CC38934"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Majetok a záväzky vyjadrené v cudzej mene (okrem prijatých a poskytnutých preddavkov)sa ku dňu, ku ktorému sa zostavuje účtovná závierka, prepočítavajú na menu euro referenčným výmenným kurzom určeným a vyhláseným Európskou centrálnou bankou alebo Národnou bankou Slovenska v deň, ku ktorému sa zostavuje účtovná závierka a účtujú sa vplyvom na výsledok hospodárenia.</w:t>
      </w:r>
    </w:p>
    <w:p w14:paraId="547382D4"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 xml:space="preserve">Prijaté a poskytnuté preddavky v cudzej mene sa prepočítavajú a menu euro referenčným výmenným kurzom určeným a vyhláseným Európskou centrálnou bankou alebo Národnou </w:t>
      </w:r>
    </w:p>
    <w:p w14:paraId="6E6EF147"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p>
    <w:p w14:paraId="312B3112"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bankou Slovenska v deň predchádzajúci dňu uskutočnenia účtovného prípadu. Ku dňu,ku ktorému sa zostavuje účtovná závierka sa na menu euro neprepočítavajú.</w:t>
      </w:r>
    </w:p>
    <w:p w14:paraId="6106582D"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 xml:space="preserve">Výnosy </w:t>
      </w:r>
    </w:p>
    <w:p w14:paraId="4B71B1FB"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Tržba za vlastné výkony a tovar neobsahuje daň z pridanej hodnoty. Sú tiež znížené o zľavy a zrážky (rabaty, bonusy, skontá, dobropisy a pod.)bez ohľadu na to, či zákazník mal vopred nárok, alebo či ide o dodatočne uznanú zľavu.</w:t>
      </w:r>
    </w:p>
    <w:p w14:paraId="63C5B8C8"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Oprava chýb minulých účtovných období</w:t>
      </w:r>
    </w:p>
    <w:p w14:paraId="334EBF40" w14:textId="25990ECD" w:rsidR="00114A9E" w:rsidRPr="00114A9E" w:rsidRDefault="00F90D50" w:rsidP="00114A9E">
      <w:pPr>
        <w:tabs>
          <w:tab w:val="left" w:pos="1365"/>
        </w:tabs>
        <w:spacing w:after="200" w:line="276" w:lineRule="auto"/>
        <w:rPr>
          <w:rFonts w:ascii="Calibri" w:eastAsia="Calibri" w:hAnsi="Calibri" w:cs="Times New Roman"/>
          <w:sz w:val="24"/>
          <w:szCs w:val="24"/>
        </w:rPr>
      </w:pPr>
      <w:r>
        <w:rPr>
          <w:rFonts w:ascii="Calibri" w:eastAsia="Calibri" w:hAnsi="Calibri" w:cs="Times New Roman"/>
          <w:sz w:val="24"/>
          <w:szCs w:val="24"/>
        </w:rPr>
        <w:lastRenderedPageBreak/>
        <w:t>V roku 201</w:t>
      </w:r>
      <w:r w:rsidR="00CE29C7">
        <w:rPr>
          <w:rFonts w:ascii="Calibri" w:eastAsia="Calibri" w:hAnsi="Calibri" w:cs="Times New Roman"/>
          <w:sz w:val="24"/>
          <w:szCs w:val="24"/>
        </w:rPr>
        <w:t>9</w:t>
      </w:r>
      <w:r w:rsidR="00114A9E" w:rsidRPr="00114A9E">
        <w:rPr>
          <w:rFonts w:ascii="Calibri" w:eastAsia="Calibri" w:hAnsi="Calibri" w:cs="Times New Roman"/>
          <w:sz w:val="24"/>
          <w:szCs w:val="24"/>
        </w:rPr>
        <w:t xml:space="preserve"> spoločnosť neúčtovala o oprave chýb minulých účtovných období.</w:t>
      </w:r>
    </w:p>
    <w:p w14:paraId="6F0BD7FC"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 xml:space="preserve"> </w:t>
      </w:r>
    </w:p>
    <w:p w14:paraId="3469C14E" w14:textId="77777777" w:rsidR="00114A9E" w:rsidRPr="00114A9E" w:rsidRDefault="00114A9E" w:rsidP="00114A9E">
      <w:pPr>
        <w:numPr>
          <w:ilvl w:val="0"/>
          <w:numId w:val="1"/>
        </w:numPr>
        <w:tabs>
          <w:tab w:val="left" w:pos="1365"/>
        </w:tabs>
        <w:spacing w:after="200" w:line="276" w:lineRule="auto"/>
        <w:contextualSpacing/>
        <w:rPr>
          <w:rFonts w:ascii="Calibri" w:eastAsia="Calibri" w:hAnsi="Calibri" w:cs="Times New Roman"/>
          <w:b/>
          <w:sz w:val="28"/>
          <w:szCs w:val="28"/>
        </w:rPr>
      </w:pPr>
      <w:r w:rsidRPr="00114A9E">
        <w:rPr>
          <w:rFonts w:ascii="Calibri" w:eastAsia="Calibri" w:hAnsi="Calibri" w:cs="Times New Roman"/>
          <w:b/>
          <w:sz w:val="28"/>
          <w:szCs w:val="28"/>
        </w:rPr>
        <w:t>Informácie k položkám úvahy z výkazu ziskov a strát</w:t>
      </w:r>
    </w:p>
    <w:p w14:paraId="58299065"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b/>
          <w:sz w:val="28"/>
          <w:szCs w:val="28"/>
        </w:rPr>
      </w:pPr>
    </w:p>
    <w:p w14:paraId="4D956256"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b/>
          <w:sz w:val="28"/>
          <w:szCs w:val="28"/>
        </w:rPr>
      </w:pPr>
    </w:p>
    <w:tbl>
      <w:tblPr>
        <w:tblStyle w:val="Mriekatabuky1"/>
        <w:tblW w:w="9923" w:type="dxa"/>
        <w:tblInd w:w="-176" w:type="dxa"/>
        <w:tblLook w:val="04A0" w:firstRow="1" w:lastRow="0" w:firstColumn="1" w:lastColumn="0" w:noHBand="0" w:noVBand="1"/>
      </w:tblPr>
      <w:tblGrid>
        <w:gridCol w:w="3424"/>
        <w:gridCol w:w="2615"/>
        <w:gridCol w:w="3884"/>
      </w:tblGrid>
      <w:tr w:rsidR="00114A9E" w:rsidRPr="00114A9E" w14:paraId="26D7521C" w14:textId="77777777" w:rsidTr="00114A9E">
        <w:tc>
          <w:tcPr>
            <w:tcW w:w="3424" w:type="dxa"/>
            <w:tcBorders>
              <w:top w:val="single" w:sz="4" w:space="0" w:color="auto"/>
              <w:left w:val="single" w:sz="4" w:space="0" w:color="auto"/>
              <w:bottom w:val="nil"/>
              <w:right w:val="single" w:sz="4" w:space="0" w:color="auto"/>
            </w:tcBorders>
            <w:shd w:val="clear" w:color="auto" w:fill="FDE9D9"/>
          </w:tcPr>
          <w:p w14:paraId="76EA4971" w14:textId="77777777" w:rsidR="00114A9E" w:rsidRPr="00114A9E" w:rsidRDefault="00114A9E" w:rsidP="00114A9E">
            <w:pPr>
              <w:tabs>
                <w:tab w:val="left" w:pos="1365"/>
              </w:tabs>
              <w:contextualSpacing/>
              <w:rPr>
                <w:rFonts w:ascii="Calibri" w:eastAsia="Calibri" w:hAnsi="Calibri" w:cs="Times New Roman"/>
                <w:b/>
                <w:sz w:val="28"/>
                <w:szCs w:val="28"/>
              </w:rPr>
            </w:pPr>
            <w:r w:rsidRPr="00114A9E">
              <w:rPr>
                <w:rFonts w:ascii="Calibri" w:eastAsia="Calibri" w:hAnsi="Calibri" w:cs="Times New Roman"/>
                <w:b/>
                <w:sz w:val="28"/>
                <w:szCs w:val="28"/>
              </w:rPr>
              <w:t xml:space="preserve">      Názov položky</w:t>
            </w:r>
          </w:p>
        </w:tc>
        <w:tc>
          <w:tcPr>
            <w:tcW w:w="2615" w:type="dxa"/>
            <w:tcBorders>
              <w:top w:val="single" w:sz="4" w:space="0" w:color="auto"/>
              <w:left w:val="single" w:sz="4" w:space="0" w:color="auto"/>
              <w:bottom w:val="nil"/>
              <w:right w:val="single" w:sz="4" w:space="0" w:color="auto"/>
            </w:tcBorders>
            <w:shd w:val="clear" w:color="auto" w:fill="FDE9D9"/>
          </w:tcPr>
          <w:p w14:paraId="151069D7" w14:textId="77777777" w:rsidR="00114A9E" w:rsidRPr="00114A9E" w:rsidRDefault="00114A9E" w:rsidP="00114A9E">
            <w:pPr>
              <w:tabs>
                <w:tab w:val="left" w:pos="1365"/>
              </w:tabs>
              <w:contextualSpacing/>
              <w:rPr>
                <w:rFonts w:ascii="Calibri" w:eastAsia="Calibri" w:hAnsi="Calibri" w:cs="Times New Roman"/>
                <w:b/>
                <w:sz w:val="28"/>
                <w:szCs w:val="28"/>
              </w:rPr>
            </w:pPr>
            <w:r w:rsidRPr="00114A9E">
              <w:rPr>
                <w:rFonts w:ascii="Calibri" w:eastAsia="Calibri" w:hAnsi="Calibri" w:cs="Times New Roman"/>
                <w:b/>
                <w:sz w:val="28"/>
                <w:szCs w:val="28"/>
              </w:rPr>
              <w:t xml:space="preserve">     Bežné účtovné </w:t>
            </w:r>
          </w:p>
        </w:tc>
        <w:tc>
          <w:tcPr>
            <w:tcW w:w="3884" w:type="dxa"/>
            <w:tcBorders>
              <w:top w:val="single" w:sz="4" w:space="0" w:color="auto"/>
              <w:left w:val="single" w:sz="4" w:space="0" w:color="auto"/>
              <w:bottom w:val="nil"/>
              <w:right w:val="single" w:sz="4" w:space="0" w:color="auto"/>
            </w:tcBorders>
            <w:shd w:val="clear" w:color="auto" w:fill="FDE9D9"/>
          </w:tcPr>
          <w:p w14:paraId="31B92543" w14:textId="77777777" w:rsidR="00114A9E" w:rsidRPr="00114A9E" w:rsidRDefault="00114A9E" w:rsidP="00114A9E">
            <w:pPr>
              <w:tabs>
                <w:tab w:val="left" w:pos="1365"/>
              </w:tabs>
              <w:contextualSpacing/>
              <w:rPr>
                <w:rFonts w:ascii="Calibri" w:eastAsia="Calibri" w:hAnsi="Calibri" w:cs="Times New Roman"/>
                <w:b/>
                <w:sz w:val="28"/>
                <w:szCs w:val="28"/>
              </w:rPr>
            </w:pPr>
            <w:r w:rsidRPr="00114A9E">
              <w:rPr>
                <w:rFonts w:ascii="Calibri" w:eastAsia="Calibri" w:hAnsi="Calibri" w:cs="Times New Roman"/>
                <w:b/>
                <w:sz w:val="28"/>
                <w:szCs w:val="28"/>
              </w:rPr>
              <w:t xml:space="preserve">Bezprostredne predchádzajúce </w:t>
            </w:r>
          </w:p>
        </w:tc>
      </w:tr>
      <w:tr w:rsidR="00114A9E" w:rsidRPr="00114A9E" w14:paraId="7663DD1F" w14:textId="77777777" w:rsidTr="00114A9E">
        <w:tc>
          <w:tcPr>
            <w:tcW w:w="3424" w:type="dxa"/>
            <w:tcBorders>
              <w:top w:val="nil"/>
              <w:left w:val="single" w:sz="4" w:space="0" w:color="auto"/>
              <w:bottom w:val="single" w:sz="4" w:space="0" w:color="auto"/>
              <w:right w:val="single" w:sz="4" w:space="0" w:color="auto"/>
            </w:tcBorders>
            <w:shd w:val="clear" w:color="auto" w:fill="FDE9D9"/>
          </w:tcPr>
          <w:p w14:paraId="2D75BCB0" w14:textId="77777777" w:rsidR="00114A9E" w:rsidRPr="00114A9E" w:rsidRDefault="00114A9E" w:rsidP="00114A9E">
            <w:pPr>
              <w:tabs>
                <w:tab w:val="left" w:pos="1365"/>
              </w:tabs>
              <w:contextualSpacing/>
              <w:rPr>
                <w:rFonts w:ascii="Calibri" w:eastAsia="Calibri" w:hAnsi="Calibri" w:cs="Times New Roman"/>
                <w:b/>
                <w:sz w:val="28"/>
                <w:szCs w:val="28"/>
              </w:rPr>
            </w:pPr>
          </w:p>
        </w:tc>
        <w:tc>
          <w:tcPr>
            <w:tcW w:w="2615" w:type="dxa"/>
            <w:tcBorders>
              <w:top w:val="nil"/>
              <w:left w:val="single" w:sz="4" w:space="0" w:color="auto"/>
              <w:bottom w:val="single" w:sz="4" w:space="0" w:color="auto"/>
              <w:right w:val="single" w:sz="4" w:space="0" w:color="auto"/>
            </w:tcBorders>
            <w:shd w:val="clear" w:color="auto" w:fill="FDE9D9"/>
          </w:tcPr>
          <w:p w14:paraId="18D46E7A" w14:textId="77777777" w:rsidR="00114A9E" w:rsidRPr="00114A9E" w:rsidRDefault="00114A9E" w:rsidP="00114A9E">
            <w:pPr>
              <w:tabs>
                <w:tab w:val="left" w:pos="1365"/>
              </w:tabs>
              <w:contextualSpacing/>
              <w:rPr>
                <w:rFonts w:ascii="Calibri" w:eastAsia="Calibri" w:hAnsi="Calibri" w:cs="Times New Roman"/>
                <w:b/>
                <w:sz w:val="28"/>
                <w:szCs w:val="28"/>
              </w:rPr>
            </w:pPr>
            <w:r w:rsidRPr="00114A9E">
              <w:rPr>
                <w:rFonts w:ascii="Calibri" w:eastAsia="Calibri" w:hAnsi="Calibri" w:cs="Times New Roman"/>
                <w:b/>
                <w:sz w:val="28"/>
                <w:szCs w:val="28"/>
              </w:rPr>
              <w:t xml:space="preserve">           obdobie</w:t>
            </w:r>
          </w:p>
        </w:tc>
        <w:tc>
          <w:tcPr>
            <w:tcW w:w="3884" w:type="dxa"/>
            <w:tcBorders>
              <w:top w:val="nil"/>
              <w:left w:val="single" w:sz="4" w:space="0" w:color="auto"/>
              <w:bottom w:val="single" w:sz="4" w:space="0" w:color="auto"/>
              <w:right w:val="single" w:sz="4" w:space="0" w:color="auto"/>
            </w:tcBorders>
            <w:shd w:val="clear" w:color="auto" w:fill="FDE9D9"/>
          </w:tcPr>
          <w:p w14:paraId="289EFD30" w14:textId="77777777" w:rsidR="00114A9E" w:rsidRPr="00114A9E" w:rsidRDefault="00114A9E" w:rsidP="00114A9E">
            <w:pPr>
              <w:tabs>
                <w:tab w:val="left" w:pos="1365"/>
              </w:tabs>
              <w:contextualSpacing/>
              <w:rPr>
                <w:rFonts w:ascii="Calibri" w:eastAsia="Calibri" w:hAnsi="Calibri" w:cs="Times New Roman"/>
                <w:b/>
                <w:sz w:val="28"/>
                <w:szCs w:val="28"/>
              </w:rPr>
            </w:pPr>
            <w:r w:rsidRPr="00114A9E">
              <w:rPr>
                <w:rFonts w:ascii="Calibri" w:eastAsia="Calibri" w:hAnsi="Calibri" w:cs="Times New Roman"/>
                <w:b/>
                <w:sz w:val="28"/>
                <w:szCs w:val="28"/>
              </w:rPr>
              <w:t xml:space="preserve">            účtovné obdobie</w:t>
            </w:r>
          </w:p>
        </w:tc>
      </w:tr>
      <w:tr w:rsidR="00114A9E" w:rsidRPr="00114A9E" w14:paraId="41BCA268" w14:textId="77777777" w:rsidTr="002D2998">
        <w:tc>
          <w:tcPr>
            <w:tcW w:w="3424" w:type="dxa"/>
            <w:tcBorders>
              <w:top w:val="single" w:sz="4" w:space="0" w:color="auto"/>
              <w:bottom w:val="single" w:sz="4" w:space="0" w:color="auto"/>
            </w:tcBorders>
          </w:tcPr>
          <w:p w14:paraId="7026E16D" w14:textId="77777777" w:rsidR="00114A9E" w:rsidRPr="00114A9E" w:rsidRDefault="00114A9E" w:rsidP="00114A9E">
            <w:pPr>
              <w:tabs>
                <w:tab w:val="left" w:pos="1365"/>
              </w:tabs>
              <w:contextualSpacing/>
              <w:rPr>
                <w:rFonts w:ascii="Calibri" w:eastAsia="Calibri" w:hAnsi="Calibri" w:cs="Times New Roman"/>
                <w:sz w:val="24"/>
                <w:szCs w:val="24"/>
              </w:rPr>
            </w:pPr>
            <w:r w:rsidRPr="00114A9E">
              <w:rPr>
                <w:rFonts w:ascii="Calibri" w:eastAsia="Calibri" w:hAnsi="Calibri" w:cs="Times New Roman"/>
                <w:sz w:val="24"/>
                <w:szCs w:val="24"/>
              </w:rPr>
              <w:t>Záväzky po lehote splatnosti</w:t>
            </w:r>
          </w:p>
        </w:tc>
        <w:tc>
          <w:tcPr>
            <w:tcW w:w="2615" w:type="dxa"/>
            <w:tcBorders>
              <w:top w:val="single" w:sz="4" w:space="0" w:color="auto"/>
              <w:bottom w:val="single" w:sz="4" w:space="0" w:color="auto"/>
            </w:tcBorders>
          </w:tcPr>
          <w:p w14:paraId="1EA2F37B" w14:textId="79D41F0F"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single" w:sz="4" w:space="0" w:color="auto"/>
              <w:bottom w:val="single" w:sz="4" w:space="0" w:color="auto"/>
            </w:tcBorders>
          </w:tcPr>
          <w:p w14:paraId="6C638A46" w14:textId="4EC7D9F0"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1A11B05A" w14:textId="77777777" w:rsidTr="002D2998">
        <w:tc>
          <w:tcPr>
            <w:tcW w:w="3424" w:type="dxa"/>
            <w:tcBorders>
              <w:top w:val="single" w:sz="4" w:space="0" w:color="auto"/>
              <w:left w:val="single" w:sz="4" w:space="0" w:color="auto"/>
              <w:bottom w:val="nil"/>
              <w:right w:val="single" w:sz="4" w:space="0" w:color="auto"/>
            </w:tcBorders>
          </w:tcPr>
          <w:p w14:paraId="7CAF36BC" w14:textId="77777777" w:rsidR="00114A9E" w:rsidRPr="00114A9E" w:rsidRDefault="00114A9E" w:rsidP="00114A9E">
            <w:pPr>
              <w:tabs>
                <w:tab w:val="left" w:pos="1365"/>
              </w:tabs>
              <w:contextualSpacing/>
              <w:rPr>
                <w:rFonts w:ascii="Calibri" w:eastAsia="Calibri" w:hAnsi="Calibri" w:cs="Times New Roman"/>
                <w:sz w:val="24"/>
                <w:szCs w:val="24"/>
              </w:rPr>
            </w:pPr>
            <w:r w:rsidRPr="00114A9E">
              <w:rPr>
                <w:rFonts w:ascii="Calibri" w:eastAsia="Calibri" w:hAnsi="Calibri" w:cs="Times New Roman"/>
                <w:sz w:val="24"/>
                <w:szCs w:val="24"/>
              </w:rPr>
              <w:t>Záväzky so zostatkovou dobou splatnosti do jedného roka vrátane</w:t>
            </w:r>
          </w:p>
        </w:tc>
        <w:tc>
          <w:tcPr>
            <w:tcW w:w="2615" w:type="dxa"/>
            <w:tcBorders>
              <w:top w:val="single" w:sz="4" w:space="0" w:color="auto"/>
              <w:left w:val="single" w:sz="4" w:space="0" w:color="auto"/>
              <w:bottom w:val="nil"/>
              <w:right w:val="single" w:sz="4" w:space="0" w:color="auto"/>
            </w:tcBorders>
          </w:tcPr>
          <w:p w14:paraId="68D3CB06" w14:textId="726ECADD"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single" w:sz="4" w:space="0" w:color="auto"/>
              <w:left w:val="single" w:sz="4" w:space="0" w:color="auto"/>
              <w:bottom w:val="nil"/>
              <w:right w:val="single" w:sz="4" w:space="0" w:color="auto"/>
            </w:tcBorders>
          </w:tcPr>
          <w:p w14:paraId="2020816B" w14:textId="339A4F70"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1FE795A4" w14:textId="77777777" w:rsidTr="002D2998">
        <w:tc>
          <w:tcPr>
            <w:tcW w:w="3424" w:type="dxa"/>
            <w:tcBorders>
              <w:top w:val="nil"/>
              <w:left w:val="single" w:sz="4" w:space="0" w:color="auto"/>
              <w:bottom w:val="single" w:sz="4" w:space="0" w:color="auto"/>
              <w:right w:val="single" w:sz="4" w:space="0" w:color="auto"/>
            </w:tcBorders>
          </w:tcPr>
          <w:p w14:paraId="33A7354D" w14:textId="77777777" w:rsidR="00114A9E" w:rsidRPr="00114A9E" w:rsidRDefault="00114A9E" w:rsidP="00114A9E">
            <w:pPr>
              <w:tabs>
                <w:tab w:val="left" w:pos="1365"/>
              </w:tabs>
              <w:contextualSpacing/>
              <w:rPr>
                <w:rFonts w:ascii="Calibri" w:eastAsia="Calibri" w:hAnsi="Calibri" w:cs="Times New Roman"/>
                <w:b/>
                <w:sz w:val="28"/>
                <w:szCs w:val="28"/>
              </w:rPr>
            </w:pPr>
          </w:p>
        </w:tc>
        <w:tc>
          <w:tcPr>
            <w:tcW w:w="2615" w:type="dxa"/>
            <w:tcBorders>
              <w:top w:val="nil"/>
              <w:left w:val="single" w:sz="4" w:space="0" w:color="auto"/>
              <w:bottom w:val="single" w:sz="4" w:space="0" w:color="auto"/>
              <w:right w:val="single" w:sz="4" w:space="0" w:color="auto"/>
            </w:tcBorders>
          </w:tcPr>
          <w:p w14:paraId="30B4A530" w14:textId="77777777"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nil"/>
              <w:left w:val="single" w:sz="4" w:space="0" w:color="auto"/>
              <w:bottom w:val="single" w:sz="4" w:space="0" w:color="auto"/>
              <w:right w:val="single" w:sz="4" w:space="0" w:color="auto"/>
            </w:tcBorders>
          </w:tcPr>
          <w:p w14:paraId="1D31F097" w14:textId="77777777"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7AD7E154" w14:textId="77777777" w:rsidTr="002D2998">
        <w:tc>
          <w:tcPr>
            <w:tcW w:w="3424" w:type="dxa"/>
            <w:tcBorders>
              <w:top w:val="single" w:sz="4" w:space="0" w:color="auto"/>
              <w:bottom w:val="single" w:sz="4" w:space="0" w:color="auto"/>
            </w:tcBorders>
          </w:tcPr>
          <w:p w14:paraId="126484AE" w14:textId="77777777" w:rsidR="00114A9E" w:rsidRPr="00114A9E" w:rsidRDefault="00114A9E" w:rsidP="00114A9E">
            <w:pPr>
              <w:tabs>
                <w:tab w:val="left" w:pos="1365"/>
              </w:tabs>
              <w:contextualSpacing/>
              <w:rPr>
                <w:rFonts w:ascii="Calibri" w:eastAsia="Calibri" w:hAnsi="Calibri" w:cs="Times New Roman"/>
                <w:b/>
                <w:sz w:val="24"/>
                <w:szCs w:val="24"/>
              </w:rPr>
            </w:pPr>
            <w:r w:rsidRPr="00114A9E">
              <w:rPr>
                <w:rFonts w:ascii="Calibri" w:eastAsia="Calibri" w:hAnsi="Calibri" w:cs="Times New Roman"/>
                <w:b/>
                <w:sz w:val="24"/>
                <w:szCs w:val="24"/>
              </w:rPr>
              <w:t>Krátkodobé záväzky spolu</w:t>
            </w:r>
          </w:p>
        </w:tc>
        <w:tc>
          <w:tcPr>
            <w:tcW w:w="2615" w:type="dxa"/>
            <w:tcBorders>
              <w:top w:val="single" w:sz="4" w:space="0" w:color="auto"/>
              <w:bottom w:val="single" w:sz="4" w:space="0" w:color="auto"/>
            </w:tcBorders>
          </w:tcPr>
          <w:p w14:paraId="3542C15B" w14:textId="066FCBDF"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single" w:sz="4" w:space="0" w:color="auto"/>
              <w:bottom w:val="single" w:sz="4" w:space="0" w:color="auto"/>
            </w:tcBorders>
          </w:tcPr>
          <w:p w14:paraId="5D009819" w14:textId="4AE3B005"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0CF37B13" w14:textId="77777777" w:rsidTr="002D2998">
        <w:tc>
          <w:tcPr>
            <w:tcW w:w="3424" w:type="dxa"/>
            <w:tcBorders>
              <w:top w:val="single" w:sz="4" w:space="0" w:color="auto"/>
              <w:left w:val="single" w:sz="4" w:space="0" w:color="auto"/>
              <w:bottom w:val="nil"/>
              <w:right w:val="single" w:sz="4" w:space="0" w:color="auto"/>
            </w:tcBorders>
          </w:tcPr>
          <w:p w14:paraId="46EC4315" w14:textId="77777777" w:rsidR="00114A9E" w:rsidRPr="00114A9E" w:rsidRDefault="00114A9E" w:rsidP="00114A9E">
            <w:pPr>
              <w:tabs>
                <w:tab w:val="left" w:pos="1365"/>
              </w:tabs>
              <w:contextualSpacing/>
              <w:rPr>
                <w:rFonts w:ascii="Calibri" w:eastAsia="Calibri" w:hAnsi="Calibri" w:cs="Times New Roman"/>
                <w:sz w:val="24"/>
                <w:szCs w:val="24"/>
              </w:rPr>
            </w:pPr>
            <w:r w:rsidRPr="00114A9E">
              <w:rPr>
                <w:rFonts w:ascii="Calibri" w:eastAsia="Calibri" w:hAnsi="Calibri" w:cs="Times New Roman"/>
                <w:sz w:val="24"/>
                <w:szCs w:val="24"/>
              </w:rPr>
              <w:t xml:space="preserve">Záväzky so zostatkovou dobou splatnosti jeden rok až päť </w:t>
            </w:r>
          </w:p>
        </w:tc>
        <w:tc>
          <w:tcPr>
            <w:tcW w:w="2615" w:type="dxa"/>
            <w:tcBorders>
              <w:top w:val="single" w:sz="4" w:space="0" w:color="auto"/>
              <w:left w:val="single" w:sz="4" w:space="0" w:color="auto"/>
              <w:bottom w:val="nil"/>
              <w:right w:val="single" w:sz="4" w:space="0" w:color="auto"/>
            </w:tcBorders>
          </w:tcPr>
          <w:p w14:paraId="70D6684C" w14:textId="1DA7FA70"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single" w:sz="4" w:space="0" w:color="auto"/>
              <w:left w:val="single" w:sz="4" w:space="0" w:color="auto"/>
              <w:bottom w:val="nil"/>
              <w:right w:val="single" w:sz="4" w:space="0" w:color="auto"/>
            </w:tcBorders>
          </w:tcPr>
          <w:p w14:paraId="6C6C2C7C" w14:textId="2AF0B47F"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53F7AEBE" w14:textId="77777777" w:rsidTr="002D2998">
        <w:tc>
          <w:tcPr>
            <w:tcW w:w="3424" w:type="dxa"/>
            <w:tcBorders>
              <w:top w:val="nil"/>
              <w:left w:val="single" w:sz="4" w:space="0" w:color="auto"/>
              <w:bottom w:val="single" w:sz="4" w:space="0" w:color="auto"/>
              <w:right w:val="single" w:sz="4" w:space="0" w:color="auto"/>
            </w:tcBorders>
          </w:tcPr>
          <w:p w14:paraId="73C53C46" w14:textId="77777777" w:rsidR="00114A9E" w:rsidRPr="00114A9E" w:rsidRDefault="00114A9E" w:rsidP="00114A9E">
            <w:pPr>
              <w:tabs>
                <w:tab w:val="left" w:pos="1365"/>
              </w:tabs>
              <w:contextualSpacing/>
              <w:rPr>
                <w:rFonts w:ascii="Calibri" w:eastAsia="Calibri" w:hAnsi="Calibri" w:cs="Times New Roman"/>
                <w:sz w:val="24"/>
                <w:szCs w:val="24"/>
              </w:rPr>
            </w:pPr>
            <w:r w:rsidRPr="00114A9E">
              <w:rPr>
                <w:rFonts w:ascii="Calibri" w:eastAsia="Calibri" w:hAnsi="Calibri" w:cs="Times New Roman"/>
                <w:sz w:val="24"/>
                <w:szCs w:val="24"/>
              </w:rPr>
              <w:t>rokov</w:t>
            </w:r>
          </w:p>
        </w:tc>
        <w:tc>
          <w:tcPr>
            <w:tcW w:w="2615" w:type="dxa"/>
            <w:tcBorders>
              <w:top w:val="nil"/>
              <w:left w:val="single" w:sz="4" w:space="0" w:color="auto"/>
              <w:bottom w:val="single" w:sz="4" w:space="0" w:color="auto"/>
              <w:right w:val="single" w:sz="4" w:space="0" w:color="auto"/>
            </w:tcBorders>
          </w:tcPr>
          <w:p w14:paraId="70A6485B" w14:textId="77777777"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nil"/>
              <w:left w:val="single" w:sz="4" w:space="0" w:color="auto"/>
              <w:bottom w:val="single" w:sz="4" w:space="0" w:color="auto"/>
              <w:right w:val="single" w:sz="4" w:space="0" w:color="auto"/>
            </w:tcBorders>
          </w:tcPr>
          <w:p w14:paraId="3632BFDF" w14:textId="77777777"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0C1A73A0" w14:textId="77777777" w:rsidTr="002D2998">
        <w:tc>
          <w:tcPr>
            <w:tcW w:w="3424" w:type="dxa"/>
            <w:tcBorders>
              <w:top w:val="single" w:sz="4" w:space="0" w:color="auto"/>
              <w:left w:val="single" w:sz="4" w:space="0" w:color="auto"/>
              <w:bottom w:val="nil"/>
              <w:right w:val="single" w:sz="4" w:space="0" w:color="auto"/>
            </w:tcBorders>
          </w:tcPr>
          <w:p w14:paraId="5FF79BF8" w14:textId="77777777" w:rsidR="00114A9E" w:rsidRPr="00114A9E" w:rsidRDefault="00114A9E" w:rsidP="00114A9E">
            <w:pPr>
              <w:tabs>
                <w:tab w:val="left" w:pos="1365"/>
              </w:tabs>
              <w:contextualSpacing/>
              <w:rPr>
                <w:rFonts w:ascii="Calibri" w:eastAsia="Calibri" w:hAnsi="Calibri" w:cs="Times New Roman"/>
                <w:sz w:val="24"/>
                <w:szCs w:val="24"/>
              </w:rPr>
            </w:pPr>
            <w:r w:rsidRPr="00114A9E">
              <w:rPr>
                <w:rFonts w:ascii="Calibri" w:eastAsia="Calibri" w:hAnsi="Calibri" w:cs="Times New Roman"/>
                <w:sz w:val="24"/>
                <w:szCs w:val="24"/>
              </w:rPr>
              <w:t>Záväzky so zostatkovou dobou</w:t>
            </w:r>
          </w:p>
        </w:tc>
        <w:tc>
          <w:tcPr>
            <w:tcW w:w="2615" w:type="dxa"/>
            <w:tcBorders>
              <w:top w:val="single" w:sz="4" w:space="0" w:color="auto"/>
              <w:left w:val="single" w:sz="4" w:space="0" w:color="auto"/>
              <w:bottom w:val="nil"/>
              <w:right w:val="single" w:sz="4" w:space="0" w:color="auto"/>
            </w:tcBorders>
          </w:tcPr>
          <w:p w14:paraId="392756FB" w14:textId="77777777"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single" w:sz="4" w:space="0" w:color="auto"/>
              <w:left w:val="single" w:sz="4" w:space="0" w:color="auto"/>
              <w:bottom w:val="nil"/>
              <w:right w:val="single" w:sz="4" w:space="0" w:color="auto"/>
            </w:tcBorders>
          </w:tcPr>
          <w:p w14:paraId="3540A583" w14:textId="77777777"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349AB9CC" w14:textId="77777777" w:rsidTr="002D2998">
        <w:tc>
          <w:tcPr>
            <w:tcW w:w="3424" w:type="dxa"/>
            <w:tcBorders>
              <w:top w:val="nil"/>
              <w:left w:val="single" w:sz="4" w:space="0" w:color="auto"/>
              <w:bottom w:val="single" w:sz="4" w:space="0" w:color="auto"/>
              <w:right w:val="single" w:sz="4" w:space="0" w:color="auto"/>
            </w:tcBorders>
          </w:tcPr>
          <w:p w14:paraId="6DD27D37" w14:textId="77777777" w:rsidR="00114A9E" w:rsidRPr="00114A9E" w:rsidRDefault="00114A9E" w:rsidP="00114A9E">
            <w:pPr>
              <w:tabs>
                <w:tab w:val="left" w:pos="1365"/>
              </w:tabs>
              <w:contextualSpacing/>
              <w:rPr>
                <w:rFonts w:ascii="Calibri" w:eastAsia="Calibri" w:hAnsi="Calibri" w:cs="Times New Roman"/>
                <w:sz w:val="24"/>
                <w:szCs w:val="24"/>
              </w:rPr>
            </w:pPr>
            <w:r w:rsidRPr="00114A9E">
              <w:rPr>
                <w:rFonts w:ascii="Calibri" w:eastAsia="Calibri" w:hAnsi="Calibri" w:cs="Times New Roman"/>
                <w:sz w:val="24"/>
                <w:szCs w:val="24"/>
              </w:rPr>
              <w:t>splatnosti nad päť rokov</w:t>
            </w:r>
          </w:p>
        </w:tc>
        <w:tc>
          <w:tcPr>
            <w:tcW w:w="2615" w:type="dxa"/>
            <w:tcBorders>
              <w:top w:val="nil"/>
              <w:left w:val="single" w:sz="4" w:space="0" w:color="auto"/>
              <w:bottom w:val="single" w:sz="4" w:space="0" w:color="auto"/>
              <w:right w:val="single" w:sz="4" w:space="0" w:color="auto"/>
            </w:tcBorders>
          </w:tcPr>
          <w:p w14:paraId="3F1A9ABF" w14:textId="77777777"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Borders>
              <w:top w:val="nil"/>
              <w:left w:val="single" w:sz="4" w:space="0" w:color="auto"/>
              <w:bottom w:val="single" w:sz="4" w:space="0" w:color="auto"/>
              <w:right w:val="single" w:sz="4" w:space="0" w:color="auto"/>
            </w:tcBorders>
          </w:tcPr>
          <w:p w14:paraId="7AAF5D49" w14:textId="77777777" w:rsidR="00114A9E" w:rsidRPr="00114A9E" w:rsidRDefault="00114A9E" w:rsidP="00114A9E">
            <w:pPr>
              <w:tabs>
                <w:tab w:val="left" w:pos="1365"/>
              </w:tabs>
              <w:contextualSpacing/>
              <w:rPr>
                <w:rFonts w:ascii="Calibri" w:eastAsia="Calibri" w:hAnsi="Calibri" w:cs="Times New Roman"/>
                <w:b/>
                <w:sz w:val="28"/>
                <w:szCs w:val="28"/>
              </w:rPr>
            </w:pPr>
          </w:p>
        </w:tc>
      </w:tr>
      <w:tr w:rsidR="00114A9E" w:rsidRPr="00114A9E" w14:paraId="45A0352D" w14:textId="77777777" w:rsidTr="002D2998">
        <w:tc>
          <w:tcPr>
            <w:tcW w:w="3424" w:type="dxa"/>
          </w:tcPr>
          <w:p w14:paraId="2ED69FC0" w14:textId="77777777" w:rsidR="00114A9E" w:rsidRPr="00114A9E" w:rsidRDefault="00114A9E" w:rsidP="00114A9E">
            <w:pPr>
              <w:tabs>
                <w:tab w:val="left" w:pos="1365"/>
              </w:tabs>
              <w:contextualSpacing/>
              <w:rPr>
                <w:rFonts w:ascii="Calibri" w:eastAsia="Calibri" w:hAnsi="Calibri" w:cs="Times New Roman"/>
                <w:b/>
                <w:sz w:val="24"/>
                <w:szCs w:val="24"/>
              </w:rPr>
            </w:pPr>
            <w:r w:rsidRPr="00114A9E">
              <w:rPr>
                <w:rFonts w:ascii="Calibri" w:eastAsia="Calibri" w:hAnsi="Calibri" w:cs="Times New Roman"/>
                <w:b/>
                <w:sz w:val="24"/>
                <w:szCs w:val="24"/>
              </w:rPr>
              <w:t>Dlhodobé záväzky spolu</w:t>
            </w:r>
          </w:p>
        </w:tc>
        <w:tc>
          <w:tcPr>
            <w:tcW w:w="2615" w:type="dxa"/>
          </w:tcPr>
          <w:p w14:paraId="7ABB5E04" w14:textId="4041447A" w:rsidR="00114A9E" w:rsidRPr="00114A9E" w:rsidRDefault="00114A9E" w:rsidP="00114A9E">
            <w:pPr>
              <w:tabs>
                <w:tab w:val="left" w:pos="1365"/>
              </w:tabs>
              <w:contextualSpacing/>
              <w:rPr>
                <w:rFonts w:ascii="Calibri" w:eastAsia="Calibri" w:hAnsi="Calibri" w:cs="Times New Roman"/>
                <w:b/>
                <w:sz w:val="28"/>
                <w:szCs w:val="28"/>
              </w:rPr>
            </w:pPr>
          </w:p>
        </w:tc>
        <w:tc>
          <w:tcPr>
            <w:tcW w:w="3884" w:type="dxa"/>
          </w:tcPr>
          <w:p w14:paraId="0112B46C" w14:textId="4EA75AA7" w:rsidR="00114A9E" w:rsidRPr="00114A9E" w:rsidRDefault="00114A9E" w:rsidP="00114A9E">
            <w:pPr>
              <w:tabs>
                <w:tab w:val="left" w:pos="1365"/>
              </w:tabs>
              <w:contextualSpacing/>
              <w:rPr>
                <w:rFonts w:ascii="Calibri" w:eastAsia="Calibri" w:hAnsi="Calibri" w:cs="Times New Roman"/>
                <w:b/>
                <w:sz w:val="28"/>
                <w:szCs w:val="28"/>
              </w:rPr>
            </w:pPr>
          </w:p>
        </w:tc>
      </w:tr>
    </w:tbl>
    <w:p w14:paraId="378549EC" w14:textId="77777777" w:rsidR="00114A9E" w:rsidRPr="00114A9E" w:rsidRDefault="00114A9E" w:rsidP="00114A9E">
      <w:pPr>
        <w:tabs>
          <w:tab w:val="left" w:pos="1365"/>
        </w:tabs>
        <w:spacing w:after="200" w:line="276" w:lineRule="auto"/>
        <w:rPr>
          <w:rFonts w:ascii="Calibri" w:eastAsia="Calibri" w:hAnsi="Calibri" w:cs="Times New Roman"/>
          <w:b/>
          <w:sz w:val="28"/>
          <w:szCs w:val="28"/>
        </w:rPr>
      </w:pPr>
    </w:p>
    <w:p w14:paraId="0F71B037" w14:textId="77777777" w:rsidR="00114A9E" w:rsidRPr="00114A9E" w:rsidRDefault="00114A9E" w:rsidP="00114A9E">
      <w:pPr>
        <w:tabs>
          <w:tab w:val="left" w:pos="1365"/>
        </w:tabs>
        <w:spacing w:after="200" w:line="276" w:lineRule="auto"/>
        <w:rPr>
          <w:rFonts w:ascii="Calibri" w:eastAsia="Calibri" w:hAnsi="Calibri" w:cs="Times New Roman"/>
          <w:b/>
          <w:sz w:val="28"/>
          <w:szCs w:val="28"/>
        </w:rPr>
      </w:pPr>
    </w:p>
    <w:p w14:paraId="1781DA6A" w14:textId="77777777" w:rsidR="00114A9E" w:rsidRPr="00114A9E" w:rsidRDefault="00114A9E" w:rsidP="00114A9E">
      <w:pPr>
        <w:numPr>
          <w:ilvl w:val="0"/>
          <w:numId w:val="1"/>
        </w:numPr>
        <w:tabs>
          <w:tab w:val="left" w:pos="1365"/>
        </w:tabs>
        <w:spacing w:after="200" w:line="276" w:lineRule="auto"/>
        <w:contextualSpacing/>
        <w:rPr>
          <w:rFonts w:ascii="Calibri" w:eastAsia="Calibri" w:hAnsi="Calibri" w:cs="Times New Roman"/>
          <w:b/>
          <w:sz w:val="28"/>
          <w:szCs w:val="28"/>
        </w:rPr>
      </w:pPr>
      <w:r w:rsidRPr="00114A9E">
        <w:rPr>
          <w:rFonts w:ascii="Calibri" w:eastAsia="Calibri" w:hAnsi="Calibri" w:cs="Times New Roman"/>
          <w:b/>
          <w:sz w:val="28"/>
          <w:szCs w:val="28"/>
        </w:rPr>
        <w:t>Informácie o iných aktívach a pasívach</w:t>
      </w:r>
    </w:p>
    <w:p w14:paraId="6BA4E354"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Spoločnosť nemá podmienené záväzky.</w:t>
      </w:r>
    </w:p>
    <w:p w14:paraId="2FB21104"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r w:rsidRPr="00114A9E">
        <w:rPr>
          <w:rFonts w:ascii="Calibri" w:eastAsia="Calibri" w:hAnsi="Calibri" w:cs="Times New Roman"/>
          <w:b/>
          <w:sz w:val="24"/>
          <w:szCs w:val="24"/>
        </w:rPr>
        <w:t xml:space="preserve">  Najatý majetok </w:t>
      </w:r>
    </w:p>
    <w:p w14:paraId="5D4397E6" w14:textId="157FAF3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b/>
          <w:sz w:val="24"/>
          <w:szCs w:val="24"/>
        </w:rPr>
        <w:t xml:space="preserve">   </w:t>
      </w:r>
      <w:r w:rsidRPr="00114A9E">
        <w:rPr>
          <w:rFonts w:ascii="Calibri" w:eastAsia="Calibri" w:hAnsi="Calibri" w:cs="Times New Roman"/>
          <w:sz w:val="24"/>
          <w:szCs w:val="24"/>
        </w:rPr>
        <w:t>Spoločnosť</w:t>
      </w:r>
      <w:r w:rsidR="008A4CC0">
        <w:rPr>
          <w:rFonts w:ascii="Calibri" w:eastAsia="Calibri" w:hAnsi="Calibri" w:cs="Times New Roman"/>
          <w:sz w:val="24"/>
          <w:szCs w:val="24"/>
        </w:rPr>
        <w:t xml:space="preserve"> nemá prenajatý majetok.</w:t>
      </w:r>
    </w:p>
    <w:p w14:paraId="05273D68"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p>
    <w:p w14:paraId="4D6B7301" w14:textId="77777777" w:rsidR="00114A9E" w:rsidRPr="00114A9E" w:rsidRDefault="00114A9E" w:rsidP="00114A9E">
      <w:pPr>
        <w:numPr>
          <w:ilvl w:val="0"/>
          <w:numId w:val="1"/>
        </w:numPr>
        <w:tabs>
          <w:tab w:val="left" w:pos="1365"/>
        </w:tabs>
        <w:spacing w:after="200" w:line="276" w:lineRule="auto"/>
        <w:contextualSpacing/>
        <w:rPr>
          <w:rFonts w:ascii="Calibri" w:eastAsia="Calibri" w:hAnsi="Calibri" w:cs="Times New Roman"/>
          <w:sz w:val="24"/>
          <w:szCs w:val="24"/>
        </w:rPr>
      </w:pPr>
      <w:r w:rsidRPr="00114A9E">
        <w:rPr>
          <w:rFonts w:ascii="Calibri" w:eastAsia="Calibri" w:hAnsi="Calibri" w:cs="Times New Roman"/>
          <w:b/>
          <w:sz w:val="28"/>
          <w:szCs w:val="28"/>
        </w:rPr>
        <w:t>Informácie o skutočnostiach, ktoré nastali po dni, ku ktorému sa zostavuje účtovná závierka do dňa zostavenia účtovnej závierky</w:t>
      </w:r>
    </w:p>
    <w:p w14:paraId="2E27DE5B" w14:textId="77777777" w:rsidR="00114A9E" w:rsidRPr="00114A9E" w:rsidRDefault="00114A9E" w:rsidP="00114A9E">
      <w:pPr>
        <w:tabs>
          <w:tab w:val="left" w:pos="1365"/>
        </w:tabs>
        <w:spacing w:after="200" w:line="276" w:lineRule="auto"/>
        <w:ind w:left="284"/>
        <w:rPr>
          <w:rFonts w:ascii="Calibri" w:eastAsia="Calibri" w:hAnsi="Calibri" w:cs="Times New Roman"/>
          <w:sz w:val="24"/>
          <w:szCs w:val="24"/>
        </w:rPr>
      </w:pPr>
      <w:r w:rsidRPr="00114A9E">
        <w:rPr>
          <w:rFonts w:ascii="Calibri" w:eastAsia="Calibri" w:hAnsi="Calibri" w:cs="Times New Roman"/>
          <w:sz w:val="24"/>
          <w:szCs w:val="24"/>
        </w:rPr>
        <w:t>Do dňa zostavenia účtovnej závierky nevnikli žiadne skutočnosti, ktoré by mali vplyv na finančnú situáciu spoločnosti.</w:t>
      </w:r>
    </w:p>
    <w:p w14:paraId="4A8A1F9A"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sz w:val="24"/>
          <w:szCs w:val="24"/>
        </w:rPr>
      </w:pPr>
    </w:p>
    <w:p w14:paraId="2FEB28EB"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p>
    <w:p w14:paraId="6B8D8E45"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sz w:val="24"/>
          <w:szCs w:val="24"/>
        </w:rPr>
      </w:pPr>
    </w:p>
    <w:p w14:paraId="3097D12C"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p>
    <w:p w14:paraId="4B40523C" w14:textId="77777777" w:rsidR="00114A9E" w:rsidRPr="00114A9E" w:rsidRDefault="00114A9E" w:rsidP="00114A9E">
      <w:pPr>
        <w:tabs>
          <w:tab w:val="left" w:pos="1365"/>
        </w:tabs>
        <w:spacing w:after="200" w:line="276" w:lineRule="auto"/>
        <w:ind w:left="990"/>
        <w:contextualSpacing/>
        <w:rPr>
          <w:rFonts w:ascii="Calibri" w:eastAsia="Calibri" w:hAnsi="Calibri" w:cs="Times New Roman"/>
          <w:sz w:val="24"/>
          <w:szCs w:val="24"/>
        </w:rPr>
      </w:pPr>
      <w:r w:rsidRPr="00114A9E">
        <w:rPr>
          <w:rFonts w:ascii="Calibri" w:eastAsia="Calibri" w:hAnsi="Calibri" w:cs="Times New Roman"/>
          <w:sz w:val="24"/>
          <w:szCs w:val="24"/>
        </w:rPr>
        <w:lastRenderedPageBreak/>
        <w:t xml:space="preserve">  </w:t>
      </w:r>
    </w:p>
    <w:p w14:paraId="7D9FAC0C"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p>
    <w:p w14:paraId="719849E8"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p>
    <w:p w14:paraId="7A584BBA" w14:textId="77777777" w:rsidR="00114A9E" w:rsidRPr="00114A9E" w:rsidRDefault="00114A9E" w:rsidP="00114A9E">
      <w:pPr>
        <w:tabs>
          <w:tab w:val="left" w:pos="1365"/>
        </w:tabs>
        <w:spacing w:after="200" w:line="276" w:lineRule="auto"/>
        <w:rPr>
          <w:rFonts w:ascii="Calibri" w:eastAsia="Calibri" w:hAnsi="Calibri" w:cs="Times New Roman"/>
          <w:sz w:val="24"/>
          <w:szCs w:val="24"/>
        </w:rPr>
      </w:pPr>
      <w:r w:rsidRPr="00114A9E">
        <w:rPr>
          <w:rFonts w:ascii="Calibri" w:eastAsia="Calibri" w:hAnsi="Calibri" w:cs="Times New Roman"/>
          <w:sz w:val="24"/>
          <w:szCs w:val="24"/>
        </w:rPr>
        <w:t xml:space="preserve"> </w:t>
      </w:r>
    </w:p>
    <w:p w14:paraId="285E27EA" w14:textId="77777777" w:rsidR="00114A9E" w:rsidRPr="00114A9E" w:rsidRDefault="00114A9E" w:rsidP="00114A9E">
      <w:pPr>
        <w:tabs>
          <w:tab w:val="left" w:pos="1365"/>
        </w:tabs>
        <w:spacing w:after="200" w:line="276" w:lineRule="auto"/>
        <w:rPr>
          <w:rFonts w:ascii="Calibri" w:eastAsia="Calibri" w:hAnsi="Calibri" w:cs="Times New Roman"/>
          <w:b/>
          <w:sz w:val="24"/>
          <w:szCs w:val="24"/>
        </w:rPr>
      </w:pPr>
    </w:p>
    <w:p w14:paraId="3F2E13E6" w14:textId="77777777" w:rsidR="00114A9E" w:rsidRPr="00114A9E" w:rsidRDefault="00114A9E" w:rsidP="00114A9E">
      <w:pPr>
        <w:tabs>
          <w:tab w:val="left" w:pos="1365"/>
        </w:tabs>
        <w:spacing w:after="200" w:line="276" w:lineRule="auto"/>
        <w:ind w:left="840"/>
        <w:contextualSpacing/>
        <w:rPr>
          <w:rFonts w:ascii="Calibri" w:eastAsia="Calibri" w:hAnsi="Calibri" w:cs="Times New Roman"/>
          <w:b/>
          <w:sz w:val="24"/>
          <w:szCs w:val="24"/>
        </w:rPr>
      </w:pPr>
    </w:p>
    <w:p w14:paraId="65BE3ADD" w14:textId="77777777" w:rsidR="00114A9E" w:rsidRPr="00114A9E" w:rsidRDefault="00114A9E" w:rsidP="00114A9E">
      <w:pPr>
        <w:tabs>
          <w:tab w:val="left" w:pos="1365"/>
        </w:tabs>
        <w:spacing w:after="200" w:line="276" w:lineRule="auto"/>
        <w:ind w:left="1004"/>
        <w:contextualSpacing/>
        <w:rPr>
          <w:rFonts w:ascii="Calibri" w:eastAsia="Calibri" w:hAnsi="Calibri" w:cs="Times New Roman"/>
          <w:sz w:val="24"/>
          <w:szCs w:val="24"/>
        </w:rPr>
      </w:pPr>
      <w:r w:rsidRPr="00114A9E">
        <w:rPr>
          <w:rFonts w:ascii="Calibri" w:eastAsia="Calibri" w:hAnsi="Calibri" w:cs="Times New Roman"/>
          <w:sz w:val="24"/>
          <w:szCs w:val="24"/>
        </w:rPr>
        <w:t xml:space="preserve"> </w:t>
      </w:r>
    </w:p>
    <w:p w14:paraId="4DE52818" w14:textId="77777777" w:rsidR="00114A9E" w:rsidRPr="00114A9E" w:rsidRDefault="00114A9E" w:rsidP="00114A9E">
      <w:pPr>
        <w:tabs>
          <w:tab w:val="left" w:pos="1365"/>
        </w:tabs>
        <w:spacing w:after="200" w:line="276" w:lineRule="auto"/>
        <w:ind w:left="644"/>
        <w:contextualSpacing/>
        <w:rPr>
          <w:rFonts w:ascii="Calibri" w:eastAsia="Calibri" w:hAnsi="Calibri" w:cs="Times New Roman"/>
          <w:b/>
          <w:sz w:val="24"/>
          <w:szCs w:val="24"/>
        </w:rPr>
      </w:pPr>
    </w:p>
    <w:p w14:paraId="6B400B90" w14:textId="77777777" w:rsidR="007414D2" w:rsidRDefault="007414D2"/>
    <w:sectPr w:rsidR="007414D2" w:rsidSect="002C17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559C2"/>
    <w:multiLevelType w:val="hybridMultilevel"/>
    <w:tmpl w:val="00A620C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5003950"/>
    <w:multiLevelType w:val="hybridMultilevel"/>
    <w:tmpl w:val="2D8010BE"/>
    <w:lvl w:ilvl="0" w:tplc="28628B44">
      <w:start w:val="1"/>
      <w:numFmt w:val="decimal"/>
      <w:lvlText w:val="%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 w15:restartNumberingAfterBreak="0">
    <w:nsid w:val="286E3F17"/>
    <w:multiLevelType w:val="hybridMultilevel"/>
    <w:tmpl w:val="DC2AF69A"/>
    <w:lvl w:ilvl="0" w:tplc="0214FE5C">
      <w:start w:val="1"/>
      <w:numFmt w:val="decimal"/>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3" w15:restartNumberingAfterBreak="0">
    <w:nsid w:val="29AA1533"/>
    <w:multiLevelType w:val="hybridMultilevel"/>
    <w:tmpl w:val="CB94A022"/>
    <w:lvl w:ilvl="0" w:tplc="47864D02">
      <w:start w:val="1"/>
      <w:numFmt w:val="lowerLetter"/>
      <w:lvlText w:val="%1)"/>
      <w:lvlJc w:val="left"/>
      <w:pPr>
        <w:ind w:left="990" w:hanging="360"/>
      </w:pPr>
      <w:rPr>
        <w:rFonts w:hint="default"/>
      </w:rPr>
    </w:lvl>
    <w:lvl w:ilvl="1" w:tplc="041B0019" w:tentative="1">
      <w:start w:val="1"/>
      <w:numFmt w:val="lowerLetter"/>
      <w:lvlText w:val="%2."/>
      <w:lvlJc w:val="left"/>
      <w:pPr>
        <w:ind w:left="1710" w:hanging="360"/>
      </w:pPr>
    </w:lvl>
    <w:lvl w:ilvl="2" w:tplc="041B001B" w:tentative="1">
      <w:start w:val="1"/>
      <w:numFmt w:val="lowerRoman"/>
      <w:lvlText w:val="%3."/>
      <w:lvlJc w:val="right"/>
      <w:pPr>
        <w:ind w:left="2430" w:hanging="180"/>
      </w:pPr>
    </w:lvl>
    <w:lvl w:ilvl="3" w:tplc="041B000F" w:tentative="1">
      <w:start w:val="1"/>
      <w:numFmt w:val="decimal"/>
      <w:lvlText w:val="%4."/>
      <w:lvlJc w:val="left"/>
      <w:pPr>
        <w:ind w:left="3150" w:hanging="360"/>
      </w:pPr>
    </w:lvl>
    <w:lvl w:ilvl="4" w:tplc="041B0019" w:tentative="1">
      <w:start w:val="1"/>
      <w:numFmt w:val="lowerLetter"/>
      <w:lvlText w:val="%5."/>
      <w:lvlJc w:val="left"/>
      <w:pPr>
        <w:ind w:left="3870" w:hanging="360"/>
      </w:pPr>
    </w:lvl>
    <w:lvl w:ilvl="5" w:tplc="041B001B" w:tentative="1">
      <w:start w:val="1"/>
      <w:numFmt w:val="lowerRoman"/>
      <w:lvlText w:val="%6."/>
      <w:lvlJc w:val="right"/>
      <w:pPr>
        <w:ind w:left="4590" w:hanging="180"/>
      </w:pPr>
    </w:lvl>
    <w:lvl w:ilvl="6" w:tplc="041B000F" w:tentative="1">
      <w:start w:val="1"/>
      <w:numFmt w:val="decimal"/>
      <w:lvlText w:val="%7."/>
      <w:lvlJc w:val="left"/>
      <w:pPr>
        <w:ind w:left="5310" w:hanging="360"/>
      </w:pPr>
    </w:lvl>
    <w:lvl w:ilvl="7" w:tplc="041B0019" w:tentative="1">
      <w:start w:val="1"/>
      <w:numFmt w:val="lowerLetter"/>
      <w:lvlText w:val="%8."/>
      <w:lvlJc w:val="left"/>
      <w:pPr>
        <w:ind w:left="6030" w:hanging="360"/>
      </w:pPr>
    </w:lvl>
    <w:lvl w:ilvl="8" w:tplc="041B001B" w:tentative="1">
      <w:start w:val="1"/>
      <w:numFmt w:val="lowerRoman"/>
      <w:lvlText w:val="%9."/>
      <w:lvlJc w:val="right"/>
      <w:pPr>
        <w:ind w:left="6750" w:hanging="180"/>
      </w:pPr>
    </w:lvl>
  </w:abstractNum>
  <w:abstractNum w:abstractNumId="4" w15:restartNumberingAfterBreak="0">
    <w:nsid w:val="2B575710"/>
    <w:multiLevelType w:val="hybridMultilevel"/>
    <w:tmpl w:val="4D5AEDC6"/>
    <w:lvl w:ilvl="0" w:tplc="65A28D26">
      <w:start w:val="1"/>
      <w:numFmt w:val="decimal"/>
      <w:lvlText w:val="%1."/>
      <w:lvlJc w:val="left"/>
      <w:pPr>
        <w:ind w:left="1275" w:hanging="360"/>
      </w:pPr>
      <w:rPr>
        <w:rFonts w:hint="default"/>
      </w:rPr>
    </w:lvl>
    <w:lvl w:ilvl="1" w:tplc="041B0019" w:tentative="1">
      <w:start w:val="1"/>
      <w:numFmt w:val="lowerLetter"/>
      <w:lvlText w:val="%2."/>
      <w:lvlJc w:val="left"/>
      <w:pPr>
        <w:ind w:left="1995" w:hanging="360"/>
      </w:pPr>
    </w:lvl>
    <w:lvl w:ilvl="2" w:tplc="041B001B" w:tentative="1">
      <w:start w:val="1"/>
      <w:numFmt w:val="lowerRoman"/>
      <w:lvlText w:val="%3."/>
      <w:lvlJc w:val="right"/>
      <w:pPr>
        <w:ind w:left="2715" w:hanging="180"/>
      </w:pPr>
    </w:lvl>
    <w:lvl w:ilvl="3" w:tplc="041B000F" w:tentative="1">
      <w:start w:val="1"/>
      <w:numFmt w:val="decimal"/>
      <w:lvlText w:val="%4."/>
      <w:lvlJc w:val="left"/>
      <w:pPr>
        <w:ind w:left="3435" w:hanging="360"/>
      </w:pPr>
    </w:lvl>
    <w:lvl w:ilvl="4" w:tplc="041B0019" w:tentative="1">
      <w:start w:val="1"/>
      <w:numFmt w:val="lowerLetter"/>
      <w:lvlText w:val="%5."/>
      <w:lvlJc w:val="left"/>
      <w:pPr>
        <w:ind w:left="4155" w:hanging="360"/>
      </w:pPr>
    </w:lvl>
    <w:lvl w:ilvl="5" w:tplc="041B001B" w:tentative="1">
      <w:start w:val="1"/>
      <w:numFmt w:val="lowerRoman"/>
      <w:lvlText w:val="%6."/>
      <w:lvlJc w:val="right"/>
      <w:pPr>
        <w:ind w:left="4875" w:hanging="180"/>
      </w:pPr>
    </w:lvl>
    <w:lvl w:ilvl="6" w:tplc="041B000F" w:tentative="1">
      <w:start w:val="1"/>
      <w:numFmt w:val="decimal"/>
      <w:lvlText w:val="%7."/>
      <w:lvlJc w:val="left"/>
      <w:pPr>
        <w:ind w:left="5595" w:hanging="360"/>
      </w:pPr>
    </w:lvl>
    <w:lvl w:ilvl="7" w:tplc="041B0019" w:tentative="1">
      <w:start w:val="1"/>
      <w:numFmt w:val="lowerLetter"/>
      <w:lvlText w:val="%8."/>
      <w:lvlJc w:val="left"/>
      <w:pPr>
        <w:ind w:left="6315" w:hanging="360"/>
      </w:pPr>
    </w:lvl>
    <w:lvl w:ilvl="8" w:tplc="041B001B" w:tentative="1">
      <w:start w:val="1"/>
      <w:numFmt w:val="lowerRoman"/>
      <w:lvlText w:val="%9."/>
      <w:lvlJc w:val="right"/>
      <w:pPr>
        <w:ind w:left="7035" w:hanging="180"/>
      </w:pPr>
    </w:lvl>
  </w:abstractNum>
  <w:abstractNum w:abstractNumId="5" w15:restartNumberingAfterBreak="0">
    <w:nsid w:val="2D2A5DEA"/>
    <w:multiLevelType w:val="hybridMultilevel"/>
    <w:tmpl w:val="B2D08094"/>
    <w:lvl w:ilvl="0" w:tplc="981A9AF2">
      <w:start w:val="1"/>
      <w:numFmt w:val="decimal"/>
      <w:lvlText w:val="%1."/>
      <w:lvlJc w:val="left"/>
      <w:pPr>
        <w:ind w:left="1110" w:hanging="360"/>
      </w:pPr>
      <w:rPr>
        <w:rFonts w:hint="default"/>
      </w:rPr>
    </w:lvl>
    <w:lvl w:ilvl="1" w:tplc="041B0019" w:tentative="1">
      <w:start w:val="1"/>
      <w:numFmt w:val="lowerLetter"/>
      <w:lvlText w:val="%2."/>
      <w:lvlJc w:val="left"/>
      <w:pPr>
        <w:ind w:left="1830" w:hanging="360"/>
      </w:pPr>
    </w:lvl>
    <w:lvl w:ilvl="2" w:tplc="041B001B" w:tentative="1">
      <w:start w:val="1"/>
      <w:numFmt w:val="lowerRoman"/>
      <w:lvlText w:val="%3."/>
      <w:lvlJc w:val="right"/>
      <w:pPr>
        <w:ind w:left="2550" w:hanging="180"/>
      </w:pPr>
    </w:lvl>
    <w:lvl w:ilvl="3" w:tplc="041B000F" w:tentative="1">
      <w:start w:val="1"/>
      <w:numFmt w:val="decimal"/>
      <w:lvlText w:val="%4."/>
      <w:lvlJc w:val="left"/>
      <w:pPr>
        <w:ind w:left="3270" w:hanging="360"/>
      </w:pPr>
    </w:lvl>
    <w:lvl w:ilvl="4" w:tplc="041B0019" w:tentative="1">
      <w:start w:val="1"/>
      <w:numFmt w:val="lowerLetter"/>
      <w:lvlText w:val="%5."/>
      <w:lvlJc w:val="left"/>
      <w:pPr>
        <w:ind w:left="3990" w:hanging="360"/>
      </w:pPr>
    </w:lvl>
    <w:lvl w:ilvl="5" w:tplc="041B001B" w:tentative="1">
      <w:start w:val="1"/>
      <w:numFmt w:val="lowerRoman"/>
      <w:lvlText w:val="%6."/>
      <w:lvlJc w:val="right"/>
      <w:pPr>
        <w:ind w:left="4710" w:hanging="180"/>
      </w:pPr>
    </w:lvl>
    <w:lvl w:ilvl="6" w:tplc="041B000F" w:tentative="1">
      <w:start w:val="1"/>
      <w:numFmt w:val="decimal"/>
      <w:lvlText w:val="%7."/>
      <w:lvlJc w:val="left"/>
      <w:pPr>
        <w:ind w:left="5430" w:hanging="360"/>
      </w:pPr>
    </w:lvl>
    <w:lvl w:ilvl="7" w:tplc="041B0019" w:tentative="1">
      <w:start w:val="1"/>
      <w:numFmt w:val="lowerLetter"/>
      <w:lvlText w:val="%8."/>
      <w:lvlJc w:val="left"/>
      <w:pPr>
        <w:ind w:left="6150" w:hanging="360"/>
      </w:pPr>
    </w:lvl>
    <w:lvl w:ilvl="8" w:tplc="041B001B" w:tentative="1">
      <w:start w:val="1"/>
      <w:numFmt w:val="lowerRoman"/>
      <w:lvlText w:val="%9."/>
      <w:lvlJc w:val="right"/>
      <w:pPr>
        <w:ind w:left="6870" w:hanging="180"/>
      </w:pPr>
    </w:lvl>
  </w:abstractNum>
  <w:abstractNum w:abstractNumId="6" w15:restartNumberingAfterBreak="0">
    <w:nsid w:val="42684F7C"/>
    <w:multiLevelType w:val="hybridMultilevel"/>
    <w:tmpl w:val="1A84C490"/>
    <w:lvl w:ilvl="0" w:tplc="E050DF40">
      <w:start w:val="1"/>
      <w:numFmt w:val="decimal"/>
      <w:lvlText w:val="%1."/>
      <w:lvlJc w:val="left"/>
      <w:pPr>
        <w:ind w:left="1004" w:hanging="360"/>
      </w:pPr>
      <w:rPr>
        <w:rFonts w:hint="default"/>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7" w15:restartNumberingAfterBreak="0">
    <w:nsid w:val="51D81E5E"/>
    <w:multiLevelType w:val="hybridMultilevel"/>
    <w:tmpl w:val="899CA760"/>
    <w:lvl w:ilvl="0" w:tplc="A148BB2E">
      <w:start w:val="1"/>
      <w:numFmt w:val="upperLetter"/>
      <w:lvlText w:val="%1."/>
      <w:lvlJc w:val="left"/>
      <w:pPr>
        <w:ind w:left="644"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C7B6FD5"/>
    <w:multiLevelType w:val="hybridMultilevel"/>
    <w:tmpl w:val="6A0A69C4"/>
    <w:lvl w:ilvl="0" w:tplc="BB82133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74A3744C"/>
    <w:multiLevelType w:val="hybridMultilevel"/>
    <w:tmpl w:val="41B2CF60"/>
    <w:lvl w:ilvl="0" w:tplc="92D45474">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258758219">
    <w:abstractNumId w:val="7"/>
  </w:num>
  <w:num w:numId="2" w16cid:durableId="323750022">
    <w:abstractNumId w:val="9"/>
  </w:num>
  <w:num w:numId="3" w16cid:durableId="918365955">
    <w:abstractNumId w:val="4"/>
  </w:num>
  <w:num w:numId="4" w16cid:durableId="104928192">
    <w:abstractNumId w:val="1"/>
  </w:num>
  <w:num w:numId="5" w16cid:durableId="2069643344">
    <w:abstractNumId w:val="6"/>
  </w:num>
  <w:num w:numId="6" w16cid:durableId="725106220">
    <w:abstractNumId w:val="5"/>
  </w:num>
  <w:num w:numId="7" w16cid:durableId="1060709844">
    <w:abstractNumId w:val="0"/>
  </w:num>
  <w:num w:numId="8" w16cid:durableId="1628848764">
    <w:abstractNumId w:val="8"/>
  </w:num>
  <w:num w:numId="9" w16cid:durableId="2052415397">
    <w:abstractNumId w:val="2"/>
  </w:num>
  <w:num w:numId="10" w16cid:durableId="354309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9E"/>
    <w:rsid w:val="00013FC8"/>
    <w:rsid w:val="000427D8"/>
    <w:rsid w:val="000963C6"/>
    <w:rsid w:val="000D1721"/>
    <w:rsid w:val="00114A9E"/>
    <w:rsid w:val="001F5B90"/>
    <w:rsid w:val="004946A6"/>
    <w:rsid w:val="004B79AC"/>
    <w:rsid w:val="005657FE"/>
    <w:rsid w:val="0063671C"/>
    <w:rsid w:val="00660173"/>
    <w:rsid w:val="006647E9"/>
    <w:rsid w:val="0067324A"/>
    <w:rsid w:val="006B009F"/>
    <w:rsid w:val="00715F39"/>
    <w:rsid w:val="007414D2"/>
    <w:rsid w:val="00817F84"/>
    <w:rsid w:val="00830C34"/>
    <w:rsid w:val="008A4CC0"/>
    <w:rsid w:val="00916AA7"/>
    <w:rsid w:val="0096795B"/>
    <w:rsid w:val="00984399"/>
    <w:rsid w:val="00A50606"/>
    <w:rsid w:val="00A9444E"/>
    <w:rsid w:val="00AF5708"/>
    <w:rsid w:val="00B22870"/>
    <w:rsid w:val="00B25FD8"/>
    <w:rsid w:val="00B41FCE"/>
    <w:rsid w:val="00B64F50"/>
    <w:rsid w:val="00BA0106"/>
    <w:rsid w:val="00BA7AAC"/>
    <w:rsid w:val="00BB21E6"/>
    <w:rsid w:val="00C35E52"/>
    <w:rsid w:val="00CE29C7"/>
    <w:rsid w:val="00D550F5"/>
    <w:rsid w:val="00E0263C"/>
    <w:rsid w:val="00E821A5"/>
    <w:rsid w:val="00EC6782"/>
    <w:rsid w:val="00F234DB"/>
    <w:rsid w:val="00F90D5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CBF68"/>
  <w15:chartTrackingRefBased/>
  <w15:docId w15:val="{8CDDCDD7-024D-4913-81FF-7C8F6D246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114A9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riekatabuky">
    <w:name w:val="Table Grid"/>
    <w:basedOn w:val="Normlnatabuka"/>
    <w:uiPriority w:val="39"/>
    <w:rsid w:val="00114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1591</Words>
  <Characters>9069</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Administrátor</dc:creator>
  <cp:keywords/>
  <dc:description/>
  <cp:lastModifiedBy>Bibiána Janšová</cp:lastModifiedBy>
  <cp:revision>4</cp:revision>
  <cp:lastPrinted>2018-06-26T10:46:00Z</cp:lastPrinted>
  <dcterms:created xsi:type="dcterms:W3CDTF">2024-06-19T16:24:00Z</dcterms:created>
  <dcterms:modified xsi:type="dcterms:W3CDTF">2024-06-19T16:25:00Z</dcterms:modified>
</cp:coreProperties>
</file>