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93D885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Poznámky </w:t>
      </w:r>
    </w:p>
    <w:p w14:paraId="2AE62183" w14:textId="01211DFD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konsolidovanej účtovnej závierky zostavenej k 31.12.202</w:t>
      </w:r>
      <w:r w:rsidR="00E736C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</w:t>
      </w:r>
    </w:p>
    <w:p w14:paraId="59A06519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účtovnej jednotky verejnej správy </w:t>
      </w:r>
    </w:p>
    <w:p w14:paraId="795346FF" w14:textId="1AF5147A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obce</w:t>
      </w:r>
      <w:r w:rsidR="00A75BD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Horné Obdokovce </w:t>
      </w:r>
    </w:p>
    <w:p w14:paraId="0AD79974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C26B183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Všeobecné údaje</w:t>
      </w:r>
    </w:p>
    <w:p w14:paraId="4374B52C" w14:textId="77777777" w:rsidR="002169FD" w:rsidRPr="00FB0147" w:rsidRDefault="002169FD" w:rsidP="002169F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5736DE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1C97FCBF" w14:textId="77777777" w:rsidTr="0018571B">
        <w:tc>
          <w:tcPr>
            <w:tcW w:w="4781" w:type="dxa"/>
            <w:vAlign w:val="center"/>
          </w:tcPr>
          <w:p w14:paraId="7FE0D356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konsolidujúcej účtovnej jednotky</w:t>
            </w:r>
          </w:p>
        </w:tc>
        <w:tc>
          <w:tcPr>
            <w:tcW w:w="5479" w:type="dxa"/>
          </w:tcPr>
          <w:p w14:paraId="6F1891A3" w14:textId="471F3CF3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Horné Obdokovce</w:t>
            </w:r>
          </w:p>
        </w:tc>
      </w:tr>
      <w:tr w:rsidR="002169FD" w:rsidRPr="00FB0147" w14:paraId="5834B149" w14:textId="77777777" w:rsidTr="0018571B">
        <w:tc>
          <w:tcPr>
            <w:tcW w:w="4781" w:type="dxa"/>
            <w:vAlign w:val="center"/>
          </w:tcPr>
          <w:p w14:paraId="0DC7FFD6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konsolidujúcej účtovnej jednotky</w:t>
            </w:r>
          </w:p>
        </w:tc>
        <w:tc>
          <w:tcPr>
            <w:tcW w:w="5479" w:type="dxa"/>
          </w:tcPr>
          <w:p w14:paraId="4CAE5D0E" w14:textId="14720BB3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Horné Obdokovce 389, 956 08</w:t>
            </w:r>
          </w:p>
        </w:tc>
      </w:tr>
      <w:tr w:rsidR="002169FD" w:rsidRPr="00FB0147" w14:paraId="6E089282" w14:textId="77777777" w:rsidTr="0018571B">
        <w:tc>
          <w:tcPr>
            <w:tcW w:w="4781" w:type="dxa"/>
            <w:vAlign w:val="center"/>
          </w:tcPr>
          <w:p w14:paraId="78821721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31BE567C" w14:textId="7C9AB55D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1991 </w:t>
            </w:r>
            <w:r w:rsidR="00D71C5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zákona</w:t>
            </w:r>
          </w:p>
        </w:tc>
      </w:tr>
      <w:tr w:rsidR="002169FD" w:rsidRPr="00FB0147" w14:paraId="5D9A6C66" w14:textId="77777777" w:rsidTr="0018571B">
        <w:tc>
          <w:tcPr>
            <w:tcW w:w="4781" w:type="dxa"/>
            <w:vAlign w:val="center"/>
          </w:tcPr>
          <w:p w14:paraId="59E97FA8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</w:t>
            </w:r>
          </w:p>
        </w:tc>
        <w:tc>
          <w:tcPr>
            <w:tcW w:w="5479" w:type="dxa"/>
          </w:tcPr>
          <w:p w14:paraId="6DD348BD" w14:textId="4B35C00C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Marián Beneš, starosta </w:t>
            </w:r>
          </w:p>
        </w:tc>
      </w:tr>
    </w:tbl>
    <w:p w14:paraId="083D7B12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39A7183D" w14:textId="30198486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Identifikačné údaje o konsolidovaných  účtovných  jednotkách</w:t>
      </w:r>
      <w:r w:rsidR="00D822FB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v</w:t>
      </w: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0EF93D67" w14:textId="77777777" w:rsidTr="0018571B">
        <w:tc>
          <w:tcPr>
            <w:tcW w:w="4781" w:type="dxa"/>
            <w:vAlign w:val="center"/>
          </w:tcPr>
          <w:p w14:paraId="5A59A690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konsolidovanej účtovnej jednotky</w:t>
            </w:r>
          </w:p>
        </w:tc>
        <w:tc>
          <w:tcPr>
            <w:tcW w:w="5479" w:type="dxa"/>
          </w:tcPr>
          <w:p w14:paraId="3C57CA50" w14:textId="0AF8C80E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Základná škola </w:t>
            </w:r>
            <w:r w:rsidR="00A75BD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 Materskou školou</w:t>
            </w:r>
          </w:p>
        </w:tc>
      </w:tr>
      <w:tr w:rsidR="002169FD" w:rsidRPr="00FB0147" w14:paraId="55C79C47" w14:textId="77777777" w:rsidTr="0018571B">
        <w:tc>
          <w:tcPr>
            <w:tcW w:w="4781" w:type="dxa"/>
            <w:vAlign w:val="center"/>
          </w:tcPr>
          <w:p w14:paraId="0AB53FD5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konsolidovanej účtovnej jednotky</w:t>
            </w:r>
          </w:p>
        </w:tc>
        <w:tc>
          <w:tcPr>
            <w:tcW w:w="5479" w:type="dxa"/>
          </w:tcPr>
          <w:p w14:paraId="665E96AF" w14:textId="051F8427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Horné Obdokovce 393, 956 08</w:t>
            </w:r>
          </w:p>
        </w:tc>
      </w:tr>
      <w:tr w:rsidR="002169FD" w:rsidRPr="00FB0147" w14:paraId="1D455013" w14:textId="77777777" w:rsidTr="0018571B">
        <w:tc>
          <w:tcPr>
            <w:tcW w:w="4781" w:type="dxa"/>
            <w:vAlign w:val="center"/>
          </w:tcPr>
          <w:p w14:paraId="65C32E6D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BD8F540" w14:textId="251D6F16" w:rsidR="002169FD" w:rsidRPr="00FB0147" w:rsidRDefault="00A75BDC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1.1.2004</w:t>
            </w:r>
          </w:p>
        </w:tc>
      </w:tr>
    </w:tbl>
    <w:p w14:paraId="6C24AC8C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5FC65FA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169FD" w:rsidRPr="00FB0147" w14:paraId="6D6572D4" w14:textId="77777777" w:rsidTr="0018571B">
        <w:tc>
          <w:tcPr>
            <w:tcW w:w="4781" w:type="dxa"/>
            <w:vAlign w:val="center"/>
          </w:tcPr>
          <w:p w14:paraId="4EE1100C" w14:textId="77777777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14:paraId="219F0A93" w14:textId="6E881DC4" w:rsidR="002169FD" w:rsidRPr="00FB0147" w:rsidRDefault="002169FD" w:rsidP="00E736C7">
            <w:pPr>
              <w:spacing w:after="0" w:line="360" w:lineRule="auto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75BD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42 </w:t>
            </w:r>
            <w:r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2169FD" w:rsidRPr="00FB0147" w14:paraId="6170928B" w14:textId="77777777" w:rsidTr="0018571B">
        <w:tc>
          <w:tcPr>
            <w:tcW w:w="4781" w:type="dxa"/>
            <w:vAlign w:val="center"/>
          </w:tcPr>
          <w:p w14:paraId="67F32F84" w14:textId="130F37B9" w:rsidR="002169FD" w:rsidRPr="00FB0147" w:rsidRDefault="002169FD" w:rsidP="0018571B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toho: </w:t>
            </w:r>
            <w:r w:rsidR="00D822F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Pr="00FB01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očet  vedúcich  zamestnancov </w:t>
            </w:r>
          </w:p>
        </w:tc>
        <w:tc>
          <w:tcPr>
            <w:tcW w:w="5479" w:type="dxa"/>
          </w:tcPr>
          <w:p w14:paraId="09857F48" w14:textId="2AE1D83F" w:rsidR="002169FD" w:rsidRPr="00FB0147" w:rsidRDefault="00E736C7" w:rsidP="00E736C7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>4</w:t>
            </w:r>
            <w:r w:rsidR="00A75BD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169FD" w:rsidRPr="00FB0147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14:paraId="36B2D0D6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050282A1" w14:textId="4F6D1DBC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Konsolidovaný celok sa v roku 202</w:t>
      </w:r>
      <w:r w:rsidR="00E736C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oproti minulým účtovným obdobiam nezmenil.</w:t>
      </w:r>
    </w:p>
    <w:p w14:paraId="4C5A08A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50A7796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o účtovných jednotkách konsolidovaného celku je uvedený v prílohe, 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6D9A8091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B433B07" w14:textId="4B5AF4A9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Konsolidovaná účtovná závierka k 31. decembru 202</w:t>
      </w:r>
      <w:r w:rsidR="00E736C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zostavená ako riadna konsolidovaná účtovná závierka podľa zákona č. 431/2002 Z. z. o účtovníctve v znení neskorších predpisov za účtovné obdobie od 1. januára 202</w:t>
      </w:r>
      <w:r w:rsidR="00E736C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 decembra 202</w:t>
      </w:r>
      <w:r w:rsidR="00E736C7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3D3C5B3A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84982F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Konsolidujúca účtovná jednotka je súčasťou súhrnného celku verejnej správy Slovenskej republiky.</w:t>
      </w:r>
    </w:p>
    <w:p w14:paraId="2CCF344B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2415E65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Konsolidovaná účtovná závierka bola zostavená za predpokladu nepretržitého trvania  činnosti v súlade so zákonom o účtovníctve a nadväzujúcimi právnymi predpismi.</w:t>
      </w:r>
    </w:p>
    <w:p w14:paraId="7732107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AF5B6F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metódy a všeobecné účtovné zásady boli účtovnou jednotkou konzistentne aplikované.  </w:t>
      </w:r>
    </w:p>
    <w:p w14:paraId="20538ADE" w14:textId="77777777" w:rsidR="002169FD" w:rsidRPr="00FB0147" w:rsidRDefault="002169FD" w:rsidP="002169FD">
      <w:pPr>
        <w:shd w:val="clear" w:color="auto" w:fill="FFFFFF"/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31C73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Medzi účtovnými jednotkami konsolidovaného celku neboli uskutočnené transakcie z dôvodu predaja majetku.</w:t>
      </w:r>
    </w:p>
    <w:p w14:paraId="52672B49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5AF4829C" w14:textId="285F0551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 metódach oceňovania použitých pri ocenení jednotlivých položiek konsolidovanej účtovnej závierky</w:t>
      </w:r>
    </w:p>
    <w:p w14:paraId="7143748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D99743" w14:textId="2E8A3F5B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Dlhodobý majetok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obstaraný kúpou sa oceňuje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uje cenu obstarania a náklady súvisiace s obstaraním (clo, prepravu, montáž, poistné a pod.). O zľave z ceny, ktorú poskytol dodávateľ k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majetku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následne zníži obstarávacia cena predmetného majetku.</w:t>
      </w:r>
    </w:p>
    <w:p w14:paraId="0D8CBEE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vytvorený vlastnou činnosťou sa oceňuje vlastnými nákladmi. </w:t>
      </w:r>
    </w:p>
    <w:p w14:paraId="6B8399E6" w14:textId="77777777" w:rsidR="002169FD" w:rsidRPr="00FB0147" w:rsidRDefault="002169FD" w:rsidP="002169FD">
      <w:pPr>
        <w:tabs>
          <w:tab w:val="num" w:pos="54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14:paraId="32B3F66E" w14:textId="77777777" w:rsidR="002169FD" w:rsidRPr="00FB0147" w:rsidRDefault="002169FD" w:rsidP="002169F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Odpisy dlhodobého nehmotného majetku a dlhodobého hmotného majetku sú stanovené tak, že sa vychádza z predpokladanej doby jeho užívania a predpokladaného priebehu jeho opotrebenia. Odpisovať sa začína odo dňa jeho zaradenia do používania. Účtovné odpisy sa zaokrúhľujú na celé eurá nahor. Metóda odpisovania sa používa lineárna. </w:t>
      </w:r>
    </w:p>
    <w:p w14:paraId="3D01A6C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Cenné papiere a podiely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pri ich nadobudnutí obstarávacími cenami, t. j. vrátane nákladov súvisiacich s obstaraním. </w:t>
      </w:r>
    </w:p>
    <w:p w14:paraId="036767A7" w14:textId="7D39784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Zásoby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nakupované sa oceňujú obstarávacou cenou, ktorá zahr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n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uje cenu obstarania a náklady súvisiace s obstaraním (clo, prepravu a pod.) znížené o zľavy z ceny. </w:t>
      </w:r>
    </w:p>
    <w:p w14:paraId="310018DB" w14:textId="150F336D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lastRenderedPageBreak/>
        <w:t xml:space="preserve">Pohľadávky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pri ich vzniku sa oceňujú menovitou hodnotou. Pohľadávky pri odplatnom nadobudnutí sa oceňujú obstarávacou cenou, t. j. vrátane nákladov súvisiacich s obstaraním. Toto ocenenie sa znižuje o pochybné nedobytn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é 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a o pohľadávky, pri ktorých existuje riziko nevymožiteľnosti.</w:t>
      </w:r>
    </w:p>
    <w:p w14:paraId="6BC66352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Peňažné prostriedky a ceniny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oceňujú menovitou hodnotou.</w:t>
      </w:r>
    </w:p>
    <w:p w14:paraId="34DD31DB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Rezervy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záväzky s neurčitým časovým vymedzením alebo výškou a oceňujú sa v očakávanej výške záväzku alebo poistno-matematickými metódami.</w:t>
      </w:r>
    </w:p>
    <w:p w14:paraId="24CE7C25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Záväzky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pri ich vzniku oceňujú menovitou hodnotou a pri ich prevzatí sa oceňujú obstarávacou cenou. </w:t>
      </w:r>
    </w:p>
    <w:p w14:paraId="207D6C43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Účty </w:t>
      </w:r>
      <w:r w:rsidRPr="00FB0147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časového rozlíšenia aktív a pasív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sú vykázané vo výške, ktorá je potrebná na dodržanie zásady vecnej a časovej súvislosti s účtovným obdobím.</w:t>
      </w:r>
    </w:p>
    <w:p w14:paraId="06AF117F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53EEFBC" w14:textId="77777777" w:rsidR="002169FD" w:rsidRPr="00FB0147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metódach a postupoch konsolidácie</w:t>
      </w:r>
    </w:p>
    <w:p w14:paraId="5A7FB46B" w14:textId="4B4457F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 účtovná  závierka 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Obce Horné Obdokovce </w:t>
      </w:r>
      <w:r w:rsidR="00E60BC5">
        <w:rPr>
          <w:rFonts w:ascii="Times New Roman" w:eastAsia="Times New Roman" w:hAnsi="Times New Roman" w:cs="Times New Roman"/>
          <w:sz w:val="24"/>
          <w:szCs w:val="24"/>
          <w:lang w:eastAsia="sk-SK"/>
        </w:rPr>
        <w:t>b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ola zostavená v súlade so zákonom  č. 431/2002 Z. z. o účtovníctve v znení neskorších predpisov v súlade s 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703964C1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DB31ED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5"/>
        <w:gridCol w:w="1517"/>
        <w:gridCol w:w="1534"/>
        <w:gridCol w:w="1528"/>
      </w:tblGrid>
      <w:tr w:rsidR="002169FD" w:rsidRPr="00FB0147" w14:paraId="581B5EBF" w14:textId="77777777" w:rsidTr="00A75BDC">
        <w:tc>
          <w:tcPr>
            <w:tcW w:w="4445" w:type="dxa"/>
          </w:tcPr>
          <w:p w14:paraId="48174E01" w14:textId="1AAF9C9B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Názov</w:t>
            </w:r>
            <w:r w:rsidR="00D822FB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,</w:t>
            </w: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 resp. obchodné meno </w:t>
            </w:r>
          </w:p>
          <w:p w14:paraId="41184E56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konsolidovanej účtovnej jednotky</w:t>
            </w:r>
          </w:p>
        </w:tc>
        <w:tc>
          <w:tcPr>
            <w:tcW w:w="1517" w:type="dxa"/>
          </w:tcPr>
          <w:p w14:paraId="5C820824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037F3130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úplnej konsolidácie</w:t>
            </w:r>
          </w:p>
        </w:tc>
        <w:tc>
          <w:tcPr>
            <w:tcW w:w="1534" w:type="dxa"/>
          </w:tcPr>
          <w:p w14:paraId="418EA553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18694569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podielovej konsolidácie</w:t>
            </w:r>
          </w:p>
        </w:tc>
        <w:tc>
          <w:tcPr>
            <w:tcW w:w="1528" w:type="dxa"/>
          </w:tcPr>
          <w:p w14:paraId="199881F9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Metóda </w:t>
            </w:r>
          </w:p>
          <w:p w14:paraId="0ABEE31C" w14:textId="77777777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vlastného imania</w:t>
            </w:r>
          </w:p>
        </w:tc>
        <w:bookmarkStart w:id="0" w:name="_GoBack"/>
        <w:bookmarkEnd w:id="0"/>
      </w:tr>
      <w:tr w:rsidR="002169FD" w:rsidRPr="00FB0147" w14:paraId="10BDF425" w14:textId="77777777" w:rsidTr="00A75BDC">
        <w:tc>
          <w:tcPr>
            <w:tcW w:w="4445" w:type="dxa"/>
          </w:tcPr>
          <w:p w14:paraId="2D0E9A5B" w14:textId="50ADB2EA" w:rsidR="002169FD" w:rsidRPr="00FB0147" w:rsidRDefault="002169FD" w:rsidP="0018571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color w:val="0070C0"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 xml:space="preserve">Základná škola </w:t>
            </w:r>
            <w:r w:rsidR="00A75BDC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s materskou školou</w:t>
            </w:r>
          </w:p>
        </w:tc>
        <w:tc>
          <w:tcPr>
            <w:tcW w:w="1517" w:type="dxa"/>
          </w:tcPr>
          <w:p w14:paraId="24446E26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FB0147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áno</w:t>
            </w:r>
          </w:p>
        </w:tc>
        <w:tc>
          <w:tcPr>
            <w:tcW w:w="1534" w:type="dxa"/>
          </w:tcPr>
          <w:p w14:paraId="70428084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28" w:type="dxa"/>
          </w:tcPr>
          <w:p w14:paraId="42494A8E" w14:textId="77777777" w:rsidR="002169FD" w:rsidRPr="00FB0147" w:rsidRDefault="002169FD" w:rsidP="001857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473A77ED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17896E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úplnej konsolidácie bola použitá pri dcérskych účtovných jednotkách.</w:t>
      </w:r>
    </w:p>
    <w:p w14:paraId="06FFFBA2" w14:textId="2E9CF26C" w:rsidR="002169FD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560CE18A" w14:textId="77777777" w:rsidR="003F1EDC" w:rsidRPr="00FB0147" w:rsidRDefault="003F1EDC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256531F2" w14:textId="3B8E89DD" w:rsidR="002169FD" w:rsidRDefault="002169FD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Informácie o údajoch aktív a</w:t>
      </w:r>
      <w:r w:rsidR="003F1EDC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 </w:t>
      </w:r>
      <w:r w:rsidRPr="00FB0147"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  <w:t>pasív</w:t>
      </w:r>
    </w:p>
    <w:p w14:paraId="6344A360" w14:textId="77777777" w:rsidR="003F1EDC" w:rsidRPr="00FB0147" w:rsidRDefault="003F1EDC" w:rsidP="002169FD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</w:p>
    <w:p w14:paraId="3639DE51" w14:textId="79F2C58F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Prehľad pohybu dlhodobého nehmotného a dlhodobého hmotného majetku od 1. januára 202</w:t>
      </w:r>
      <w:r w:rsidR="00EA69CF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 31. decembra 202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uvedený v 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Poznámok.</w:t>
      </w:r>
    </w:p>
    <w:p w14:paraId="65129540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A4C97B7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64F603" w14:textId="3DB0CEA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Ako finančný majetok sú vykázané peňažné prostriedky v pokladnici a účty v bankách. Účtami v bankách môže konsolidovaný celok disponovať v sume 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949 2323,36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(v roku 202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to bolo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752 329,29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eur).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373EA336" w14:textId="77777777" w:rsidR="002169FD" w:rsidRPr="00FB0147" w:rsidRDefault="002169FD" w:rsidP="002169FD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082B73" w14:textId="5C9A82E8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Prehľad záväzkov podľa splatnosti je uvedený v tabuľkovej časti </w:t>
      </w:r>
      <w:r w:rsidRPr="00FB0147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Poznámok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>, tabuľka č. 15, kde ob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ec vysporiadala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2023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dlhodobé záväzky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predchádzajúceho roku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vo výške 86 209,92 eur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977DD01" w14:textId="77777777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663D84" w14:textId="0F876F4C" w:rsidR="002169FD" w:rsidRPr="00FB0147" w:rsidRDefault="002169FD" w:rsidP="002169F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Konsolidovaný celok </w:t>
      </w:r>
      <w:r w:rsidR="00A75BDC">
        <w:rPr>
          <w:rFonts w:ascii="Times New Roman" w:eastAsia="Times New Roman" w:hAnsi="Times New Roman" w:cs="Times New Roman"/>
          <w:sz w:val="24"/>
          <w:szCs w:val="24"/>
          <w:lang w:eastAsia="sk-SK"/>
        </w:rPr>
        <w:t>nemá žiadne úvery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B52B5BC" w14:textId="77777777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F12E3C2" w14:textId="77777777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rPr>
          <w:rFonts w:ascii="Times New Roman" w:eastAsia="Times New Roman" w:hAnsi="Times New Roman" w:cs="Times New Roman"/>
          <w:b/>
          <w:caps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caps/>
          <w:sz w:val="24"/>
          <w:szCs w:val="24"/>
          <w:lang w:eastAsia="sk-SK"/>
        </w:rPr>
        <w:t>Informácie o výnosoch a nákladoch</w:t>
      </w:r>
    </w:p>
    <w:p w14:paraId="72B86A0E" w14:textId="1BB6778D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Z hľadiska kvantity sú najvýznamnejšími nákladmi osobné náklady vo výške</w:t>
      </w:r>
      <w:r w:rsidR="003F1EDC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864 022,35 eur , (v roku 2022 to bolo </w:t>
      </w:r>
      <w:r w:rsidR="008A3E09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774 124,37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eur).</w:t>
      </w:r>
    </w:p>
    <w:p w14:paraId="27C9A076" w14:textId="77777777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</w:p>
    <w:p w14:paraId="7D1D8EA1" w14:textId="1EC906D2" w:rsidR="002169FD" w:rsidRPr="00FB0147" w:rsidRDefault="002169FD" w:rsidP="002169FD">
      <w:pPr>
        <w:tabs>
          <w:tab w:val="left" w:pos="0"/>
          <w:tab w:val="left" w:pos="420"/>
        </w:tabs>
        <w:spacing w:after="0" w:line="360" w:lineRule="auto"/>
        <w:ind w:left="-14" w:firstLine="14"/>
        <w:jc w:val="both"/>
        <w:rPr>
          <w:rFonts w:ascii="Times New Roman" w:eastAsia="Calibri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Najvýznamnejšími výnosmi sú daňové výnosy vo v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ýške </w:t>
      </w:r>
      <w:r w:rsidR="003F1E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757 170,20 eur  (v roku 2022 to bolo </w:t>
      </w:r>
      <w:r w:rsidR="008A3E09">
        <w:rPr>
          <w:rFonts w:ascii="Times New Roman" w:eastAsia="Times New Roman" w:hAnsi="Times New Roman" w:cs="Times New Roman"/>
          <w:sz w:val="24"/>
          <w:szCs w:val="24"/>
          <w:lang w:eastAsia="sk-SK"/>
        </w:rPr>
        <w:t>725 375,43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eur) a výnosy zo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zúčtovania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transferov bežných aj kapitálových od subjektov verejnej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správy vrátane štátneho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>rozpočtu, a to vo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výške  </w:t>
      </w:r>
      <w:r w:rsidR="001F7F3F">
        <w:rPr>
          <w:rFonts w:ascii="Times New Roman" w:eastAsia="Calibri" w:hAnsi="Times New Roman" w:cs="Times New Roman"/>
          <w:sz w:val="24"/>
          <w:szCs w:val="24"/>
          <w:lang w:eastAsia="sk-SK"/>
        </w:rPr>
        <w:t>6</w:t>
      </w:r>
      <w:r w:rsidR="00AC6416">
        <w:rPr>
          <w:rFonts w:ascii="Times New Roman" w:eastAsia="Calibri" w:hAnsi="Times New Roman" w:cs="Times New Roman"/>
          <w:sz w:val="24"/>
          <w:szCs w:val="24"/>
          <w:lang w:eastAsia="sk-SK"/>
        </w:rPr>
        <w:t>32 728,21</w:t>
      </w:r>
      <w:r w:rsidRPr="00FB0147">
        <w:rPr>
          <w:rFonts w:ascii="Times New Roman" w:eastAsia="Calibri" w:hAnsi="Times New Roman" w:cs="Times New Roman"/>
          <w:sz w:val="24"/>
          <w:szCs w:val="24"/>
          <w:lang w:eastAsia="sk-SK"/>
        </w:rPr>
        <w:t xml:space="preserve"> eur). </w:t>
      </w:r>
    </w:p>
    <w:p w14:paraId="71F5A66E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FEB22F" w14:textId="4D7E82A5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SKUTOČNOSTI, KTORÉ NASTALI PO DNI, KU KTORÉMU SA ZOSTAVUJE</w:t>
      </w: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KONSOLIDOVAN</w:t>
      </w:r>
      <w:r w:rsidR="00D822F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</w:t>
      </w:r>
      <w:r w:rsidRPr="00FB014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 w:rsidRPr="00FB0147">
        <w:rPr>
          <w:rFonts w:ascii="Times New Roman" w:eastAsia="Calibri" w:hAnsi="Times New Roman" w:cs="Times New Roman"/>
          <w:b/>
          <w:sz w:val="24"/>
          <w:szCs w:val="24"/>
          <w:lang w:eastAsia="sk-SK"/>
        </w:rPr>
        <w:t>ÚČTOVNÁ ZÁVIERKA, DO DŇA JEJ ZOSTAVENIA</w:t>
      </w:r>
    </w:p>
    <w:p w14:paraId="0106A865" w14:textId="77777777" w:rsidR="002169FD" w:rsidRPr="00FB0147" w:rsidRDefault="002169FD" w:rsidP="002169FD">
      <w:pPr>
        <w:tabs>
          <w:tab w:val="left" w:pos="0"/>
          <w:tab w:val="left" w:pos="360"/>
          <w:tab w:val="left" w:pos="420"/>
        </w:tabs>
        <w:spacing w:after="0" w:line="360" w:lineRule="auto"/>
        <w:ind w:left="-14" w:firstLine="14"/>
        <w:rPr>
          <w:rFonts w:ascii="Times New Roman" w:eastAsia="Calibri" w:hAnsi="Times New Roman" w:cs="Times New Roman"/>
          <w:b/>
          <w:sz w:val="24"/>
          <w:szCs w:val="24"/>
          <w:lang w:eastAsia="sk-SK"/>
        </w:rPr>
      </w:pPr>
    </w:p>
    <w:p w14:paraId="7776CCC8" w14:textId="1806A3F0" w:rsidR="002169FD" w:rsidRPr="00FB0147" w:rsidRDefault="002169FD" w:rsidP="002169FD">
      <w:pPr>
        <w:spacing w:after="0" w:line="360" w:lineRule="auto"/>
        <w:ind w:right="-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dni, ku ktorému sa zostavuje konsolidovaná účtovná závierka</w:t>
      </w:r>
      <w:r w:rsidR="00D822FB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konsolidovanej účtovnej závierke za rok 202</w:t>
      </w:r>
      <w:r w:rsidR="00AC6416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FB01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239B074D" w14:textId="77777777" w:rsidR="008B537C" w:rsidRDefault="008B537C"/>
    <w:sectPr w:rsidR="008B53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9FD"/>
    <w:rsid w:val="001F7F3F"/>
    <w:rsid w:val="002169FD"/>
    <w:rsid w:val="003F1EDC"/>
    <w:rsid w:val="0073280A"/>
    <w:rsid w:val="008A3E09"/>
    <w:rsid w:val="008B537C"/>
    <w:rsid w:val="00A75BDC"/>
    <w:rsid w:val="00AC6416"/>
    <w:rsid w:val="00C82F66"/>
    <w:rsid w:val="00D555E0"/>
    <w:rsid w:val="00D71C5E"/>
    <w:rsid w:val="00D822FB"/>
    <w:rsid w:val="00E60BC5"/>
    <w:rsid w:val="00E736C7"/>
    <w:rsid w:val="00EA69CF"/>
    <w:rsid w:val="00F05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4277C"/>
  <w15:chartTrackingRefBased/>
  <w15:docId w15:val="{4D64524D-A815-45D1-8774-1B4721479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169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Vrazn">
    <w:name w:val="Strong"/>
    <w:basedOn w:val="Predvolenpsmoodseku"/>
    <w:uiPriority w:val="22"/>
    <w:qFormat/>
    <w:rsid w:val="00E60BC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901</Words>
  <Characters>5140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Majorová, Miriam</dc:creator>
  <cp:keywords/>
  <dc:description/>
  <cp:lastModifiedBy>GERHÁTOVÁ Veronika</cp:lastModifiedBy>
  <cp:revision>2</cp:revision>
  <cp:lastPrinted>2023-05-31T06:47:00Z</cp:lastPrinted>
  <dcterms:created xsi:type="dcterms:W3CDTF">2024-06-20T14:40:00Z</dcterms:created>
  <dcterms:modified xsi:type="dcterms:W3CDTF">2024-06-20T14:40:00Z</dcterms:modified>
</cp:coreProperties>
</file>