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A562D" w:rsidRDefault="007A562D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A562D">
        <w:rPr>
          <w:rFonts w:ascii="Times New Roman" w:hAnsi="Times New Roman" w:cs="Times New Roman"/>
          <w:b/>
          <w:sz w:val="28"/>
          <w:szCs w:val="28"/>
          <w:u w:val="single"/>
        </w:rPr>
        <w:t xml:space="preserve">Obec </w:t>
      </w:r>
      <w:r w:rsidR="00A91528">
        <w:rPr>
          <w:rFonts w:ascii="Times New Roman" w:hAnsi="Times New Roman" w:cs="Times New Roman"/>
          <w:b/>
          <w:sz w:val="28"/>
          <w:szCs w:val="28"/>
          <w:u w:val="single"/>
        </w:rPr>
        <w:t>Dedi</w:t>
      </w:r>
      <w:r w:rsidRPr="007A562D">
        <w:rPr>
          <w:rFonts w:ascii="Times New Roman" w:hAnsi="Times New Roman" w:cs="Times New Roman"/>
          <w:b/>
          <w:sz w:val="28"/>
          <w:szCs w:val="28"/>
          <w:u w:val="single"/>
        </w:rPr>
        <w:t>nky</w:t>
      </w:r>
      <w:r w:rsidR="00521695">
        <w:rPr>
          <w:rFonts w:ascii="Times New Roman" w:hAnsi="Times New Roman" w:cs="Times New Roman"/>
          <w:b/>
          <w:sz w:val="28"/>
          <w:szCs w:val="28"/>
          <w:u w:val="single"/>
        </w:rPr>
        <w:t xml:space="preserve"> č.79</w:t>
      </w:r>
    </w:p>
    <w:p w:rsidR="00521695" w:rsidRDefault="00521695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049 73</w:t>
      </w:r>
    </w:p>
    <w:p w:rsidR="007A562D" w:rsidRPr="007A562D" w:rsidRDefault="007A562D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A562D">
        <w:rPr>
          <w:rFonts w:ascii="Times New Roman" w:hAnsi="Times New Roman" w:cs="Times New Roman"/>
          <w:b/>
          <w:sz w:val="28"/>
          <w:szCs w:val="28"/>
          <w:u w:val="single"/>
        </w:rPr>
        <w:t>IČO: 00</w:t>
      </w:r>
      <w:r w:rsidR="00A91528">
        <w:rPr>
          <w:rFonts w:ascii="Times New Roman" w:hAnsi="Times New Roman" w:cs="Times New Roman"/>
          <w:b/>
          <w:sz w:val="28"/>
          <w:szCs w:val="28"/>
          <w:u w:val="single"/>
        </w:rPr>
        <w:t> </w:t>
      </w:r>
      <w:r w:rsidRPr="007A562D">
        <w:rPr>
          <w:rFonts w:ascii="Times New Roman" w:hAnsi="Times New Roman" w:cs="Times New Roman"/>
          <w:b/>
          <w:sz w:val="28"/>
          <w:szCs w:val="28"/>
          <w:u w:val="single"/>
        </w:rPr>
        <w:t>32</w:t>
      </w:r>
      <w:r w:rsidR="00A91528">
        <w:rPr>
          <w:rFonts w:ascii="Times New Roman" w:hAnsi="Times New Roman" w:cs="Times New Roman"/>
          <w:b/>
          <w:sz w:val="28"/>
          <w:szCs w:val="28"/>
          <w:u w:val="single"/>
        </w:rPr>
        <w:t>8 171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521695" w:rsidRDefault="007A562D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562D">
        <w:rPr>
          <w:rFonts w:ascii="Times New Roman" w:hAnsi="Times New Roman" w:cs="Times New Roman"/>
          <w:b/>
          <w:sz w:val="28"/>
          <w:szCs w:val="28"/>
        </w:rPr>
        <w:t>Poznámky konsolidovanej účtovnej</w:t>
      </w:r>
      <w:r w:rsidR="00521695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E14E1">
        <w:rPr>
          <w:rFonts w:ascii="Times New Roman" w:hAnsi="Times New Roman" w:cs="Times New Roman"/>
          <w:b/>
          <w:sz w:val="28"/>
          <w:szCs w:val="28"/>
        </w:rPr>
        <w:t>z</w:t>
      </w:r>
      <w:r w:rsidRPr="007A562D">
        <w:rPr>
          <w:rFonts w:ascii="Times New Roman" w:hAnsi="Times New Roman" w:cs="Times New Roman"/>
          <w:b/>
          <w:sz w:val="28"/>
          <w:szCs w:val="28"/>
        </w:rPr>
        <w:t xml:space="preserve">ávierky </w:t>
      </w:r>
    </w:p>
    <w:p w:rsidR="00521695" w:rsidRDefault="00521695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Účtovnej jednotky verejnej správy </w:t>
      </w:r>
    </w:p>
    <w:p w:rsidR="007A562D" w:rsidRPr="007A562D" w:rsidRDefault="007A562D" w:rsidP="00521695">
      <w:pPr>
        <w:pStyle w:val="Bezriadkovania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A562D">
        <w:rPr>
          <w:rFonts w:ascii="Times New Roman" w:hAnsi="Times New Roman" w:cs="Times New Roman"/>
          <w:b/>
          <w:sz w:val="28"/>
          <w:szCs w:val="28"/>
        </w:rPr>
        <w:t>zostavenej k 31.12.20</w:t>
      </w:r>
      <w:r w:rsidR="00821C58">
        <w:rPr>
          <w:rFonts w:ascii="Times New Roman" w:hAnsi="Times New Roman" w:cs="Times New Roman"/>
          <w:b/>
          <w:sz w:val="28"/>
          <w:szCs w:val="28"/>
        </w:rPr>
        <w:t>2</w:t>
      </w:r>
      <w:r w:rsidR="00C61AF2">
        <w:rPr>
          <w:rFonts w:ascii="Times New Roman" w:hAnsi="Times New Roman" w:cs="Times New Roman"/>
          <w:b/>
          <w:sz w:val="28"/>
          <w:szCs w:val="28"/>
        </w:rPr>
        <w:t>3</w:t>
      </w:r>
      <w:r w:rsidR="00521695">
        <w:rPr>
          <w:rFonts w:ascii="Times New Roman" w:hAnsi="Times New Roman" w:cs="Times New Roman"/>
          <w:b/>
          <w:sz w:val="28"/>
          <w:szCs w:val="28"/>
        </w:rPr>
        <w:t xml:space="preserve"> – textová časť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</w:rPr>
      </w:pPr>
    </w:p>
    <w:p w:rsidR="007A562D" w:rsidRDefault="007A562D" w:rsidP="00B93026">
      <w:pPr>
        <w:pStyle w:val="Bezriadkovania"/>
        <w:numPr>
          <w:ilvl w:val="0"/>
          <w:numId w:val="3"/>
        </w:numPr>
        <w:ind w:left="426" w:hanging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A562D">
        <w:rPr>
          <w:rFonts w:ascii="Times New Roman" w:hAnsi="Times New Roman" w:cs="Times New Roman"/>
          <w:b/>
          <w:sz w:val="24"/>
          <w:szCs w:val="24"/>
          <w:u w:val="single"/>
        </w:rPr>
        <w:t>V</w:t>
      </w:r>
      <w:r w:rsidR="001E6A26">
        <w:rPr>
          <w:rFonts w:ascii="Times New Roman" w:hAnsi="Times New Roman" w:cs="Times New Roman"/>
          <w:b/>
          <w:sz w:val="24"/>
          <w:szCs w:val="24"/>
          <w:u w:val="single"/>
        </w:rPr>
        <w:t>ŠEOBECNÉ ÚDAJE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Pr="007A562D" w:rsidRDefault="007A562D" w:rsidP="000E14E1">
      <w:pPr>
        <w:pStyle w:val="Bezriadkovania"/>
        <w:numPr>
          <w:ilvl w:val="0"/>
          <w:numId w:val="2"/>
        </w:numPr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A562D">
        <w:rPr>
          <w:rFonts w:ascii="Times New Roman" w:hAnsi="Times New Roman" w:cs="Times New Roman"/>
          <w:b/>
          <w:sz w:val="24"/>
          <w:szCs w:val="24"/>
        </w:rPr>
        <w:t>Identifikačné údaje konsolidujúcej účtovnej jednotky: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 w:rsidRPr="007A562D">
        <w:rPr>
          <w:rFonts w:ascii="Times New Roman" w:hAnsi="Times New Roman" w:cs="Times New Roman"/>
          <w:b/>
          <w:sz w:val="24"/>
          <w:szCs w:val="24"/>
        </w:rPr>
        <w:t xml:space="preserve">Obec </w:t>
      </w:r>
      <w:r w:rsidR="00A91528">
        <w:rPr>
          <w:rFonts w:ascii="Times New Roman" w:hAnsi="Times New Roman" w:cs="Times New Roman"/>
          <w:b/>
          <w:sz w:val="24"/>
          <w:szCs w:val="24"/>
        </w:rPr>
        <w:t>Dedi</w:t>
      </w:r>
      <w:r w:rsidRPr="007A562D">
        <w:rPr>
          <w:rFonts w:ascii="Times New Roman" w:hAnsi="Times New Roman" w:cs="Times New Roman"/>
          <w:b/>
          <w:sz w:val="24"/>
          <w:szCs w:val="24"/>
        </w:rPr>
        <w:t>nky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 w:rsidR="00A91528">
        <w:rPr>
          <w:rFonts w:ascii="Times New Roman" w:hAnsi="Times New Roman" w:cs="Times New Roman"/>
          <w:b/>
          <w:sz w:val="24"/>
          <w:szCs w:val="24"/>
        </w:rPr>
        <w:t>Dedinky č.79, 049 73 Dedinky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 konsolidujúcej účtovnej jednotky: </w:t>
      </w:r>
      <w:r>
        <w:rPr>
          <w:rFonts w:ascii="Times New Roman" w:hAnsi="Times New Roman" w:cs="Times New Roman"/>
          <w:sz w:val="24"/>
          <w:szCs w:val="24"/>
        </w:rPr>
        <w:tab/>
      </w:r>
      <w:r w:rsidRPr="007A562D">
        <w:rPr>
          <w:rFonts w:ascii="Times New Roman" w:hAnsi="Times New Roman" w:cs="Times New Roman"/>
          <w:b/>
          <w:sz w:val="24"/>
          <w:szCs w:val="24"/>
        </w:rPr>
        <w:t>0032</w:t>
      </w:r>
      <w:r w:rsidR="00A91528">
        <w:rPr>
          <w:rFonts w:ascii="Times New Roman" w:hAnsi="Times New Roman" w:cs="Times New Roman"/>
          <w:b/>
          <w:sz w:val="24"/>
          <w:szCs w:val="24"/>
        </w:rPr>
        <w:t>8171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založenia/zriadenia konsolidujúcej účtovnej jednotky: </w:t>
      </w:r>
      <w:r w:rsidR="00521695" w:rsidRPr="00521695">
        <w:rPr>
          <w:rFonts w:ascii="Times New Roman" w:hAnsi="Times New Roman" w:cs="Times New Roman"/>
          <w:b/>
          <w:sz w:val="24"/>
          <w:szCs w:val="24"/>
        </w:rPr>
        <w:t>01.01.199</w:t>
      </w:r>
      <w:r w:rsidR="00E35FD7">
        <w:rPr>
          <w:rFonts w:ascii="Times New Roman" w:hAnsi="Times New Roman" w:cs="Times New Roman"/>
          <w:b/>
          <w:sz w:val="24"/>
          <w:szCs w:val="24"/>
        </w:rPr>
        <w:t>0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0B584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A562D">
        <w:rPr>
          <w:rFonts w:ascii="Times New Roman" w:hAnsi="Times New Roman" w:cs="Times New Roman"/>
          <w:sz w:val="24"/>
          <w:szCs w:val="24"/>
        </w:rPr>
        <w:t>Konsolidovaná účtovná závierk</w:t>
      </w:r>
      <w:r w:rsidR="000E14E1">
        <w:rPr>
          <w:rFonts w:ascii="Times New Roman" w:hAnsi="Times New Roman" w:cs="Times New Roman"/>
          <w:sz w:val="24"/>
          <w:szCs w:val="24"/>
        </w:rPr>
        <w:t>a</w:t>
      </w:r>
      <w:r w:rsidR="007A562D">
        <w:rPr>
          <w:rFonts w:ascii="Times New Roman" w:hAnsi="Times New Roman" w:cs="Times New Roman"/>
          <w:sz w:val="24"/>
          <w:szCs w:val="24"/>
        </w:rPr>
        <w:t xml:space="preserve"> konsolidovaného celku</w:t>
      </w:r>
      <w:r w:rsidR="000E14E1">
        <w:rPr>
          <w:rFonts w:ascii="Times New Roman" w:hAnsi="Times New Roman" w:cs="Times New Roman"/>
          <w:sz w:val="24"/>
          <w:szCs w:val="24"/>
        </w:rPr>
        <w:t>:</w:t>
      </w:r>
      <w:r w:rsidR="007A562D">
        <w:rPr>
          <w:rFonts w:ascii="Times New Roman" w:hAnsi="Times New Roman" w:cs="Times New Roman"/>
          <w:sz w:val="24"/>
          <w:szCs w:val="24"/>
        </w:rPr>
        <w:t xml:space="preserve"> Obec </w:t>
      </w:r>
      <w:r w:rsidR="00521695">
        <w:rPr>
          <w:rFonts w:ascii="Times New Roman" w:hAnsi="Times New Roman" w:cs="Times New Roman"/>
          <w:sz w:val="24"/>
          <w:szCs w:val="24"/>
        </w:rPr>
        <w:t>Dedi</w:t>
      </w:r>
      <w:r w:rsidR="007A562D">
        <w:rPr>
          <w:rFonts w:ascii="Times New Roman" w:hAnsi="Times New Roman" w:cs="Times New Roman"/>
          <w:sz w:val="24"/>
          <w:szCs w:val="24"/>
        </w:rPr>
        <w:t>nky</w:t>
      </w:r>
      <w:r w:rsidR="000E14E1">
        <w:rPr>
          <w:rFonts w:ascii="Times New Roman" w:hAnsi="Times New Roman" w:cs="Times New Roman"/>
          <w:sz w:val="24"/>
          <w:szCs w:val="24"/>
        </w:rPr>
        <w:t>,</w:t>
      </w:r>
      <w:r w:rsidR="007A562D">
        <w:rPr>
          <w:rFonts w:ascii="Times New Roman" w:hAnsi="Times New Roman" w:cs="Times New Roman"/>
          <w:sz w:val="24"/>
          <w:szCs w:val="24"/>
        </w:rPr>
        <w:t xml:space="preserve"> bola zostavená v súlade so zákonom č. 431/2002 </w:t>
      </w:r>
      <w:proofErr w:type="spellStart"/>
      <w:r w:rsidR="007A562D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7A562D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(ďalej len „zákon o účtovníctve“) a v súlade s Opatrením Ministerstva financií SR zo dňa 17.12.2008 </w:t>
      </w:r>
      <w:r w:rsidR="000E14E1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7A562D">
        <w:rPr>
          <w:rFonts w:ascii="Times New Roman" w:hAnsi="Times New Roman" w:cs="Times New Roman"/>
          <w:sz w:val="24"/>
          <w:szCs w:val="24"/>
        </w:rPr>
        <w:t>č. MF/27526/2008-31,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0B584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A562D">
        <w:rPr>
          <w:rFonts w:ascii="Times New Roman" w:hAnsi="Times New Roman" w:cs="Times New Roman"/>
          <w:sz w:val="24"/>
          <w:szCs w:val="24"/>
        </w:rPr>
        <w:t>Konsolidovaná účtovná závierk</w:t>
      </w:r>
      <w:r w:rsidR="000E14E1">
        <w:rPr>
          <w:rFonts w:ascii="Times New Roman" w:hAnsi="Times New Roman" w:cs="Times New Roman"/>
          <w:sz w:val="24"/>
          <w:szCs w:val="24"/>
        </w:rPr>
        <w:t>a</w:t>
      </w:r>
      <w:r w:rsidR="007A562D">
        <w:rPr>
          <w:rFonts w:ascii="Times New Roman" w:hAnsi="Times New Roman" w:cs="Times New Roman"/>
          <w:sz w:val="24"/>
          <w:szCs w:val="24"/>
        </w:rPr>
        <w:t xml:space="preserve"> je sprístupnená k nahliadnutiu na webovej stránke konsolidujúcej účtovnej jednotky Obec </w:t>
      </w:r>
      <w:r w:rsidR="00A91528">
        <w:rPr>
          <w:rFonts w:ascii="Times New Roman" w:hAnsi="Times New Roman" w:cs="Times New Roman"/>
          <w:sz w:val="24"/>
          <w:szCs w:val="24"/>
        </w:rPr>
        <w:t>Dedi</w:t>
      </w:r>
      <w:r w:rsidR="007A562D">
        <w:rPr>
          <w:rFonts w:ascii="Times New Roman" w:hAnsi="Times New Roman" w:cs="Times New Roman"/>
          <w:sz w:val="24"/>
          <w:szCs w:val="24"/>
        </w:rPr>
        <w:t>nky:</w:t>
      </w:r>
      <w:r w:rsidR="00A91528">
        <w:rPr>
          <w:rFonts w:ascii="Times New Roman" w:hAnsi="Times New Roman" w:cs="Times New Roman"/>
          <w:sz w:val="24"/>
          <w:szCs w:val="24"/>
        </w:rPr>
        <w:t xml:space="preserve"> </w:t>
      </w:r>
      <w:r w:rsidR="00A91528" w:rsidRPr="00A91528">
        <w:rPr>
          <w:rFonts w:ascii="Times New Roman" w:hAnsi="Times New Roman" w:cs="Times New Roman"/>
          <w:color w:val="00B0F0"/>
          <w:sz w:val="24"/>
          <w:szCs w:val="24"/>
        </w:rPr>
        <w:t>www.dedinky.eu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0B584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7A562D">
        <w:rPr>
          <w:rFonts w:ascii="Times New Roman" w:hAnsi="Times New Roman" w:cs="Times New Roman"/>
          <w:sz w:val="24"/>
          <w:szCs w:val="24"/>
        </w:rPr>
        <w:t>Deň, ku ktorému bola zostavená konsolidovaná účtovná závierk</w:t>
      </w:r>
      <w:r w:rsidR="000E14E1">
        <w:rPr>
          <w:rFonts w:ascii="Times New Roman" w:hAnsi="Times New Roman" w:cs="Times New Roman"/>
          <w:sz w:val="24"/>
          <w:szCs w:val="24"/>
        </w:rPr>
        <w:t>a</w:t>
      </w:r>
      <w:r w:rsidR="007A562D">
        <w:rPr>
          <w:rFonts w:ascii="Times New Roman" w:hAnsi="Times New Roman" w:cs="Times New Roman"/>
          <w:sz w:val="24"/>
          <w:szCs w:val="24"/>
        </w:rPr>
        <w:t xml:space="preserve"> (31.12.20</w:t>
      </w:r>
      <w:r w:rsidR="00821C58">
        <w:rPr>
          <w:rFonts w:ascii="Times New Roman" w:hAnsi="Times New Roman" w:cs="Times New Roman"/>
          <w:sz w:val="24"/>
          <w:szCs w:val="24"/>
        </w:rPr>
        <w:t>2</w:t>
      </w:r>
      <w:r w:rsidR="00C61AF2">
        <w:rPr>
          <w:rFonts w:ascii="Times New Roman" w:hAnsi="Times New Roman" w:cs="Times New Roman"/>
          <w:sz w:val="24"/>
          <w:szCs w:val="24"/>
        </w:rPr>
        <w:t>3</w:t>
      </w:r>
      <w:r w:rsidR="007A562D">
        <w:rPr>
          <w:rFonts w:ascii="Times New Roman" w:hAnsi="Times New Roman" w:cs="Times New Roman"/>
          <w:sz w:val="24"/>
          <w:szCs w:val="24"/>
        </w:rPr>
        <w:t>) je zhodný s dňom, ku ktorému bola zostavená individuálna účtovná závierka nižšie uvedených konsolidovaných jednotiek: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9"/>
        <w:gridCol w:w="1600"/>
        <w:gridCol w:w="2503"/>
        <w:gridCol w:w="2692"/>
      </w:tblGrid>
      <w:tr w:rsidR="00521695" w:rsidRPr="00A130E1" w:rsidTr="00521695">
        <w:trPr>
          <w:trHeight w:val="385"/>
        </w:trPr>
        <w:tc>
          <w:tcPr>
            <w:tcW w:w="2159" w:type="dxa"/>
          </w:tcPr>
          <w:p w:rsidR="007A562D" w:rsidRPr="00A130E1" w:rsidRDefault="00521695" w:rsidP="007A562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Dedinky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1600" w:type="dxa"/>
          </w:tcPr>
          <w:p w:rsidR="007A562D" w:rsidRPr="00A130E1" w:rsidRDefault="00521695" w:rsidP="007A562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č.79</w:t>
            </w:r>
          </w:p>
        </w:tc>
        <w:tc>
          <w:tcPr>
            <w:tcW w:w="2503" w:type="dxa"/>
          </w:tcPr>
          <w:p w:rsidR="007A562D" w:rsidRPr="00A130E1" w:rsidRDefault="00521695" w:rsidP="00A130E1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049 73  Dedinky</w:t>
            </w:r>
          </w:p>
        </w:tc>
        <w:tc>
          <w:tcPr>
            <w:tcW w:w="2692" w:type="dxa"/>
          </w:tcPr>
          <w:p w:rsidR="007A562D" w:rsidRPr="00A130E1" w:rsidRDefault="00521695" w:rsidP="007A562D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konsolidovaný podiel 100%</w:t>
            </w:r>
          </w:p>
        </w:tc>
      </w:tr>
    </w:tbl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A130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Nie sú spoločnosti s iným hospodárskym rokom ako je kalendárny rok – tabuľka sa nevypĺňa.</w:t>
      </w: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21695" w:rsidRDefault="00521695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21695" w:rsidRDefault="00521695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521695" w:rsidRDefault="00521695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A562D" w:rsidRDefault="000E14E1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2. </w:t>
      </w:r>
      <w:r w:rsidR="007A562D" w:rsidRPr="007A562D">
        <w:rPr>
          <w:rFonts w:ascii="Times New Roman" w:hAnsi="Times New Roman" w:cs="Times New Roman"/>
          <w:b/>
          <w:sz w:val="24"/>
          <w:szCs w:val="24"/>
        </w:rPr>
        <w:t>Informácie o konsolidovanom celku</w:t>
      </w:r>
    </w:p>
    <w:p w:rsidR="007A562D" w:rsidRPr="002B22B7" w:rsidRDefault="007A562D" w:rsidP="007A562D">
      <w:pPr>
        <w:pStyle w:val="Bezriadkovania"/>
        <w:jc w:val="both"/>
        <w:rPr>
          <w:rFonts w:ascii="Times New Roman" w:hAnsi="Times New Roman" w:cs="Times New Roman"/>
          <w:sz w:val="12"/>
          <w:szCs w:val="12"/>
        </w:rPr>
      </w:pPr>
    </w:p>
    <w:p w:rsid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</w:t>
      </w:r>
      <w:r w:rsidR="000E14E1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Obec </w:t>
      </w:r>
      <w:r w:rsidR="00A91528">
        <w:rPr>
          <w:rFonts w:ascii="Times New Roman" w:hAnsi="Times New Roman" w:cs="Times New Roman"/>
          <w:sz w:val="24"/>
          <w:szCs w:val="24"/>
        </w:rPr>
        <w:t>Dedi</w:t>
      </w:r>
      <w:r>
        <w:rPr>
          <w:rFonts w:ascii="Times New Roman" w:hAnsi="Times New Roman" w:cs="Times New Roman"/>
          <w:sz w:val="24"/>
          <w:szCs w:val="24"/>
        </w:rPr>
        <w:t>nky obsahuje tieto účtovné jednotky:</w:t>
      </w:r>
    </w:p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49"/>
        <w:gridCol w:w="2247"/>
        <w:gridCol w:w="2279"/>
        <w:gridCol w:w="2279"/>
      </w:tblGrid>
      <w:tr w:rsidR="007A562D" w:rsidRPr="000E14E1" w:rsidTr="007A562D">
        <w:trPr>
          <w:trHeight w:val="385"/>
        </w:trPr>
        <w:tc>
          <w:tcPr>
            <w:tcW w:w="2195" w:type="dxa"/>
          </w:tcPr>
          <w:p w:rsidR="007A562D" w:rsidRPr="000E14E1" w:rsidRDefault="007A562D" w:rsidP="007A562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Názov účtovnej jednotky</w:t>
            </w:r>
          </w:p>
          <w:p w:rsidR="007A562D" w:rsidRPr="000E14E1" w:rsidRDefault="007A562D" w:rsidP="007A562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7A562D" w:rsidRPr="000E14E1" w:rsidRDefault="007A562D" w:rsidP="007A562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Právna forma</w:t>
            </w:r>
          </w:p>
        </w:tc>
        <w:tc>
          <w:tcPr>
            <w:tcW w:w="2303" w:type="dxa"/>
          </w:tcPr>
          <w:p w:rsidR="007A562D" w:rsidRPr="000E14E1" w:rsidRDefault="007A562D" w:rsidP="007A562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Podiel konsolidujúcej ÚJ na ZI (%)</w:t>
            </w:r>
          </w:p>
        </w:tc>
        <w:tc>
          <w:tcPr>
            <w:tcW w:w="2303" w:type="dxa"/>
          </w:tcPr>
          <w:p w:rsidR="007A562D" w:rsidRPr="000E14E1" w:rsidRDefault="007A562D" w:rsidP="007A562D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Podiel konsolidujúcej ÚJ na hlasovacích právach (%)</w:t>
            </w:r>
          </w:p>
        </w:tc>
      </w:tr>
      <w:tr w:rsidR="007A562D" w:rsidTr="007A562D">
        <w:trPr>
          <w:trHeight w:val="420"/>
        </w:trPr>
        <w:tc>
          <w:tcPr>
            <w:tcW w:w="2195" w:type="dxa"/>
          </w:tcPr>
          <w:p w:rsidR="000E14E1" w:rsidRDefault="000E14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Obec </w:t>
            </w:r>
            <w:r w:rsidR="00A91528">
              <w:rPr>
                <w:rFonts w:ascii="Times New Roman" w:hAnsi="Times New Roman" w:cs="Times New Roman"/>
                <w:sz w:val="24"/>
                <w:szCs w:val="24"/>
              </w:rPr>
              <w:t>Dedinky</w:t>
            </w:r>
          </w:p>
        </w:tc>
        <w:tc>
          <w:tcPr>
            <w:tcW w:w="2303" w:type="dxa"/>
          </w:tcPr>
          <w:p w:rsidR="007A562D" w:rsidRDefault="00A130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E14E1">
              <w:rPr>
                <w:rFonts w:ascii="Times New Roman" w:hAnsi="Times New Roman" w:cs="Times New Roman"/>
                <w:sz w:val="24"/>
                <w:szCs w:val="24"/>
              </w:rPr>
              <w:t>801</w:t>
            </w:r>
          </w:p>
        </w:tc>
        <w:tc>
          <w:tcPr>
            <w:tcW w:w="2303" w:type="dxa"/>
          </w:tcPr>
          <w:p w:rsidR="007A562D" w:rsidRDefault="00A130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E14E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303" w:type="dxa"/>
          </w:tcPr>
          <w:p w:rsidR="007A562D" w:rsidRDefault="00A130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4E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7A562D" w:rsidTr="007A562D">
        <w:trPr>
          <w:trHeight w:val="412"/>
        </w:trPr>
        <w:tc>
          <w:tcPr>
            <w:tcW w:w="2195" w:type="dxa"/>
          </w:tcPr>
          <w:p w:rsidR="007A562D" w:rsidRDefault="00A91528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Dedinky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7A562D" w:rsidRDefault="00521695" w:rsidP="00521695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112</w:t>
            </w:r>
          </w:p>
        </w:tc>
        <w:tc>
          <w:tcPr>
            <w:tcW w:w="2303" w:type="dxa"/>
          </w:tcPr>
          <w:p w:rsidR="007A562D" w:rsidRDefault="00A130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0E14E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2303" w:type="dxa"/>
          </w:tcPr>
          <w:p w:rsidR="007A562D" w:rsidRDefault="00A130E1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4E1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7A562D" w:rsidRPr="007A562D" w:rsidRDefault="007A562D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B22B7" w:rsidRDefault="002B22B7" w:rsidP="002B22B7">
      <w:pPr>
        <w:pStyle w:val="Bezriadkovania1"/>
        <w:ind w:left="0"/>
        <w:jc w:val="both"/>
        <w:rPr>
          <w:rFonts w:hint="eastAsia"/>
          <w:b w:val="0"/>
        </w:rPr>
      </w:pPr>
      <w:r w:rsidRPr="00886BA7">
        <w:rPr>
          <w:b w:val="0"/>
        </w:rPr>
        <w:t>Obec má založen</w:t>
      </w:r>
      <w:r w:rsidR="00A91528">
        <w:rPr>
          <w:b w:val="0"/>
        </w:rPr>
        <w:t>é</w:t>
      </w:r>
      <w:r w:rsidRPr="00886BA7">
        <w:rPr>
          <w:b w:val="0"/>
        </w:rPr>
        <w:t xml:space="preserve"> </w:t>
      </w:r>
      <w:r w:rsidR="00A91528">
        <w:rPr>
          <w:b w:val="0"/>
        </w:rPr>
        <w:t xml:space="preserve">stredisko Dedinky </w:t>
      </w:r>
      <w:proofErr w:type="spellStart"/>
      <w:r w:rsidRPr="00886BA7">
        <w:rPr>
          <w:b w:val="0"/>
        </w:rPr>
        <w:t>s.r.o</w:t>
      </w:r>
      <w:proofErr w:type="spellEnd"/>
      <w:r w:rsidR="00A91528">
        <w:rPr>
          <w:b w:val="0"/>
        </w:rPr>
        <w:t>.</w:t>
      </w:r>
      <w:r w:rsidRPr="00886BA7">
        <w:rPr>
          <w:b w:val="0"/>
        </w:rPr>
        <w:t xml:space="preserve">, v ktorej má obec 100% účasť. </w:t>
      </w:r>
    </w:p>
    <w:p w:rsidR="002B22B7" w:rsidRDefault="002B22B7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A130E1" w:rsidRDefault="00A130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0E14E1">
        <w:rPr>
          <w:rFonts w:ascii="Times New Roman" w:hAnsi="Times New Roman" w:cs="Times New Roman"/>
          <w:b/>
          <w:sz w:val="24"/>
          <w:szCs w:val="24"/>
        </w:rPr>
        <w:t>Informácia o organizačnej štruktúre a hlavných predstaviteľoch konsolidujúcej účtovnej jednotky</w:t>
      </w:r>
    </w:p>
    <w:p w:rsidR="000E14E1" w:rsidRPr="002B22B7" w:rsidRDefault="000E14E1" w:rsidP="007A562D">
      <w:pPr>
        <w:pStyle w:val="Bezriadkovania"/>
        <w:jc w:val="both"/>
        <w:rPr>
          <w:rFonts w:ascii="Times New Roman" w:hAnsi="Times New Roman" w:cs="Times New Roman"/>
          <w:sz w:val="12"/>
          <w:szCs w:val="12"/>
        </w:rPr>
      </w:pPr>
    </w:p>
    <w:p w:rsidR="000E14E1" w:rsidRDefault="005B3FC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Starosta: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1528">
        <w:rPr>
          <w:rFonts w:ascii="Times New Roman" w:hAnsi="Times New Roman" w:cs="Times New Roman"/>
          <w:sz w:val="24"/>
          <w:szCs w:val="24"/>
        </w:rPr>
        <w:t xml:space="preserve">Milan </w:t>
      </w:r>
      <w:proofErr w:type="spellStart"/>
      <w:r w:rsidR="00A91528">
        <w:rPr>
          <w:rFonts w:ascii="Times New Roman" w:hAnsi="Times New Roman" w:cs="Times New Roman"/>
          <w:sz w:val="24"/>
          <w:szCs w:val="24"/>
        </w:rPr>
        <w:t>Čeervenka</w:t>
      </w:r>
      <w:proofErr w:type="spellEnd"/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3FC1">
        <w:rPr>
          <w:rFonts w:ascii="Times New Roman" w:hAnsi="Times New Roman" w:cs="Times New Roman"/>
          <w:sz w:val="24"/>
          <w:szCs w:val="24"/>
        </w:rPr>
        <w:t>ástupca starostu:</w:t>
      </w:r>
      <w:r w:rsidR="005B3FC1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A91528">
        <w:rPr>
          <w:rFonts w:ascii="Times New Roman" w:hAnsi="Times New Roman" w:cs="Times New Roman"/>
          <w:sz w:val="24"/>
          <w:szCs w:val="24"/>
        </w:rPr>
        <w:t>Saskia</w:t>
      </w:r>
      <w:proofErr w:type="spellEnd"/>
      <w:r w:rsidR="00A9152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91528">
        <w:rPr>
          <w:rFonts w:ascii="Times New Roman" w:hAnsi="Times New Roman" w:cs="Times New Roman"/>
          <w:sz w:val="24"/>
          <w:szCs w:val="24"/>
        </w:rPr>
        <w:t>Kisová</w:t>
      </w:r>
      <w:proofErr w:type="spellEnd"/>
      <w:r w:rsidR="005B3FC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14E1" w:rsidRP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Ekonóm: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91528">
        <w:rPr>
          <w:rFonts w:ascii="Times New Roman" w:hAnsi="Times New Roman" w:cs="Times New Roman"/>
          <w:sz w:val="24"/>
          <w:szCs w:val="24"/>
        </w:rPr>
        <w:t xml:space="preserve">Janka </w:t>
      </w:r>
      <w:proofErr w:type="spellStart"/>
      <w:r w:rsidR="00A91528">
        <w:rPr>
          <w:rFonts w:ascii="Times New Roman" w:hAnsi="Times New Roman" w:cs="Times New Roman"/>
          <w:sz w:val="24"/>
          <w:szCs w:val="24"/>
        </w:rPr>
        <w:t>Leskovjanská</w:t>
      </w:r>
      <w:proofErr w:type="spellEnd"/>
    </w:p>
    <w:p w:rsidR="000E14E1" w:rsidRP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Konsolidovaný celok mal v roku 20</w:t>
      </w:r>
      <w:r w:rsidR="00821C58">
        <w:rPr>
          <w:rFonts w:ascii="Times New Roman" w:hAnsi="Times New Roman" w:cs="Times New Roman"/>
          <w:sz w:val="24"/>
          <w:szCs w:val="24"/>
        </w:rPr>
        <w:t>2</w:t>
      </w:r>
      <w:r w:rsidR="00C61AF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priemerne</w:t>
      </w:r>
      <w:r w:rsidR="00A130E1">
        <w:rPr>
          <w:rFonts w:ascii="Times New Roman" w:hAnsi="Times New Roman" w:cs="Times New Roman"/>
          <w:sz w:val="24"/>
          <w:szCs w:val="24"/>
        </w:rPr>
        <w:t xml:space="preserve"> </w:t>
      </w:r>
      <w:r w:rsidR="00521695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zamestnancov, z toho riadiacich pracovníkov</w:t>
      </w:r>
      <w:r w:rsidR="00C61AF2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1695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0E14E1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Pr="000E14E1" w:rsidRDefault="000E14E1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0E14E1">
        <w:rPr>
          <w:rFonts w:ascii="Times New Roman" w:hAnsi="Times New Roman" w:cs="Times New Roman"/>
          <w:b/>
          <w:sz w:val="24"/>
          <w:szCs w:val="24"/>
        </w:rPr>
        <w:t xml:space="preserve">Informácie o výsledku hospodárenia z dôvodu predaja majetku medzi účtovnými jednotkami konsolidovaného celku: Obec </w:t>
      </w:r>
      <w:r w:rsidR="00521695">
        <w:rPr>
          <w:rFonts w:ascii="Times New Roman" w:hAnsi="Times New Roman" w:cs="Times New Roman"/>
          <w:b/>
          <w:sz w:val="24"/>
          <w:szCs w:val="24"/>
        </w:rPr>
        <w:t>Dedinky.</w:t>
      </w:r>
    </w:p>
    <w:p w:rsidR="000E14E1" w:rsidRPr="002B22B7" w:rsidRDefault="000E14E1" w:rsidP="007A562D">
      <w:pPr>
        <w:pStyle w:val="Bezriadkovania"/>
        <w:jc w:val="both"/>
        <w:rPr>
          <w:rFonts w:ascii="Times New Roman" w:hAnsi="Times New Roman" w:cs="Times New Roman"/>
          <w:sz w:val="12"/>
          <w:szCs w:val="12"/>
        </w:rPr>
      </w:pPr>
    </w:p>
    <w:p w:rsidR="000E14E1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roku 20</w:t>
      </w:r>
      <w:r w:rsidR="00223350">
        <w:rPr>
          <w:rFonts w:ascii="Times New Roman" w:hAnsi="Times New Roman" w:cs="Times New Roman"/>
          <w:sz w:val="24"/>
          <w:szCs w:val="24"/>
        </w:rPr>
        <w:t>2</w:t>
      </w:r>
      <w:r w:rsidR="00C61AF2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sa medzi účtovnými jednotkami konsolidovaného celku: Obec</w:t>
      </w:r>
      <w:r w:rsidR="00521695">
        <w:rPr>
          <w:rFonts w:ascii="Times New Roman" w:hAnsi="Times New Roman" w:cs="Times New Roman"/>
          <w:sz w:val="24"/>
          <w:szCs w:val="24"/>
        </w:rPr>
        <w:t xml:space="preserve"> Dedi</w:t>
      </w:r>
      <w:r>
        <w:rPr>
          <w:rFonts w:ascii="Times New Roman" w:hAnsi="Times New Roman" w:cs="Times New Roman"/>
          <w:sz w:val="24"/>
          <w:szCs w:val="24"/>
        </w:rPr>
        <w:t>nky, neuskutočnil nákup, resp. predaj majetku.</w:t>
      </w:r>
    </w:p>
    <w:p w:rsid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Pr="007A562D" w:rsidRDefault="001E6A26" w:rsidP="001E6A26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60"/>
        <w:gridCol w:w="2277"/>
        <w:gridCol w:w="2246"/>
        <w:gridCol w:w="2271"/>
      </w:tblGrid>
      <w:tr w:rsidR="001E6A26" w:rsidRPr="000E14E1" w:rsidTr="00271787">
        <w:trPr>
          <w:trHeight w:val="385"/>
        </w:trPr>
        <w:tc>
          <w:tcPr>
            <w:tcW w:w="2195" w:type="dxa"/>
          </w:tcPr>
          <w:p w:rsidR="001E6A26" w:rsidRPr="000E14E1" w:rsidRDefault="001E6A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Názov účtovnej jednotky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 kupujúceho</w:t>
            </w:r>
          </w:p>
          <w:p w:rsidR="001E6A26" w:rsidRPr="000E14E1" w:rsidRDefault="001E6A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Pr="000E14E1" w:rsidRDefault="001E6A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účtovnej jednotky, predávajúceho</w:t>
            </w:r>
          </w:p>
        </w:tc>
        <w:tc>
          <w:tcPr>
            <w:tcW w:w="2303" w:type="dxa"/>
          </w:tcPr>
          <w:p w:rsidR="001E6A26" w:rsidRPr="000E14E1" w:rsidRDefault="001E6A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303" w:type="dxa"/>
          </w:tcPr>
          <w:p w:rsidR="001E6A26" w:rsidRPr="000E14E1" w:rsidRDefault="001E6A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Výsledok hospodárenia</w:t>
            </w:r>
          </w:p>
        </w:tc>
      </w:tr>
      <w:tr w:rsidR="001E6A26" w:rsidTr="00271787">
        <w:trPr>
          <w:trHeight w:val="420"/>
        </w:trPr>
        <w:tc>
          <w:tcPr>
            <w:tcW w:w="2195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E6A26" w:rsidTr="00271787">
        <w:trPr>
          <w:trHeight w:val="412"/>
        </w:trPr>
        <w:tc>
          <w:tcPr>
            <w:tcW w:w="2195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1E6A26" w:rsidRDefault="001E6A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B22B7" w:rsidRDefault="002B22B7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Dosiahnutý výsledok hospodárenia bol v rámci konsolidačných úprav eliminovaný.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E14E1" w:rsidRDefault="001E6A26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E6A26">
        <w:rPr>
          <w:rFonts w:ascii="Times New Roman" w:hAnsi="Times New Roman" w:cs="Times New Roman"/>
          <w:b/>
          <w:sz w:val="24"/>
          <w:szCs w:val="24"/>
        </w:rPr>
        <w:t>5. Informácie o účtovných zásadách a účtovných metódach</w:t>
      </w:r>
    </w:p>
    <w:p w:rsidR="001E6A26" w:rsidRP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Pr="0066277C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6277C">
        <w:rPr>
          <w:rFonts w:ascii="Times New Roman" w:hAnsi="Times New Roman" w:cs="Times New Roman"/>
          <w:sz w:val="24"/>
          <w:szCs w:val="24"/>
          <w:u w:val="single"/>
        </w:rPr>
        <w:t>Dlhodobý nehmotný a dlhodobý hmotný majetok</w:t>
      </w:r>
    </w:p>
    <w:p w:rsid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obstarný kúpou sa oceňuje obstarávacou cenou, ktorá zahrňuje cenu obstarania a náklady súvisiace s obstaraním (clo, prepravu, montáž, poistné a pod.). Súčasťou obstarávacej ceny dlhodobého </w:t>
      </w:r>
      <w:r w:rsidR="00B22A59">
        <w:rPr>
          <w:rFonts w:ascii="Times New Roman" w:hAnsi="Times New Roman" w:cs="Times New Roman"/>
          <w:sz w:val="24"/>
          <w:szCs w:val="24"/>
        </w:rPr>
        <w:t xml:space="preserve">hmotného a nehmotného majetku nie sú úroky z úverov (podľa </w:t>
      </w:r>
      <w:r w:rsidR="00B22A59">
        <w:rPr>
          <w:rFonts w:ascii="Times New Roman" w:hAnsi="Times New Roman" w:cs="Times New Roman"/>
          <w:sz w:val="24"/>
          <w:szCs w:val="24"/>
        </w:rPr>
        <w:lastRenderedPageBreak/>
        <w:t>rozhodnutia účtovnej jednotky). Zľava z ceny, ktorú poskytol dodávateľ k majetku sa účtuje ako zníženie nákladov na predaný alebo spotrebovaný majetok.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Hodnota obstarávaného dlhodobého hmotného majetku, ktorý sa používa, sa trvalo zníži o oprávk</w:t>
      </w:r>
      <w:r w:rsidR="00F439BA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, ktoré zodpovedajú výške opotrebenia majetku.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opravných položkách sa účtuje v prípade prechodného zníženia hodnoty majetku ku dňu, ku ktorému sa zostavuje účtovná závierka.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Za vlastné náklady sa považujú všetky priame náklady vynaložené na výrobu alebo inú činnosť a všetky nepriame náklady vzťahujúce sa na výrobu alebo inú činnosť.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F439BA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a hmotný majetok obstaraný iným spôsobom (napr. bezodplatne nadobudnutý majetok</w:t>
      </w:r>
      <w:r w:rsidR="001D2962">
        <w:rPr>
          <w:rFonts w:ascii="Times New Roman" w:hAnsi="Times New Roman" w:cs="Times New Roman"/>
          <w:sz w:val="24"/>
          <w:szCs w:val="24"/>
        </w:rPr>
        <w:t xml:space="preserve">) </w:t>
      </w:r>
      <w:r w:rsidR="00F439BA">
        <w:rPr>
          <w:rFonts w:ascii="Times New Roman" w:hAnsi="Times New Roman" w:cs="Times New Roman"/>
          <w:sz w:val="24"/>
          <w:szCs w:val="24"/>
        </w:rPr>
        <w:t>sa oceňuje reálnou hodnotou.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 morálneho a fyzického opotrebenia. Účtovná jednotka odpisuje majetok na základe zákona o účtovníctve a účtuje o účtovných odpisoch.</w:t>
      </w:r>
    </w:p>
    <w:p w:rsidR="00B22A59" w:rsidRDefault="00B22A59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6277C" w:rsidRPr="0066277C" w:rsidRDefault="0066277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66277C">
        <w:rPr>
          <w:rFonts w:ascii="Times New Roman" w:hAnsi="Times New Roman" w:cs="Times New Roman"/>
          <w:sz w:val="24"/>
          <w:szCs w:val="24"/>
          <w:u w:val="single"/>
        </w:rPr>
        <w:t>Dlhodobý finančný majetok</w:t>
      </w:r>
    </w:p>
    <w:p w:rsidR="0066277C" w:rsidRDefault="0066277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investície, cenné papiere a majetkové účasti sa oceňujú obstarávacou cenou, vrátane nákladov súvisiacich s obstaraním (provízie maklérom, poplatky burze).</w:t>
      </w:r>
    </w:p>
    <w:p w:rsidR="0066277C" w:rsidRDefault="0066277C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66277C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Zásoby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Zásoby nakupované sa oceňujú obstarávacou cenou, ktorá zahrňuje cenu obstarania a náklady súvisiace s obstaraním (clo, dovoznú prirážku, prepravu, poistné, provízie, skonto a pod.). Úroky z cudzích zdrojov nie sú súčasťou obstarávacej ceny. Nakupované zásoby sú oceňované skutočnou nákupnou cenou ako je uvedené vyššie. Zásoby vytvorené vlastnou činnosťou sa oceňujú vlastnými nákladmi. Toto ocenenie sa upravuje o zníženie hodnoty zásob.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Pohľadávky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vrátane nákladov súvisiacich s obstaraním.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Finančné účty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menovitou hodnotou.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Náklady budúcich období a príjmy budúcich období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Rezervy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sú záväzky s neurčitým časovým vymedzením alebo výškou a oceňujú sa v očakávanej výške záväzku. V účtovnej závierke sa netvorili žiadne rezervy.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lastRenderedPageBreak/>
        <w:t>Záväzky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sa pri ich vzniku oceňujú menovitou hodnotu a pri ich prevzatí sa oceňujú obstarávacou cenou.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sa pri inventarizácii zistí, že suma záväzkov je iná ako ich výška v účtovníctve, uvedú sa záväzky v účtovníctve a v účtovnej závierke v tomto zistenom ocenení.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Výdavky budúcich období a výnosy budúcich období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Výdavky budúcich období a výnosy budúcich období sú vykázané vo výške, ktorá je potrebná na dodržanie zásady vecnej a časovej súvislosti s účtovným obdobím.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Deriváty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Mlynky pri svojej činnosti nepoužíva žiadne derivátové operácie ani zabezpečenie majetku derivátmi. Majetok a záväzky zabezpečené derivátmi je nepoužívané.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Cudzia mena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9F7C23">
        <w:rPr>
          <w:rFonts w:ascii="Times New Roman" w:hAnsi="Times New Roman" w:cs="Times New Roman"/>
          <w:sz w:val="24"/>
          <w:szCs w:val="24"/>
          <w:u w:val="single"/>
        </w:rPr>
        <w:t>Výnosy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za vlastné výkony a tovar neobsahujú daň z pridanej hodnoty. Sú tiež znížené o zľavy a zrážky (rabaty, bonusy, skontá, dobropisy a pod.) bez ohľadu na to, či zákazník mal vopred na zľavu nárok alebo či ide o dodatočne uznanú zľavu. Tržby sú účtované ku dňu splnenia dodávky alebo služby. </w:t>
      </w: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1D2962" w:rsidRDefault="001D296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2962" w:rsidRDefault="001D296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2962" w:rsidRDefault="001D296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2962" w:rsidRDefault="001D296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D2962" w:rsidRDefault="001D296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9F7C23" w:rsidRPr="00B93026" w:rsidRDefault="00B93026" w:rsidP="007A562D">
      <w:pPr>
        <w:pStyle w:val="Bezriadkovania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93026">
        <w:rPr>
          <w:rFonts w:ascii="Times New Roman" w:hAnsi="Times New Roman" w:cs="Times New Roman"/>
          <w:b/>
          <w:sz w:val="24"/>
          <w:szCs w:val="24"/>
          <w:u w:val="single"/>
        </w:rPr>
        <w:t xml:space="preserve">II.   INFORMÁCIE O METÓDACH A POSTUPOCH KONSOLIDÁCIE </w:t>
      </w:r>
    </w:p>
    <w:p w:rsidR="009F7C23" w:rsidRPr="001E6A26" w:rsidRDefault="009F7C23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Pr="00B93026" w:rsidRDefault="00B93026" w:rsidP="00B93026">
      <w:pPr>
        <w:pStyle w:val="Bezriadkovania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93026">
        <w:rPr>
          <w:rFonts w:ascii="Times New Roman" w:hAnsi="Times New Roman" w:cs="Times New Roman"/>
          <w:b/>
          <w:sz w:val="24"/>
          <w:szCs w:val="24"/>
        </w:rPr>
        <w:t>Informácie o použitých metódach konsolidácie</w:t>
      </w:r>
    </w:p>
    <w:p w:rsidR="001E6A26" w:rsidRP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Default="00B930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Konsolidované účtovné jednotky boli zahrnuté do konsolidovanej účtovnej závierky konsolidovaného celku Obec </w:t>
      </w:r>
      <w:r w:rsidR="00521695">
        <w:rPr>
          <w:rFonts w:ascii="Times New Roman" w:hAnsi="Times New Roman" w:cs="Times New Roman"/>
          <w:sz w:val="24"/>
          <w:szCs w:val="24"/>
        </w:rPr>
        <w:t>Dedi</w:t>
      </w:r>
      <w:r>
        <w:rPr>
          <w:rFonts w:ascii="Times New Roman" w:hAnsi="Times New Roman" w:cs="Times New Roman"/>
          <w:sz w:val="24"/>
          <w:szCs w:val="24"/>
        </w:rPr>
        <w:t>nky metódou konsolidácie uvedenou v nasledujúcom prehľade:</w:t>
      </w:r>
    </w:p>
    <w:p w:rsidR="00B93026" w:rsidRPr="001E6A26" w:rsidRDefault="00B930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B93026" w:rsidRPr="007A562D" w:rsidRDefault="00B93026" w:rsidP="00B93026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75"/>
        <w:gridCol w:w="2264"/>
        <w:gridCol w:w="2264"/>
        <w:gridCol w:w="2251"/>
      </w:tblGrid>
      <w:tr w:rsidR="00B93026" w:rsidRPr="000E14E1" w:rsidTr="00271787">
        <w:trPr>
          <w:trHeight w:val="385"/>
        </w:trPr>
        <w:tc>
          <w:tcPr>
            <w:tcW w:w="2195" w:type="dxa"/>
          </w:tcPr>
          <w:p w:rsidR="00B93026" w:rsidRPr="000E14E1" w:rsidRDefault="00B930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, resp. obchodné meno konsolidovanej</w:t>
            </w: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účtovnej jednotky</w:t>
            </w:r>
          </w:p>
          <w:p w:rsidR="00B93026" w:rsidRPr="000E14E1" w:rsidRDefault="00B930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93026" w:rsidRPr="000E14E1" w:rsidRDefault="00B93026" w:rsidP="00B93026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Metóda úplnej konsolidácie </w:t>
            </w:r>
          </w:p>
        </w:tc>
        <w:tc>
          <w:tcPr>
            <w:tcW w:w="2303" w:type="dxa"/>
          </w:tcPr>
          <w:p w:rsidR="00B93026" w:rsidRPr="000E14E1" w:rsidRDefault="00B930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Metóda podielovej konsolidácie</w:t>
            </w:r>
          </w:p>
        </w:tc>
        <w:tc>
          <w:tcPr>
            <w:tcW w:w="2303" w:type="dxa"/>
          </w:tcPr>
          <w:p w:rsidR="00B93026" w:rsidRPr="000E14E1" w:rsidRDefault="00B93026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Metóda vlastného imania</w:t>
            </w:r>
          </w:p>
        </w:tc>
      </w:tr>
      <w:tr w:rsidR="00B93026" w:rsidTr="00271787">
        <w:trPr>
          <w:trHeight w:val="420"/>
        </w:trPr>
        <w:tc>
          <w:tcPr>
            <w:tcW w:w="2195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Obec </w:t>
            </w:r>
            <w:r w:rsidR="00521695">
              <w:rPr>
                <w:rFonts w:ascii="Times New Roman" w:hAnsi="Times New Roman" w:cs="Times New Roman"/>
                <w:sz w:val="24"/>
                <w:szCs w:val="24"/>
              </w:rPr>
              <w:t>Dedi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nky</w:t>
            </w:r>
          </w:p>
        </w:tc>
        <w:tc>
          <w:tcPr>
            <w:tcW w:w="2303" w:type="dxa"/>
          </w:tcPr>
          <w:p w:rsidR="00B93026" w:rsidRDefault="00B93026" w:rsidP="00B93026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Áno</w:t>
            </w:r>
          </w:p>
        </w:tc>
        <w:tc>
          <w:tcPr>
            <w:tcW w:w="2303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93026" w:rsidTr="00271787">
        <w:trPr>
          <w:trHeight w:val="412"/>
        </w:trPr>
        <w:tc>
          <w:tcPr>
            <w:tcW w:w="2195" w:type="dxa"/>
          </w:tcPr>
          <w:p w:rsidR="00B93026" w:rsidRDefault="00521695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Dedinky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303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Áno</w:t>
            </w:r>
          </w:p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93026" w:rsidRDefault="00B93026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93026" w:rsidRPr="007A562D" w:rsidRDefault="00B93026" w:rsidP="00B93026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Default="002A705A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Metóda úplnej konsolidácie bola použitá pri všetkých dcérskych účtovných jednotkách.</w:t>
      </w:r>
    </w:p>
    <w:p w:rsidR="002A705A" w:rsidRDefault="002A705A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A705A" w:rsidRDefault="002A705A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A705A" w:rsidRPr="002A705A" w:rsidRDefault="002A705A" w:rsidP="002A705A">
      <w:pPr>
        <w:pStyle w:val="Bezriadkovania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2A705A">
        <w:rPr>
          <w:rFonts w:ascii="Times New Roman" w:hAnsi="Times New Roman" w:cs="Times New Roman"/>
          <w:b/>
          <w:sz w:val="24"/>
          <w:szCs w:val="24"/>
        </w:rPr>
        <w:t>Goodwill</w:t>
      </w:r>
      <w:proofErr w:type="spellEnd"/>
      <w:r w:rsidRPr="002A705A">
        <w:rPr>
          <w:rFonts w:ascii="Times New Roman" w:hAnsi="Times New Roman" w:cs="Times New Roman"/>
          <w:b/>
          <w:sz w:val="24"/>
          <w:szCs w:val="24"/>
        </w:rPr>
        <w:t xml:space="preserve">/záporný </w:t>
      </w:r>
      <w:proofErr w:type="spellStart"/>
      <w:r w:rsidRPr="002A705A">
        <w:rPr>
          <w:rFonts w:ascii="Times New Roman" w:hAnsi="Times New Roman" w:cs="Times New Roman"/>
          <w:b/>
          <w:sz w:val="24"/>
          <w:szCs w:val="24"/>
        </w:rPr>
        <w:t>goodwill</w:t>
      </w:r>
      <w:proofErr w:type="spellEnd"/>
    </w:p>
    <w:p w:rsidR="001E6A26" w:rsidRP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2A705A" w:rsidRDefault="002A705A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konsolidovanej účtovnej závierke konsolidovaného celku Obec </w:t>
      </w:r>
      <w:r w:rsidR="00A91528">
        <w:rPr>
          <w:rFonts w:ascii="Times New Roman" w:hAnsi="Times New Roman" w:cs="Times New Roman"/>
          <w:sz w:val="24"/>
          <w:szCs w:val="24"/>
        </w:rPr>
        <w:t>Dedinky</w:t>
      </w:r>
      <w:r>
        <w:rPr>
          <w:rFonts w:ascii="Times New Roman" w:hAnsi="Times New Roman" w:cs="Times New Roman"/>
          <w:sz w:val="24"/>
          <w:szCs w:val="24"/>
        </w:rPr>
        <w:t xml:space="preserve"> je vykázaný k 31.12.20</w:t>
      </w:r>
      <w:r w:rsidR="00821C58">
        <w:rPr>
          <w:rFonts w:ascii="Times New Roman" w:hAnsi="Times New Roman" w:cs="Times New Roman"/>
          <w:sz w:val="24"/>
          <w:szCs w:val="24"/>
        </w:rPr>
        <w:t>2</w:t>
      </w:r>
      <w:r w:rsidR="00555DE5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 celkovej hodnote 0,00 EUR.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je vykázaný v súvahe ako dlhodobý nehmotný majetok a je odpisovaný po dobu 5 rokov. </w:t>
      </w:r>
      <w:proofErr w:type="spellStart"/>
      <w:r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vznikol pri kúpe podiel</w:t>
      </w:r>
      <w:r w:rsidR="000B584C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v týchto dcérskych, spoločných a pridružených účtovných jednotkách:</w:t>
      </w:r>
    </w:p>
    <w:p w:rsidR="002A705A" w:rsidRPr="001E6A26" w:rsidRDefault="002A705A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A705A" w:rsidRPr="007A562D" w:rsidRDefault="002A705A" w:rsidP="002A705A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019"/>
        <w:gridCol w:w="3274"/>
        <w:gridCol w:w="2661"/>
      </w:tblGrid>
      <w:tr w:rsidR="002A705A" w:rsidRPr="000E14E1" w:rsidTr="00784392">
        <w:trPr>
          <w:trHeight w:val="385"/>
        </w:trPr>
        <w:tc>
          <w:tcPr>
            <w:tcW w:w="3054" w:type="dxa"/>
          </w:tcPr>
          <w:p w:rsidR="002A705A" w:rsidRDefault="002A705A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14E1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konsolidovanej účtovnej jednotky</w:t>
            </w:r>
          </w:p>
          <w:p w:rsidR="002A705A" w:rsidRPr="000E14E1" w:rsidRDefault="002A705A" w:rsidP="002A705A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25" w:type="dxa"/>
          </w:tcPr>
          <w:p w:rsidR="002A705A" w:rsidRPr="000E14E1" w:rsidRDefault="002A705A" w:rsidP="00271787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Goodwill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/  (negatívny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goodwill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aktivovaný pri prvej konsolidácii kapitálu</w:t>
            </w:r>
          </w:p>
        </w:tc>
        <w:tc>
          <w:tcPr>
            <w:tcW w:w="2693" w:type="dxa"/>
          </w:tcPr>
          <w:p w:rsidR="002A705A" w:rsidRPr="000E14E1" w:rsidRDefault="002A705A" w:rsidP="005B3FC1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Goodwill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/ (negatívny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goodwill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) k 31.12.20</w:t>
            </w:r>
            <w:r w:rsidR="00821C58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C61A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3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Netto)</w:t>
            </w:r>
          </w:p>
        </w:tc>
      </w:tr>
      <w:tr w:rsidR="002A705A" w:rsidTr="00784392">
        <w:trPr>
          <w:trHeight w:val="420"/>
        </w:trPr>
        <w:tc>
          <w:tcPr>
            <w:tcW w:w="3054" w:type="dxa"/>
          </w:tcPr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Obec </w:t>
            </w:r>
          </w:p>
        </w:tc>
        <w:tc>
          <w:tcPr>
            <w:tcW w:w="3325" w:type="dxa"/>
          </w:tcPr>
          <w:p w:rsidR="002A705A" w:rsidRDefault="002A705A" w:rsidP="002A705A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-</w:t>
            </w:r>
          </w:p>
        </w:tc>
        <w:tc>
          <w:tcPr>
            <w:tcW w:w="2693" w:type="dxa"/>
          </w:tcPr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A705A" w:rsidTr="00784392">
        <w:trPr>
          <w:trHeight w:val="412"/>
        </w:trPr>
        <w:tc>
          <w:tcPr>
            <w:tcW w:w="3054" w:type="dxa"/>
          </w:tcPr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5" w:type="dxa"/>
          </w:tcPr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</w:p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-</w:t>
            </w:r>
          </w:p>
        </w:tc>
        <w:tc>
          <w:tcPr>
            <w:tcW w:w="2693" w:type="dxa"/>
          </w:tcPr>
          <w:p w:rsidR="002A705A" w:rsidRDefault="002A705A" w:rsidP="00271787">
            <w:pPr>
              <w:pStyle w:val="Bezriadkovania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84392" w:rsidRPr="00811E4E" w:rsidTr="00784392">
        <w:trPr>
          <w:trHeight w:val="418"/>
        </w:trPr>
        <w:tc>
          <w:tcPr>
            <w:tcW w:w="3054" w:type="dxa"/>
          </w:tcPr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E4E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3325" w:type="dxa"/>
          </w:tcPr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E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</w:p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E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-</w:t>
            </w:r>
          </w:p>
        </w:tc>
        <w:tc>
          <w:tcPr>
            <w:tcW w:w="2693" w:type="dxa"/>
          </w:tcPr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84392" w:rsidRPr="00811E4E" w:rsidRDefault="00784392" w:rsidP="00271787">
            <w:pPr>
              <w:pStyle w:val="Bezriadkovania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11E4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0,00        </w:t>
            </w:r>
          </w:p>
        </w:tc>
      </w:tr>
    </w:tbl>
    <w:p w:rsidR="001E6A26" w:rsidRPr="001E6A26" w:rsidRDefault="001E6A26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784392" w:rsidRDefault="00784392" w:rsidP="007A562D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1E6A26" w:rsidRPr="00784392" w:rsidRDefault="00784392" w:rsidP="00784392">
      <w:pPr>
        <w:pStyle w:val="Bezriadkovania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4392">
        <w:rPr>
          <w:rFonts w:ascii="Times New Roman" w:hAnsi="Times New Roman" w:cs="Times New Roman"/>
          <w:b/>
          <w:sz w:val="24"/>
          <w:szCs w:val="24"/>
        </w:rPr>
        <w:t>Konsolidácia medzivýsledku</w:t>
      </w:r>
    </w:p>
    <w:p w:rsidR="00784392" w:rsidRDefault="00784392" w:rsidP="00784392">
      <w:pPr>
        <w:pStyle w:val="Bezriadkovania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84392" w:rsidRDefault="00784392" w:rsidP="0078439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Realizovaný medzivýsledok z predaja dlhodobého hmotného majetku, dlhodobého nehmotného majetku a zásob v rámci konsolidovaného celku Obec </w:t>
      </w:r>
      <w:r w:rsidR="00A91528">
        <w:rPr>
          <w:rFonts w:ascii="Times New Roman" w:hAnsi="Times New Roman" w:cs="Times New Roman"/>
          <w:sz w:val="24"/>
          <w:szCs w:val="24"/>
        </w:rPr>
        <w:t>Dedinky</w:t>
      </w:r>
      <w:r>
        <w:rPr>
          <w:rFonts w:ascii="Times New Roman" w:hAnsi="Times New Roman" w:cs="Times New Roman"/>
          <w:sz w:val="24"/>
          <w:szCs w:val="24"/>
        </w:rPr>
        <w:t xml:space="preserve"> nebol eliminovaný z dôvodu jeho neexistencie.</w:t>
      </w:r>
    </w:p>
    <w:p w:rsidR="000B584C" w:rsidRDefault="000B584C" w:rsidP="0078439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B584C" w:rsidRDefault="000B584C" w:rsidP="0078439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p w:rsidR="000B584C" w:rsidRDefault="000B584C" w:rsidP="00784392">
      <w:pPr>
        <w:pStyle w:val="Bezriadkovania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horzAnchor="page" w:tblpX="1" w:tblpY="-1410"/>
        <w:tblW w:w="1293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935"/>
      </w:tblGrid>
      <w:tr w:rsidR="001C3036" w:rsidTr="005E1F7D">
        <w:trPr>
          <w:trHeight w:val="330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lastRenderedPageBreak/>
              <w:t>Majetok a postupy konsolidácie, pričom sa uvádza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lang w:eastAsia="sk-SK"/>
              </w:rPr>
              <w:t>Obec do konsolidovanej účtovnej závierky zahrnula obchodnú spoločnosť Dedinky s. r. o. so 100 % účasťou obce.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lang w:eastAsia="sk-SK"/>
              </w:rPr>
            </w:pP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a) pri metóde  úplnej konsolidácie a  metóde podielovej konsolidácie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1. použitá metóda konsolidácie kapitálu,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Obec má jednu obchodnú spoločnosť, pri ktorej použila metódu úplnej konsolidácie.  Obec má obchodné podiely v dcérskej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účtovnej jednotke Dedinky s. r. o.. Obec nemá obchodné podiely v spoločnej účtovnej jednotke. Obec nemá obchodné podiely 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pridruženej účtovnej jednotke.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2. odôvodnenie súčasného použitia oboch metód konsolidácie kapitálu (§ </w:t>
            </w:r>
            <w:smartTag w:uri="urn:schemas-microsoft-com:office:smarttags" w:element="metricconverter">
              <w:smartTagPr>
                <w:attr w:name="ProductID" w:val="5 a"/>
              </w:smartTagPr>
              <w:r>
                <w:rPr>
                  <w:rFonts w:ascii="Arial Narrow" w:hAnsi="Arial Narrow" w:cs="Arial"/>
                  <w:color w:val="000000"/>
                  <w:lang w:eastAsia="sk-SK"/>
                </w:rPr>
                <w:t>5 a</w:t>
              </w:r>
            </w:smartTag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6)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súlade s opatrením bola použitá metóda úplnej konsolidácie u obchodnej spoločnosti.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3. deň,  ku ktorému sa vykonáva prvá konsolidácia kapitálu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 1.1.2009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4. informácie o aktivácii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>, jeho odpisovaní, vysporiadaní s kapitálovými fondmi alebo fondmi tvorenými zo ziskov alebo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lang w:eastAsia="sk-SK"/>
              </w:rPr>
            </w:pPr>
            <w:r>
              <w:rPr>
                <w:rFonts w:ascii="Arial Narrow" w:hAnsi="Arial Narrow" w:cs="Arial"/>
                <w:lang w:eastAsia="sk-SK"/>
              </w:rPr>
              <w:t xml:space="preserve">o vzájomnom vysporiadaní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 xml:space="preserve"> a záporného </w:t>
            </w:r>
            <w:proofErr w:type="spellStart"/>
            <w:r>
              <w:rPr>
                <w:rFonts w:ascii="Arial Narrow" w:hAnsi="Arial Narrow" w:cs="Arial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lang w:eastAsia="sk-SK"/>
              </w:rPr>
              <w:t>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Pri prvej konsolidácii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ani záporný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nevznikol.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1C3036" w:rsidTr="005E1F7D">
        <w:trPr>
          <w:trHeight w:val="66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5. informácia o vysporiadaní záporného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s nepriaznivými výsledkami hospodárenia dcérskej spoločnosti, s kapitálovými fondmi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alebo fondmi tvorenými zo zisku alebo o vzájomnom vysporiadaní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a záporného  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goodwillu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>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Pri prvej konsolidácii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ani záporný </w:t>
            </w:r>
            <w:proofErr w:type="spellStart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goodwil</w:t>
            </w:r>
            <w:proofErr w:type="spellEnd"/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nevznikol.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6. odôvodnenie neuskutočnenia konsolidácie medzivýsledku,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medzivýsledok nevznikol.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7. členenie podielov iných účtovných jednotiek,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V konsolidačnom poli nemajú podiely iné účtovné jednotky.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b) pri metóde  vlastného imania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nemá obchodné podiely v pridruženej účtovnej jednotke. Metóda vlastného imania nebola použitá.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lang w:eastAsia="sk-SK"/>
              </w:rPr>
            </w:pP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lang w:eastAsia="sk-SK"/>
              </w:rPr>
            </w:pP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Čl. III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 údajoch aktív a pasív</w:t>
            </w:r>
          </w:p>
        </w:tc>
      </w:tr>
      <w:tr w:rsidR="001C3036" w:rsidTr="005E1F7D">
        <w:trPr>
          <w:trHeight w:val="255"/>
        </w:trPr>
        <w:tc>
          <w:tcPr>
            <w:tcW w:w="12561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lang w:eastAsia="sk-SK"/>
              </w:rPr>
            </w:pP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Obsahuje informácie významných položiek aktív a pasív za bežné účtovné obdobie a bezprostredne predchádzajúce účtovné obdobie o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a) konsolidovanom celku verejnej správy,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konsolidovanom celku sú súčasťou prílohy k poznámkam v tabuľke č. 1.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b) prehľade o pohybe vlastného imania,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vlastného imania konsolidovaného celku je uvedený v prílohe k poznámkam v tabuľke č. 12.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c) prehľade o pohybe rezerv,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lastRenderedPageBreak/>
              <w:t xml:space="preserve">Prehľad  rezerv konsolidovaného celku v členení na zákonné a ostatné, dlhodobé a krátkodobé je uvedený v prílohe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 poznámkam v tabuľke č. </w:t>
            </w:r>
            <w:smartTag w:uri="urn:schemas-microsoft-com:office:smarttags" w:element="metricconverter">
              <w:smartTagPr>
                <w:attr w:name="ProductID" w:val="13 a"/>
              </w:smartTagPr>
              <w:r>
                <w:rPr>
                  <w:rFonts w:ascii="Arial Narrow" w:hAnsi="Arial Narrow" w:cs="Arial"/>
                  <w:b/>
                  <w:bCs/>
                  <w:color w:val="000000"/>
                  <w:lang w:eastAsia="sk-SK"/>
                </w:rPr>
                <w:t>13 a</w:t>
              </w:r>
            </w:smartTag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14.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d) prehľade o pohybe dlhodobého majetku,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Prehľad o pohybe dlhodobého nehmotného a dlhodobého hmotného majetku je uvedený v prílohe k poznámkam v tab. č. 2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e) dlhodobom  finančnom  majetku,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Detailnejšie informácie o dlhodobom finančnom majetku vykázanom v konsolidovanej účtovnej závierke sú uvedené v prílohe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 poznámkam v tabuľke č. 4.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f) zásobách,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neviduje zásoby materiálu . Obec neeviduje opravné položky k zásobám.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g) transferoch,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 transferoch jednotlivých účtovných jednotiek konsolidovaného celku sú uvedené v tabuľke č. 18.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h) dlhodobých  pohľadávkach,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 neeviduje dlhodobé pohľadávky.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i) krátkodobých  pohľadávkach,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krátkodobé pohľadávky z daňových a nedaňových príjmov vo výške 8 659,11,-€.  Informácie o dobe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splatnosti pohľadávok sú uvedené v prílohe k poznámkam v tabuľke č. 9.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j) finančných  účtoch,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Zostatky na finančných účtoch konsolidovanej účtovnej jednotky.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k) poskytnutých  finančných výpomociach,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neposkytla v roku 2022 finančnú výpomoc.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l) časovom  rozlíšení na strane aktív,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 tabuľke č. </w:t>
            </w:r>
            <w:smartTag w:uri="urn:schemas-microsoft-com:office:smarttags" w:element="metricconverter">
              <w:smartTagPr>
                <w:attr w:name="ProductID" w:val="10 a"/>
              </w:smartTagPr>
              <w:r>
                <w:rPr>
                  <w:rFonts w:ascii="Arial Narrow" w:hAnsi="Arial Narrow" w:cs="Arial"/>
                  <w:b/>
                  <w:bCs/>
                  <w:color w:val="000000"/>
                  <w:lang w:eastAsia="sk-SK"/>
                </w:rPr>
                <w:t>10 a</w:t>
              </w:r>
            </w:smartTag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tabuľke č. 11 prílohy k poznámkam sú uvedené významné položky časového rozlíšenia aktív.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m) dlhodobých záväzkoch,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eviduje dlhodobé záväzky zo sociálneho fondu vo výške 926,74,-€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n) krátkodobých  záväzkoch,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Konsolidovaná ÚJ vedie záväzky vo výške </w:t>
            </w:r>
            <w:r w:rsidR="009762F6" w:rsidRPr="009762F6"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22 462,89</w:t>
            </w: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,-€ Prehľad záväzkov  z hľadiska ich splatnosti je uvedený v prílohe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k poznámkam v tabuľke č. 15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o) vydaných  dlhopisoch,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Konsolidovaná ÚJ nevydala v roku 2023 dlhopisy.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p) bankových úveroch a návratných výpomociach,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>Informácie o bankových úveroch sú uvedené v prílohe k poznámkam v tabuľke č. 16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q) časovom  rozlíšení na strane pasív,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V prílohe k poznámkam v tabuľke č. </w:t>
            </w:r>
            <w:smartTag w:uri="urn:schemas-microsoft-com:office:smarttags" w:element="metricconverter">
              <w:smartTagPr>
                <w:attr w:name="ProductID" w:val="17 a"/>
              </w:smartTagPr>
              <w:r>
                <w:rPr>
                  <w:rFonts w:ascii="Arial Narrow" w:hAnsi="Arial Narrow" w:cs="Arial"/>
                  <w:b/>
                  <w:bCs/>
                  <w:color w:val="000000"/>
                  <w:lang w:eastAsia="sk-SK"/>
                </w:rPr>
                <w:t>17 a</w:t>
              </w:r>
            </w:smartTag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18 sú uvedené významné položky časového rozlíšenia pasív.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r) predaji  zásob v účtovných jednotkách zahrnutých do konsolidovaného celku verejnej správy, 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  <w:t xml:space="preserve">  Nebol uskutočnený.</w:t>
            </w:r>
          </w:p>
        </w:tc>
      </w:tr>
      <w:tr w:rsidR="001C3036" w:rsidTr="005E1F7D">
        <w:trPr>
          <w:trHeight w:val="330"/>
        </w:trPr>
        <w:tc>
          <w:tcPr>
            <w:tcW w:w="12561" w:type="dxa"/>
            <w:noWrap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lastRenderedPageBreak/>
              <w:t xml:space="preserve">s) ďalších potrebných údajoch.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Čl. </w:t>
            </w:r>
            <w:r w:rsidR="009762F6">
              <w:rPr>
                <w:rFonts w:ascii="Arial Narrow" w:hAnsi="Arial Narrow" w:cs="Arial"/>
                <w:b/>
                <w:color w:val="000000"/>
                <w:lang w:eastAsia="sk-SK"/>
              </w:rPr>
              <w:t>I</w:t>
            </w:r>
            <w:bookmarkStart w:id="0" w:name="_GoBack"/>
            <w:bookmarkEnd w:id="0"/>
            <w:r w:rsidR="009762F6">
              <w:rPr>
                <w:rFonts w:ascii="Arial Narrow" w:hAnsi="Arial Narrow" w:cs="Arial"/>
                <w:b/>
                <w:color w:val="000000"/>
                <w:lang w:eastAsia="sk-SK"/>
              </w:rPr>
              <w:t>V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Informácie o nákladoch a výnosoch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(1) Informácie o významných položkách nákladov a výnosov konsolidovaného celku za bežné účtovné obdobie a bezprostredne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    predchádzajúce účtovné obdobie.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V tabuľkách č. 19, 20, 21 je uvedené detailné členenie vybraných položiek nákladov konsolidovaného celku.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V tabuľke č. 22 je uvedené  detailné členenie vybraných položiek výnosov konsolidovaného celku.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 </w:t>
            </w:r>
            <w:r>
              <w:rPr>
                <w:rFonts w:ascii="Arial Narrow" w:hAnsi="Arial Narrow" w:cs="Arial"/>
                <w:color w:val="000000"/>
                <w:lang w:eastAsia="sk-SK"/>
              </w:rPr>
              <w:t>(2) Popis a výška nákladov voči audítorovi alebo audítorskej spoločnosti v členení na: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a) overenie účtovnej závierky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Náklady na overenie účtovnej závierky boli vo výške 1 350,- €. 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b) </w:t>
            </w:r>
            <w:proofErr w:type="spellStart"/>
            <w:r>
              <w:rPr>
                <w:rFonts w:ascii="Arial Narrow" w:hAnsi="Arial Narrow" w:cs="Arial"/>
                <w:color w:val="000000"/>
                <w:lang w:eastAsia="sk-SK"/>
              </w:rPr>
              <w:t>uisťovacie</w:t>
            </w:r>
            <w:proofErr w:type="spellEnd"/>
            <w:r>
              <w:rPr>
                <w:rFonts w:ascii="Arial Narrow" w:hAnsi="Arial Narrow" w:cs="Arial"/>
                <w:color w:val="000000"/>
                <w:lang w:eastAsia="sk-SK"/>
              </w:rPr>
              <w:t xml:space="preserve"> audítorské služby s výnimkou overenia účtovnej závierky,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Náklady na </w:t>
            </w:r>
            <w:proofErr w:type="spellStart"/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uisťovacie</w:t>
            </w:r>
            <w:proofErr w:type="spellEnd"/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 xml:space="preserve"> audítorské služby s výnimkou overenia ÚZ v konsolidovanom celku neboli účtované.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c) súvisiace audítorské služby,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Náklady na audítorské služby v konsolidovanom celku neboli účtované.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>d) daňové poradenstvo,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Náklady na daňové poradenstvo v konsolidovanom celku neboli účtované.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color w:val="000000"/>
                <w:lang w:eastAsia="sk-SK"/>
              </w:rPr>
              <w:t xml:space="preserve">e) ostatné neaudítorské služby. 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b/>
                <w:color w:val="000000"/>
                <w:lang w:eastAsia="sk-SK"/>
              </w:rPr>
            </w:pPr>
            <w:r>
              <w:rPr>
                <w:rFonts w:ascii="Arial Narrow" w:hAnsi="Arial Narrow" w:cs="Arial"/>
                <w:b/>
                <w:color w:val="000000"/>
                <w:lang w:eastAsia="sk-SK"/>
              </w:rPr>
              <w:t>Náklady na ostatné neaudítorské služby v konsolidovanom celku neboli účtované.</w:t>
            </w:r>
          </w:p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rFonts w:ascii="Arial Narrow" w:hAnsi="Arial Narrow" w:cs="Arial"/>
                <w:color w:val="000000"/>
                <w:lang w:eastAsia="sk-SK"/>
              </w:rPr>
            </w:pPr>
          </w:p>
        </w:tc>
      </w:tr>
    </w:tbl>
    <w:p w:rsidR="000B584C" w:rsidRDefault="000B584C" w:rsidP="001C3036">
      <w:pPr>
        <w:pStyle w:val="Bezriadkovania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pPr w:leftFromText="141" w:rightFromText="141" w:horzAnchor="page" w:tblpX="1" w:tblpY="-1410"/>
        <w:tblW w:w="1293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2935"/>
      </w:tblGrid>
      <w:tr w:rsidR="001C3036" w:rsidTr="001C3036">
        <w:trPr>
          <w:trHeight w:val="330"/>
        </w:trPr>
        <w:tc>
          <w:tcPr>
            <w:tcW w:w="12935" w:type="dxa"/>
            <w:noWrap/>
            <w:vAlign w:val="bottom"/>
          </w:tcPr>
          <w:p w:rsidR="001C3036" w:rsidRDefault="001C3036" w:rsidP="001C3036">
            <w:pPr>
              <w:pStyle w:val="NoSpacing"/>
              <w:spacing w:line="360" w:lineRule="auto"/>
              <w:ind w:left="851"/>
              <w:jc w:val="both"/>
              <w:rPr>
                <w:lang w:eastAsia="sk-SK"/>
              </w:rPr>
            </w:pPr>
          </w:p>
        </w:tc>
      </w:tr>
      <w:tr w:rsidR="001C3036" w:rsidTr="001C3036">
        <w:trPr>
          <w:trHeight w:val="330"/>
        </w:trPr>
        <w:tc>
          <w:tcPr>
            <w:tcW w:w="12935" w:type="dxa"/>
            <w:noWrap/>
          </w:tcPr>
          <w:p w:rsidR="001C3036" w:rsidRDefault="001C3036" w:rsidP="009762F6">
            <w:pPr>
              <w:pStyle w:val="NoSpacing"/>
              <w:spacing w:line="360" w:lineRule="auto"/>
              <w:jc w:val="both"/>
              <w:rPr>
                <w:rFonts w:ascii="Arial Narrow" w:hAnsi="Arial Narrow" w:cs="Arial"/>
                <w:b/>
                <w:bCs/>
                <w:color w:val="000000"/>
                <w:lang w:eastAsia="sk-SK"/>
              </w:rPr>
            </w:pPr>
          </w:p>
        </w:tc>
      </w:tr>
    </w:tbl>
    <w:p w:rsidR="006550EB" w:rsidRDefault="006550EB" w:rsidP="001C3036">
      <w:pPr>
        <w:pStyle w:val="Bezriadkovania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sectPr w:rsidR="006550EB" w:rsidSect="00784392">
      <w:head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83FE8" w:rsidRDefault="00783FE8" w:rsidP="00784392">
      <w:r>
        <w:separator/>
      </w:r>
    </w:p>
  </w:endnote>
  <w:endnote w:type="continuationSeparator" w:id="0">
    <w:p w:rsidR="00783FE8" w:rsidRDefault="00783FE8" w:rsidP="007843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83FE8" w:rsidRDefault="00783FE8" w:rsidP="00784392">
      <w:r>
        <w:separator/>
      </w:r>
    </w:p>
  </w:footnote>
  <w:footnote w:type="continuationSeparator" w:id="0">
    <w:p w:rsidR="00783FE8" w:rsidRDefault="00783FE8" w:rsidP="007843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70659532"/>
      <w:docPartObj>
        <w:docPartGallery w:val="Page Numbers (Top of Page)"/>
        <w:docPartUnique/>
      </w:docPartObj>
    </w:sdtPr>
    <w:sdtEndPr/>
    <w:sdtContent>
      <w:p w:rsidR="00BE790F" w:rsidRDefault="002258D7">
        <w:pPr>
          <w:pStyle w:val="Hlavik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0171E4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E790F" w:rsidRDefault="00BE790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114F60"/>
    <w:multiLevelType w:val="hybridMultilevel"/>
    <w:tmpl w:val="9B7A07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40298E"/>
    <w:multiLevelType w:val="hybridMultilevel"/>
    <w:tmpl w:val="8C668AC4"/>
    <w:lvl w:ilvl="0" w:tplc="D13A1C5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A2CFA"/>
    <w:multiLevelType w:val="hybridMultilevel"/>
    <w:tmpl w:val="C714FA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E231B6"/>
    <w:multiLevelType w:val="hybridMultilevel"/>
    <w:tmpl w:val="E23CD23A"/>
    <w:lvl w:ilvl="0" w:tplc="53C2D3BE">
      <w:start w:val="1"/>
      <w:numFmt w:val="bullet"/>
      <w:pStyle w:val="Odsekzoznamu"/>
      <w:lvlText w:val="-"/>
      <w:lvlJc w:val="left"/>
      <w:pPr>
        <w:ind w:left="96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4" w15:restartNumberingAfterBreak="0">
    <w:nsid w:val="245802AC"/>
    <w:multiLevelType w:val="multilevel"/>
    <w:tmpl w:val="3DCE983C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36A51050"/>
    <w:multiLevelType w:val="hybridMultilevel"/>
    <w:tmpl w:val="E61A2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AF4620"/>
    <w:multiLevelType w:val="hybridMultilevel"/>
    <w:tmpl w:val="7902A23C"/>
    <w:lvl w:ilvl="0" w:tplc="B370508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8" w15:restartNumberingAfterBreak="0">
    <w:nsid w:val="696D4460"/>
    <w:multiLevelType w:val="hybridMultilevel"/>
    <w:tmpl w:val="78FE34A6"/>
    <w:lvl w:ilvl="0" w:tplc="1A047F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B4547FC"/>
    <w:multiLevelType w:val="hybridMultilevel"/>
    <w:tmpl w:val="EB3C1E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8"/>
  </w:num>
  <w:num w:numId="4">
    <w:abstractNumId w:val="0"/>
  </w:num>
  <w:num w:numId="5">
    <w:abstractNumId w:val="6"/>
  </w:num>
  <w:num w:numId="6">
    <w:abstractNumId w:val="5"/>
  </w:num>
  <w:num w:numId="7">
    <w:abstractNumId w:val="9"/>
  </w:num>
  <w:num w:numId="8">
    <w:abstractNumId w:val="3"/>
  </w:num>
  <w:num w:numId="9">
    <w:abstractNumId w:val="7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562D"/>
    <w:rsid w:val="000171E4"/>
    <w:rsid w:val="000B584C"/>
    <w:rsid w:val="000E14E1"/>
    <w:rsid w:val="000F447C"/>
    <w:rsid w:val="00134B09"/>
    <w:rsid w:val="00164BFB"/>
    <w:rsid w:val="001A2D83"/>
    <w:rsid w:val="001C3036"/>
    <w:rsid w:val="001C47E8"/>
    <w:rsid w:val="001D2962"/>
    <w:rsid w:val="001D43D5"/>
    <w:rsid w:val="001E6A26"/>
    <w:rsid w:val="001E79C7"/>
    <w:rsid w:val="00201E9D"/>
    <w:rsid w:val="00223350"/>
    <w:rsid w:val="002258D7"/>
    <w:rsid w:val="00250F8E"/>
    <w:rsid w:val="00271787"/>
    <w:rsid w:val="00281CD0"/>
    <w:rsid w:val="002A705A"/>
    <w:rsid w:val="002B22B7"/>
    <w:rsid w:val="002B5511"/>
    <w:rsid w:val="00314FDA"/>
    <w:rsid w:val="00331D33"/>
    <w:rsid w:val="00366A96"/>
    <w:rsid w:val="00371FF6"/>
    <w:rsid w:val="00372A2E"/>
    <w:rsid w:val="003808CB"/>
    <w:rsid w:val="00394DEB"/>
    <w:rsid w:val="003A2F7D"/>
    <w:rsid w:val="0040422A"/>
    <w:rsid w:val="00411D82"/>
    <w:rsid w:val="00461E10"/>
    <w:rsid w:val="004A5749"/>
    <w:rsid w:val="004D3CBE"/>
    <w:rsid w:val="004E24A8"/>
    <w:rsid w:val="004F5548"/>
    <w:rsid w:val="00521695"/>
    <w:rsid w:val="0053657C"/>
    <w:rsid w:val="00536FB1"/>
    <w:rsid w:val="0054241C"/>
    <w:rsid w:val="00555CA6"/>
    <w:rsid w:val="00555DE5"/>
    <w:rsid w:val="005A26EB"/>
    <w:rsid w:val="005A6CB5"/>
    <w:rsid w:val="005B3FC1"/>
    <w:rsid w:val="005B6E9F"/>
    <w:rsid w:val="005C138E"/>
    <w:rsid w:val="005D71B3"/>
    <w:rsid w:val="005E3C56"/>
    <w:rsid w:val="006000D3"/>
    <w:rsid w:val="00621453"/>
    <w:rsid w:val="006550EB"/>
    <w:rsid w:val="0066277C"/>
    <w:rsid w:val="006748C9"/>
    <w:rsid w:val="0068479F"/>
    <w:rsid w:val="006E439A"/>
    <w:rsid w:val="006F6EEA"/>
    <w:rsid w:val="007415B0"/>
    <w:rsid w:val="00781E32"/>
    <w:rsid w:val="00783FE8"/>
    <w:rsid w:val="00784392"/>
    <w:rsid w:val="0078661B"/>
    <w:rsid w:val="007A562D"/>
    <w:rsid w:val="00811E4E"/>
    <w:rsid w:val="00821C58"/>
    <w:rsid w:val="0085469D"/>
    <w:rsid w:val="00891276"/>
    <w:rsid w:val="008B3C69"/>
    <w:rsid w:val="008B5ED8"/>
    <w:rsid w:val="008E1B70"/>
    <w:rsid w:val="008F36CA"/>
    <w:rsid w:val="00900E36"/>
    <w:rsid w:val="00952851"/>
    <w:rsid w:val="009762F6"/>
    <w:rsid w:val="009D1449"/>
    <w:rsid w:val="009D360E"/>
    <w:rsid w:val="009D7A29"/>
    <w:rsid w:val="009F7C23"/>
    <w:rsid w:val="00A12518"/>
    <w:rsid w:val="00A130E1"/>
    <w:rsid w:val="00A202B6"/>
    <w:rsid w:val="00A44FE2"/>
    <w:rsid w:val="00A6341F"/>
    <w:rsid w:val="00A80111"/>
    <w:rsid w:val="00A91528"/>
    <w:rsid w:val="00AE64BB"/>
    <w:rsid w:val="00AF595E"/>
    <w:rsid w:val="00B22A59"/>
    <w:rsid w:val="00B2371F"/>
    <w:rsid w:val="00B74C98"/>
    <w:rsid w:val="00B93026"/>
    <w:rsid w:val="00BE790F"/>
    <w:rsid w:val="00C52A6A"/>
    <w:rsid w:val="00C606B3"/>
    <w:rsid w:val="00C61AF2"/>
    <w:rsid w:val="00C9525D"/>
    <w:rsid w:val="00CA4667"/>
    <w:rsid w:val="00CA5E04"/>
    <w:rsid w:val="00CC3BAD"/>
    <w:rsid w:val="00D407E4"/>
    <w:rsid w:val="00D431D4"/>
    <w:rsid w:val="00D8215E"/>
    <w:rsid w:val="00DA5599"/>
    <w:rsid w:val="00DD3800"/>
    <w:rsid w:val="00DF5D11"/>
    <w:rsid w:val="00E35FD7"/>
    <w:rsid w:val="00EC0A53"/>
    <w:rsid w:val="00EC1DF1"/>
    <w:rsid w:val="00ED57B9"/>
    <w:rsid w:val="00EE6C36"/>
    <w:rsid w:val="00EF0187"/>
    <w:rsid w:val="00F439BA"/>
    <w:rsid w:val="00FB0868"/>
    <w:rsid w:val="00FC5409"/>
    <w:rsid w:val="00FE3E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223E6BF"/>
  <w15:docId w15:val="{EB208078-86BD-49AF-AF58-2840E93D8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717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A562D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7A562D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7A56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7843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784392"/>
  </w:style>
  <w:style w:type="paragraph" w:styleId="Pta">
    <w:name w:val="footer"/>
    <w:basedOn w:val="Normlny"/>
    <w:link w:val="PtaChar"/>
    <w:uiPriority w:val="99"/>
    <w:unhideWhenUsed/>
    <w:rsid w:val="00784392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84392"/>
  </w:style>
  <w:style w:type="paragraph" w:styleId="Odsekzoznamu">
    <w:name w:val="List Paragraph"/>
    <w:basedOn w:val="Normlny"/>
    <w:uiPriority w:val="34"/>
    <w:qFormat/>
    <w:rsid w:val="006550EB"/>
    <w:pPr>
      <w:numPr>
        <w:numId w:val="8"/>
      </w:numPr>
      <w:spacing w:after="200" w:line="276" w:lineRule="auto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6550EB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customStyle="1" w:styleId="Pismenka">
    <w:name w:val="Pismenka"/>
    <w:basedOn w:val="Zkladntext"/>
    <w:rsid w:val="008B3C69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val="x-none" w:eastAsia="x-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8B3C6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B3C6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Bezriadkovania1">
    <w:name w:val="Bez riadkovania1"/>
    <w:rsid w:val="002B22B7"/>
    <w:pPr>
      <w:suppressAutoHyphens/>
      <w:spacing w:after="0" w:line="240" w:lineRule="auto"/>
      <w:ind w:left="425"/>
    </w:pPr>
    <w:rPr>
      <w:rFonts w:ascii="Liberation Serif" w:eastAsia="NSimSun" w:hAnsi="Liberation Serif" w:cs="Arial"/>
      <w:b/>
      <w:kern w:val="2"/>
      <w:sz w:val="24"/>
      <w:szCs w:val="24"/>
      <w:lang w:eastAsia="zh-C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B5E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B5ED8"/>
    <w:rPr>
      <w:rFonts w:ascii="Segoe UI" w:eastAsia="Times New Roman" w:hAnsi="Segoe UI" w:cs="Segoe UI"/>
      <w:sz w:val="18"/>
      <w:szCs w:val="18"/>
      <w:lang w:eastAsia="sk-SK"/>
    </w:rPr>
  </w:style>
  <w:style w:type="paragraph" w:customStyle="1" w:styleId="Standard">
    <w:name w:val="Standard"/>
    <w:rsid w:val="00CA466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character" w:styleId="Nevyrieenzmienka">
    <w:name w:val="Unresolved Mention"/>
    <w:basedOn w:val="Predvolenpsmoodseku"/>
    <w:uiPriority w:val="99"/>
    <w:semiHidden/>
    <w:unhideWhenUsed/>
    <w:rsid w:val="00A91528"/>
    <w:rPr>
      <w:color w:val="605E5C"/>
      <w:shd w:val="clear" w:color="auto" w:fill="E1DFDD"/>
    </w:rPr>
  </w:style>
  <w:style w:type="paragraph" w:customStyle="1" w:styleId="NoSpacing">
    <w:name w:val="No Spacing"/>
    <w:rsid w:val="001C3036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2094</Words>
  <Characters>11938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LESKOVJANSKÁ Janka</cp:lastModifiedBy>
  <cp:revision>2</cp:revision>
  <cp:lastPrinted>2022-06-16T13:43:00Z</cp:lastPrinted>
  <dcterms:created xsi:type="dcterms:W3CDTF">2024-06-20T14:32:00Z</dcterms:created>
  <dcterms:modified xsi:type="dcterms:W3CDTF">2024-06-20T14:32:00Z</dcterms:modified>
</cp:coreProperties>
</file>