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93414E" w14:textId="1DC11D98" w:rsidR="007613D6" w:rsidRPr="007E47F1" w:rsidRDefault="007613D6" w:rsidP="007E47F1">
      <w:pPr>
        <w:pStyle w:val="Nadpis3"/>
        <w:spacing w:before="0" w:beforeAutospacing="0" w:after="120" w:afterAutospacing="0"/>
        <w:jc w:val="center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Poznámky – textová časť 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konsolidovanej účtovnej závierky zostavenej k 31. 12. 2023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účtovnej jednotky verejnej správy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r w:rsid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mesta Pezinok</w:t>
      </w:r>
      <w:r w:rsidRPr="007E47F1">
        <w:rPr>
          <w:rFonts w:asciiTheme="minorHAnsi" w:hAnsiTheme="minorHAnsi" w:cstheme="minorHAnsi"/>
          <w:sz w:val="22"/>
          <w:szCs w:val="22"/>
        </w:rPr>
        <w:t> </w:t>
      </w:r>
    </w:p>
    <w:p w14:paraId="363D029C" w14:textId="77777777" w:rsidR="007613D6" w:rsidRPr="007E47F1" w:rsidRDefault="007613D6" w:rsidP="007E47F1">
      <w:pPr>
        <w:pStyle w:val="Nadpis4"/>
        <w:spacing w:before="0" w:after="120"/>
        <w:jc w:val="both"/>
        <w:rPr>
          <w:rFonts w:asciiTheme="minorHAnsi" w:hAnsiTheme="minorHAnsi" w:cstheme="minorHAnsi"/>
          <w:i w:val="0"/>
          <w:iCs w:val="0"/>
          <w:color w:val="auto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i w:val="0"/>
          <w:iCs w:val="0"/>
          <w:color w:val="auto"/>
          <w:sz w:val="22"/>
          <w:szCs w:val="22"/>
        </w:rPr>
        <w:t>Všeobecné údaje</w:t>
      </w:r>
    </w:p>
    <w:p w14:paraId="5D99FA21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Identifikačné údaje o konsolidujúcej účtovnej jednotke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7E47F1" w14:paraId="1489D95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71DAD8F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8984487" w14:textId="19BA0E50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Mesto Pezinok</w:t>
            </w:r>
          </w:p>
        </w:tc>
      </w:tr>
      <w:tr w:rsidR="007613D6" w:rsidRPr="007E47F1" w14:paraId="61A9A49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764BB53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732044" w14:textId="47AF3941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Radničné námestie 7, 902 14 Pezinok</w:t>
            </w:r>
          </w:p>
        </w:tc>
      </w:tr>
      <w:tr w:rsidR="007613D6" w:rsidRPr="007E47F1" w14:paraId="5BBE684C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41D5262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3EE65A6" w14:textId="202D3546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Zákon č. 369/1990 Zb. o obecnom zriadení</w:t>
            </w:r>
          </w:p>
        </w:tc>
      </w:tr>
      <w:tr w:rsidR="007613D6" w:rsidRPr="007E47F1" w14:paraId="72C5539D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2B40107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Štatutárny orgán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984614" w14:textId="3A6B456D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JUDr. Roman Mács, primátor mesta</w:t>
            </w:r>
          </w:p>
        </w:tc>
      </w:tr>
    </w:tbl>
    <w:p w14:paraId="0A648521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  <w:rFonts w:asciiTheme="minorHAnsi" w:hAnsiTheme="minorHAnsi" w:cstheme="minorHAnsi"/>
          <w:sz w:val="22"/>
          <w:szCs w:val="22"/>
        </w:rPr>
      </w:pPr>
    </w:p>
    <w:p w14:paraId="1725B2E3" w14:textId="1F7FF19B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Identifikačné údaje o konsolidovaných účtovných jednotkách v pôsobnosti konsolidujúcej účtovnej jednotky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7E47F1" w14:paraId="6D12214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C4C63E4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0" w:name="_Hlk169851671"/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A0E8DC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Základná škola</w:t>
            </w:r>
          </w:p>
        </w:tc>
      </w:tr>
      <w:tr w:rsidR="007613D6" w:rsidRPr="007E47F1" w14:paraId="4536288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B929294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10E1B31" w14:textId="208FC388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Fándlyho 11, 902 01 Pezinok</w:t>
            </w:r>
          </w:p>
        </w:tc>
      </w:tr>
      <w:tr w:rsidR="007613D6" w:rsidRPr="007E47F1" w14:paraId="60C47490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9BCA086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670F57" w14:textId="5D3F3B36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7E47F1">
              <w:rPr>
                <w:rFonts w:cstheme="minorHAnsi"/>
                <w:sz w:val="22"/>
                <w:szCs w:val="22"/>
              </w:rPr>
              <w:t>01.01.2002</w:t>
            </w:r>
          </w:p>
        </w:tc>
      </w:tr>
    </w:tbl>
    <w:bookmarkEnd w:id="0"/>
    <w:p w14:paraId="132DFE76" w14:textId="77777777" w:rsid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5966B7D2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6879D7A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BB13C64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 škola</w:t>
            </w:r>
          </w:p>
        </w:tc>
      </w:tr>
      <w:tr w:rsidR="007E47F1" w:rsidRPr="007E47F1" w14:paraId="2A77890B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4A6D7EB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FB62A0A" w14:textId="37958402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Kupeckého 74, 902 01 Pezinok</w:t>
            </w:r>
          </w:p>
        </w:tc>
      </w:tr>
      <w:tr w:rsidR="007E47F1" w:rsidRPr="007E47F1" w14:paraId="415FBB15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D12271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2332C6" w14:textId="5A6CB9F2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01.01.2002</w:t>
            </w:r>
          </w:p>
        </w:tc>
      </w:tr>
    </w:tbl>
    <w:p w14:paraId="6BB8B118" w14:textId="76EDFEB5" w:rsidR="007613D6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68F3A6F8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0A24924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DCAD5C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 škola</w:t>
            </w:r>
          </w:p>
        </w:tc>
      </w:tr>
      <w:tr w:rsidR="007E47F1" w:rsidRPr="007E47F1" w14:paraId="47C8B18A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65969E8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F40E61D" w14:textId="77461F52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Na bielenisku 2, 902 01 Pezinok</w:t>
            </w:r>
          </w:p>
        </w:tc>
      </w:tr>
      <w:tr w:rsidR="007E47F1" w:rsidRPr="007E47F1" w14:paraId="157DF568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94FCE26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5A491E7" w14:textId="536D23C6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01.01.2002</w:t>
            </w:r>
          </w:p>
        </w:tc>
      </w:tr>
    </w:tbl>
    <w:p w14:paraId="23514A76" w14:textId="77777777" w:rsidR="007E47F1" w:rsidRDefault="007E47F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1891DD94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46ADE0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78947BC" w14:textId="1A7814F9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Základná škola</w:t>
            </w:r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s materskou školou</w:t>
            </w:r>
          </w:p>
        </w:tc>
      </w:tr>
      <w:tr w:rsidR="007E47F1" w:rsidRPr="007E47F1" w14:paraId="63BEAAF1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EEE27EC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17E4235" w14:textId="1378D1A0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Orešie 3, 902 01 Pezinok</w:t>
            </w:r>
          </w:p>
        </w:tc>
      </w:tr>
      <w:tr w:rsidR="007E47F1" w:rsidRPr="007E47F1" w14:paraId="68584A84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4B0C887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09B457" w14:textId="54A9D37A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01.04.2002</w:t>
            </w:r>
          </w:p>
        </w:tc>
      </w:tr>
    </w:tbl>
    <w:p w14:paraId="5EB69718" w14:textId="77777777" w:rsidR="007E47F1" w:rsidRDefault="007E47F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E47F1" w:rsidRPr="007E47F1" w14:paraId="242352B1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BC4E573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BA355E6" w14:textId="0E8102E9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Základná </w:t>
            </w:r>
            <w:r>
              <w:rPr>
                <w:rFonts w:eastAsia="Times New Roman" w:cstheme="minorHAnsi"/>
                <w:sz w:val="22"/>
                <w:szCs w:val="22"/>
                <w:lang w:val="en-US"/>
              </w:rPr>
              <w:t xml:space="preserve">umelecká </w:t>
            </w: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škola</w:t>
            </w:r>
            <w:r w:rsidR="001C55E1">
              <w:rPr>
                <w:rFonts w:eastAsia="Times New Roman" w:cstheme="minorHAnsi"/>
                <w:sz w:val="22"/>
                <w:szCs w:val="22"/>
                <w:lang w:val="en-US"/>
              </w:rPr>
              <w:t xml:space="preserve"> Eugena Suchoňa</w:t>
            </w:r>
          </w:p>
        </w:tc>
      </w:tr>
      <w:tr w:rsidR="007E47F1" w:rsidRPr="007E47F1" w14:paraId="5CF626F7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A28069F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92F60C" w14:textId="363F7374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M. R. Štefánika 9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7E47F1" w:rsidRPr="007E47F1" w14:paraId="1CE3F093" w14:textId="77777777" w:rsidTr="007E47F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A41AE44" w14:textId="77777777" w:rsidR="007E47F1" w:rsidRPr="007E47F1" w:rsidRDefault="007E47F1" w:rsidP="007E47F1">
            <w:pPr>
              <w:spacing w:after="120"/>
              <w:jc w:val="both"/>
              <w:rPr>
                <w:rFonts w:eastAsia="Times New Roman" w:cstheme="minorHAnsi"/>
                <w:sz w:val="22"/>
                <w:szCs w:val="22"/>
                <w:lang w:val="en-US"/>
              </w:rPr>
            </w:pPr>
            <w:r w:rsidRPr="007E47F1">
              <w:rPr>
                <w:rFonts w:eastAsia="Times New Roman" w:cstheme="minorHAnsi"/>
                <w:sz w:val="22"/>
                <w:szCs w:val="22"/>
                <w:lang w:val="en-US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4C74D0D" w14:textId="2EDBE687" w:rsidR="007E47F1" w:rsidRPr="007E47F1" w:rsidRDefault="007E47F1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01.04.200</w:t>
            </w:r>
            <w:r w:rsidR="001C55E1">
              <w:rPr>
                <w:rFonts w:cstheme="minorHAnsi"/>
                <w:sz w:val="22"/>
                <w:szCs w:val="22"/>
              </w:rPr>
              <w:t>3</w:t>
            </w:r>
          </w:p>
        </w:tc>
      </w:tr>
    </w:tbl>
    <w:p w14:paraId="7E77578A" w14:textId="1222DE4B" w:rsidR="007E47F1" w:rsidRPr="007E47F1" w:rsidRDefault="007E47F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7613D6" w:rsidRPr="007E47F1" w14:paraId="3F3BD1FA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76EDE6E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357ED69" w14:textId="01DF70EE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 škola</w:t>
            </w:r>
            <w:r w:rsidR="001C55E1">
              <w:rPr>
                <w:rFonts w:asciiTheme="minorHAnsi" w:hAnsiTheme="minorHAnsi" w:cstheme="minorHAnsi"/>
                <w:sz w:val="22"/>
                <w:szCs w:val="22"/>
              </w:rPr>
              <w:t xml:space="preserve"> Bystrická</w:t>
            </w:r>
          </w:p>
        </w:tc>
      </w:tr>
      <w:tr w:rsidR="007613D6" w:rsidRPr="007E47F1" w14:paraId="40F6D537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4F32ED2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05827AD" w14:textId="2AF58CB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Bystrická 1, 902 01 Pezinok</w:t>
            </w:r>
          </w:p>
        </w:tc>
      </w:tr>
      <w:tr w:rsidR="007613D6" w:rsidRPr="007E47F1" w14:paraId="169A66FD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5E6FC1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F2119C" w14:textId="3822F5BF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3C6DBF2B" w14:textId="717D4F0D" w:rsidR="007613D6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3D41A13A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2BDCF8F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6D0A472" w14:textId="1B4F70E2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 škola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gen. Pekníka</w:t>
            </w:r>
          </w:p>
        </w:tc>
      </w:tr>
      <w:tr w:rsidR="001C55E1" w:rsidRPr="007E47F1" w14:paraId="07164ED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9D2F2A2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CB2EC0B" w14:textId="341F866D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Ul. Gen. Pekníka 2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1C55E1" w:rsidRPr="007E47F1" w14:paraId="77752A5B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DDC7190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CFD9621" w14:textId="6604E5A4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6F4E8926" w14:textId="64E6D201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216C79E8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13D9F8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C9DEBD1" w14:textId="6B3C14D4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 škola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Vajanského</w:t>
            </w:r>
          </w:p>
        </w:tc>
      </w:tr>
      <w:tr w:rsidR="001C55E1" w:rsidRPr="007E47F1" w14:paraId="732E93CE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98D8FF9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6D9235E" w14:textId="78901B30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Vajanského</w:t>
            </w:r>
            <w:r>
              <w:rPr>
                <w:rFonts w:cstheme="minorHAnsi"/>
                <w:sz w:val="22"/>
                <w:szCs w:val="22"/>
              </w:rPr>
              <w:t xml:space="preserve"> 1</w:t>
            </w:r>
            <w:r>
              <w:rPr>
                <w:rFonts w:cstheme="minorHAnsi"/>
                <w:sz w:val="22"/>
                <w:szCs w:val="22"/>
              </w:rPr>
              <w:t>6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1C55E1" w:rsidRPr="007E47F1" w14:paraId="3AC8B260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CE92AB0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8178EA8" w14:textId="74E6A61D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06134E67" w14:textId="2DB37752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12C1A458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58E41EF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D842D10" w14:textId="32D36200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 škola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Za hradbami</w:t>
            </w:r>
          </w:p>
        </w:tc>
      </w:tr>
      <w:tr w:rsidR="001C55E1" w:rsidRPr="007E47F1" w14:paraId="1B5D8E7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CA7C2B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0A39F0" w14:textId="35C9896E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Za hradbami</w:t>
            </w:r>
            <w:r>
              <w:rPr>
                <w:rFonts w:cstheme="minorHAnsi"/>
                <w:sz w:val="22"/>
                <w:szCs w:val="22"/>
              </w:rPr>
              <w:t xml:space="preserve"> 1, 902 01 Pezinok</w:t>
            </w:r>
          </w:p>
        </w:tc>
      </w:tr>
      <w:tr w:rsidR="001C55E1" w:rsidRPr="007E47F1" w14:paraId="302AB8CD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F305D99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83B104" w14:textId="5B21707F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58F55D94" w14:textId="406FE3B8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3E7555A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53F40DC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A837E6" w14:textId="7B51DD7E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 škola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Záhradná</w:t>
            </w:r>
          </w:p>
        </w:tc>
      </w:tr>
      <w:tr w:rsidR="001C55E1" w:rsidRPr="007E47F1" w14:paraId="7E5C7AB6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6650054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BCA639E" w14:textId="067FCB85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Záhradná 34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1C55E1" w:rsidRPr="007E47F1" w14:paraId="5DE28121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CDCA1E9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73C42FB" w14:textId="6BC6D138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12D089B3" w14:textId="5580C932" w:rsidR="001C55E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1C55E1" w:rsidRPr="007E47F1" w14:paraId="4636DF2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57C5018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197F56" w14:textId="58F91DC8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 škola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Svätoplukova</w:t>
            </w:r>
          </w:p>
        </w:tc>
      </w:tr>
      <w:tr w:rsidR="001C55E1" w:rsidRPr="007E47F1" w14:paraId="1A0B4194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21CD8DA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7B807AC" w14:textId="636BDD5C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Svätoplukova</w:t>
            </w:r>
            <w:r>
              <w:rPr>
                <w:rFonts w:cstheme="minorHAnsi"/>
                <w:sz w:val="22"/>
                <w:szCs w:val="22"/>
              </w:rPr>
              <w:t xml:space="preserve"> </w:t>
            </w:r>
            <w:r>
              <w:rPr>
                <w:rFonts w:cstheme="minorHAnsi"/>
                <w:sz w:val="22"/>
                <w:szCs w:val="22"/>
              </w:rPr>
              <w:t>5</w:t>
            </w:r>
            <w:r>
              <w:rPr>
                <w:rFonts w:cstheme="minorHAnsi"/>
                <w:sz w:val="22"/>
                <w:szCs w:val="22"/>
              </w:rPr>
              <w:t>1, 902 01 Pezinok</w:t>
            </w:r>
          </w:p>
        </w:tc>
      </w:tr>
      <w:tr w:rsidR="001C55E1" w:rsidRPr="007E47F1" w14:paraId="7F2FF870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CDF9A6A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933B191" w14:textId="123BCAA0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2725DDE1" w14:textId="77777777" w:rsidR="001C55E1" w:rsidRPr="007E47F1" w:rsidRDefault="001C55E1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2"/>
        <w:gridCol w:w="5468"/>
      </w:tblGrid>
      <w:tr w:rsidR="007613D6" w:rsidRPr="007E47F1" w14:paraId="7F82A20F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94BA47E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5F267BD" w14:textId="5DBC9FB9" w:rsidR="007613D6" w:rsidRPr="007E47F1" w:rsidRDefault="001C55E1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Centrum voľného času</w:t>
            </w:r>
          </w:p>
        </w:tc>
      </w:tr>
      <w:tr w:rsidR="001C55E1" w:rsidRPr="007E47F1" w14:paraId="09A13D91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19028F0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27F5309" w14:textId="26838B33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 Mladoboleslavs</w:t>
            </w:r>
            <w:r>
              <w:rPr>
                <w:rFonts w:cstheme="minorHAnsi"/>
                <w:sz w:val="22"/>
                <w:szCs w:val="22"/>
              </w:rPr>
              <w:t xml:space="preserve">ká </w:t>
            </w:r>
            <w:r>
              <w:rPr>
                <w:rFonts w:cstheme="minorHAnsi"/>
                <w:sz w:val="22"/>
                <w:szCs w:val="22"/>
              </w:rPr>
              <w:t>3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1C55E1" w:rsidRPr="007E47F1" w14:paraId="413A80E5" w14:textId="77777777" w:rsidTr="001C55E1">
        <w:trPr>
          <w:tblCellSpacing w:w="15" w:type="dxa"/>
        </w:trPr>
        <w:tc>
          <w:tcPr>
            <w:tcW w:w="47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9C3871F" w14:textId="77777777" w:rsidR="001C55E1" w:rsidRPr="007E47F1" w:rsidRDefault="001C55E1" w:rsidP="001C55E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D236084" w14:textId="438B9439" w:rsidR="001C55E1" w:rsidRPr="007E47F1" w:rsidRDefault="001C55E1" w:rsidP="001C55E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01.01.2014</w:t>
            </w:r>
          </w:p>
        </w:tc>
      </w:tr>
    </w:tbl>
    <w:p w14:paraId="7C6F9BF7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 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0"/>
        <w:gridCol w:w="5470"/>
      </w:tblGrid>
      <w:tr w:rsidR="007613D6" w:rsidRPr="007E47F1" w14:paraId="42A9B9DF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BF5D92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8759A35" w14:textId="0089C1D2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Mest</w:t>
            </w:r>
            <w:r w:rsidR="001C55E1">
              <w:rPr>
                <w:rFonts w:asciiTheme="minorHAnsi" w:hAnsiTheme="minorHAnsi" w:cstheme="minorHAnsi"/>
                <w:sz w:val="22"/>
                <w:szCs w:val="22"/>
              </w:rPr>
              <w:t>ský</w:t>
            </w: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podnik služieb </w:t>
            </w:r>
            <w:r w:rsidR="001C55E1">
              <w:rPr>
                <w:rFonts w:asciiTheme="minorHAnsi" w:hAnsiTheme="minorHAnsi" w:cstheme="minorHAnsi"/>
                <w:sz w:val="22"/>
                <w:szCs w:val="22"/>
              </w:rPr>
              <w:t>(príspevková organizácia)</w:t>
            </w:r>
          </w:p>
        </w:tc>
      </w:tr>
      <w:tr w:rsidR="007613D6" w:rsidRPr="007E47F1" w14:paraId="2C2F345A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44C78F5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4C8F36C" w14:textId="009C5D56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Trnavská 10, 902 01 Pezinok</w:t>
            </w:r>
          </w:p>
        </w:tc>
      </w:tr>
      <w:tr w:rsidR="007613D6" w:rsidRPr="007E47F1" w14:paraId="4905B8F3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F82A6D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080673F" w14:textId="369E5169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1C55E1">
              <w:rPr>
                <w:rFonts w:cstheme="minorHAnsi"/>
                <w:sz w:val="22"/>
                <w:szCs w:val="22"/>
              </w:rPr>
              <w:t>24.10.2003</w:t>
            </w:r>
          </w:p>
        </w:tc>
      </w:tr>
    </w:tbl>
    <w:p w14:paraId="5E1DF9B0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  <w:rFonts w:asciiTheme="minorHAnsi" w:hAnsiTheme="minorHAnsi" w:cstheme="minorHAnsi"/>
          <w:sz w:val="22"/>
          <w:szCs w:val="22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0"/>
        <w:gridCol w:w="5470"/>
      </w:tblGrid>
      <w:tr w:rsidR="001C55E1" w:rsidRPr="007E47F1" w14:paraId="42D794A4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5C68B19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CD2ECE9" w14:textId="5E276630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Mest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sk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é múzeum</w:t>
            </w: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(príspevková organizácia)</w:t>
            </w:r>
          </w:p>
        </w:tc>
      </w:tr>
      <w:tr w:rsidR="001C55E1" w:rsidRPr="007E47F1" w14:paraId="2E27E491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36E23EE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3653ED3" w14:textId="4A27F721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M. R. Štefánika</w:t>
            </w:r>
            <w:r>
              <w:rPr>
                <w:rFonts w:cstheme="minorHAnsi"/>
                <w:sz w:val="22"/>
                <w:szCs w:val="22"/>
              </w:rPr>
              <w:t xml:space="preserve"> 1, 902 01 Pezinok</w:t>
            </w:r>
          </w:p>
        </w:tc>
      </w:tr>
      <w:tr w:rsidR="001C55E1" w:rsidRPr="007E47F1" w14:paraId="307D3DE8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B786631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F545A2" w14:textId="73B8B6DC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</w:t>
            </w:r>
            <w:r>
              <w:rPr>
                <w:rFonts w:cstheme="minorHAnsi"/>
                <w:sz w:val="22"/>
                <w:szCs w:val="22"/>
              </w:rPr>
              <w:t>.0</w:t>
            </w:r>
            <w:r>
              <w:rPr>
                <w:rFonts w:cstheme="minorHAnsi"/>
                <w:sz w:val="22"/>
                <w:szCs w:val="22"/>
              </w:rPr>
              <w:t>3</w:t>
            </w:r>
            <w:r>
              <w:rPr>
                <w:rFonts w:cstheme="minorHAnsi"/>
                <w:sz w:val="22"/>
                <w:szCs w:val="22"/>
              </w:rPr>
              <w:t>.2003</w:t>
            </w:r>
          </w:p>
        </w:tc>
      </w:tr>
    </w:tbl>
    <w:p w14:paraId="1B23789A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0"/>
        <w:gridCol w:w="5470"/>
      </w:tblGrid>
      <w:tr w:rsidR="001C55E1" w:rsidRPr="007E47F1" w14:paraId="71EB8D1B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FBCAFE4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4B4AA07" w14:textId="36D89818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Pezinské kultúrne centrum</w:t>
            </w: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(príspevková organizácia)</w:t>
            </w:r>
          </w:p>
        </w:tc>
      </w:tr>
      <w:tr w:rsidR="001C55E1" w:rsidRPr="007E47F1" w14:paraId="5B9DCB86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4913858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22B8BC6" w14:textId="7328E76C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Holubyho 42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1C55E1" w:rsidRPr="007E47F1" w14:paraId="6A0F58D4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F95AE0C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C42CF16" w14:textId="6E901D5D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01.01.</w:t>
            </w:r>
            <w:r>
              <w:rPr>
                <w:rFonts w:cstheme="minorHAnsi"/>
                <w:sz w:val="22"/>
                <w:szCs w:val="22"/>
              </w:rPr>
              <w:t>200</w:t>
            </w:r>
            <w:r>
              <w:rPr>
                <w:rFonts w:cstheme="minorHAnsi"/>
                <w:sz w:val="22"/>
                <w:szCs w:val="22"/>
              </w:rPr>
              <w:t xml:space="preserve">8 </w:t>
            </w:r>
            <w:r w:rsidRPr="00D73B36">
              <w:rPr>
                <w:rFonts w:cstheme="minorHAnsi"/>
              </w:rPr>
              <w:t>(</w:t>
            </w:r>
            <w:r w:rsidRPr="00D73B36">
              <w:rPr>
                <w:rFonts w:cstheme="minorHAnsi"/>
                <w:b/>
              </w:rPr>
              <w:t>koniec 31.12.2023</w:t>
            </w:r>
            <w:r w:rsidRPr="00D73B36">
              <w:rPr>
                <w:rFonts w:cstheme="minorHAnsi"/>
              </w:rPr>
              <w:t>)</w:t>
            </w:r>
          </w:p>
        </w:tc>
      </w:tr>
    </w:tbl>
    <w:p w14:paraId="4EA9F1CD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1C55E1" w:rsidRPr="007E47F1" w14:paraId="196F5FC3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9CFB50C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618D1C" w14:textId="143C9C52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TV Pezinok s. r. o. (</w:t>
            </w:r>
            <w:r w:rsidR="00526F9C">
              <w:rPr>
                <w:rFonts w:asciiTheme="minorHAnsi" w:hAnsiTheme="minorHAnsi" w:cstheme="minorHAnsi"/>
                <w:sz w:val="22"/>
                <w:szCs w:val="22"/>
              </w:rPr>
              <w:t xml:space="preserve"> 100% podiel mesta Pezinok)</w:t>
            </w:r>
          </w:p>
        </w:tc>
      </w:tr>
      <w:tr w:rsidR="001C55E1" w:rsidRPr="007E47F1" w14:paraId="6228C50B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0B98797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8939E32" w14:textId="68285A8E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 </w:t>
            </w:r>
            <w:r>
              <w:rPr>
                <w:rFonts w:cstheme="minorHAnsi"/>
                <w:sz w:val="22"/>
                <w:szCs w:val="22"/>
              </w:rPr>
              <w:t>Holubyho 42, 902 01 Pezinok</w:t>
            </w:r>
          </w:p>
        </w:tc>
      </w:tr>
      <w:tr w:rsidR="001C55E1" w:rsidRPr="007E47F1" w14:paraId="72422CAD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11C31E1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1B25A62" w14:textId="5CCBC408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>
              <w:rPr>
                <w:rFonts w:cstheme="minorHAnsi"/>
                <w:sz w:val="22"/>
                <w:szCs w:val="22"/>
              </w:rPr>
              <w:t>0</w:t>
            </w:r>
            <w:r>
              <w:rPr>
                <w:rFonts w:cstheme="minorHAnsi"/>
                <w:sz w:val="22"/>
                <w:szCs w:val="22"/>
              </w:rPr>
              <w:t>4.0</w:t>
            </w:r>
            <w:r>
              <w:rPr>
                <w:rFonts w:cstheme="minorHAnsi"/>
                <w:sz w:val="22"/>
                <w:szCs w:val="22"/>
              </w:rPr>
              <w:t>9</w:t>
            </w:r>
            <w:r>
              <w:rPr>
                <w:rFonts w:cstheme="minorHAnsi"/>
                <w:sz w:val="22"/>
                <w:szCs w:val="22"/>
              </w:rPr>
              <w:t>.</w:t>
            </w:r>
            <w:r>
              <w:rPr>
                <w:rFonts w:cstheme="minorHAnsi"/>
                <w:sz w:val="22"/>
                <w:szCs w:val="22"/>
              </w:rPr>
              <w:t>1997</w:t>
            </w:r>
          </w:p>
        </w:tc>
      </w:tr>
    </w:tbl>
    <w:p w14:paraId="7AA95518" w14:textId="6FB8E932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1C55E1" w:rsidRPr="007E47F1" w14:paraId="072DF51A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B033625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540EF6C" w14:textId="4BDD497B" w:rsidR="001C55E1" w:rsidRPr="007E47F1" w:rsidRDefault="00526F9C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Pezinská mestská spoločnosť 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( 100% podiel mesta Pezinok)</w:t>
            </w:r>
          </w:p>
        </w:tc>
      </w:tr>
      <w:tr w:rsidR="001C55E1" w:rsidRPr="007E47F1" w14:paraId="633B03B2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920AB62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Sídlo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55B8646" w14:textId="09AEFED5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526F9C">
              <w:rPr>
                <w:rFonts w:cstheme="minorHAnsi"/>
                <w:sz w:val="22"/>
                <w:szCs w:val="22"/>
              </w:rPr>
              <w:t>Hollého 2</w:t>
            </w:r>
            <w:r>
              <w:rPr>
                <w:rFonts w:cstheme="minorHAnsi"/>
                <w:sz w:val="22"/>
                <w:szCs w:val="22"/>
              </w:rPr>
              <w:t>, 902 01 Pezinok</w:t>
            </w:r>
          </w:p>
        </w:tc>
      </w:tr>
      <w:tr w:rsidR="001C55E1" w:rsidRPr="007E47F1" w14:paraId="310EA9B1" w14:textId="77777777" w:rsidTr="00525199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A099C74" w14:textId="77777777" w:rsidR="001C55E1" w:rsidRPr="007E47F1" w:rsidRDefault="001C55E1" w:rsidP="00525199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DC3F159" w14:textId="1714938D" w:rsidR="001C55E1" w:rsidRPr="007E47F1" w:rsidRDefault="001C55E1" w:rsidP="00525199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  <w:r w:rsidR="00526F9C">
              <w:rPr>
                <w:rFonts w:cstheme="minorHAnsi"/>
                <w:sz w:val="22"/>
                <w:szCs w:val="22"/>
              </w:rPr>
              <w:t>06.06.2006</w:t>
            </w:r>
          </w:p>
        </w:tc>
      </w:tr>
    </w:tbl>
    <w:p w14:paraId="2174DB06" w14:textId="77777777" w:rsidR="001C55E1" w:rsidRDefault="001C55E1" w:rsidP="007E47F1">
      <w:pPr>
        <w:pStyle w:val="Normlnywebov"/>
        <w:spacing w:before="0" w:beforeAutospacing="0" w:after="120" w:afterAutospacing="0"/>
        <w:jc w:val="both"/>
        <w:rPr>
          <w:rStyle w:val="Vrazn"/>
        </w:rPr>
      </w:pPr>
    </w:p>
    <w:p w14:paraId="7B950CAE" w14:textId="68AE1D5D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 xml:space="preserve">Informácie o zamestnancoch konsolidovaného celku 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4"/>
        <w:gridCol w:w="5466"/>
      </w:tblGrid>
      <w:tr w:rsidR="007613D6" w:rsidRPr="00B215F0" w14:paraId="2B5FAE6B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0145737" w14:textId="77777777" w:rsidR="007613D6" w:rsidRPr="00B215F0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Priemerný počet zamestnancov konsolidovaného celku počas účtovného obdobia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76290F4" w14:textId="4C0EF3C2" w:rsidR="007613D6" w:rsidRPr="00B215F0" w:rsidRDefault="00B215F0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779,05 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(v roku 2022 to bolo </w:t>
            </w: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737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  <w:tr w:rsidR="007613D6" w:rsidRPr="00B215F0" w14:paraId="5D1E875B" w14:textId="77777777" w:rsidTr="007613D6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0B3072E" w14:textId="77777777" w:rsidR="007613D6" w:rsidRPr="00B215F0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z toho: počet vedúcich zamestnancov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F272E0D" w14:textId="1F3758CD" w:rsidR="007613D6" w:rsidRPr="00B215F0" w:rsidRDefault="00B215F0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 53 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 xml:space="preserve">(v roku 2022 to bolo </w:t>
            </w:r>
            <w:r w:rsidRPr="00B215F0">
              <w:rPr>
                <w:rFonts w:asciiTheme="minorHAnsi" w:hAnsiTheme="minorHAnsi" w:cstheme="minorHAnsi"/>
                <w:sz w:val="22"/>
                <w:szCs w:val="22"/>
              </w:rPr>
              <w:t>52</w:t>
            </w:r>
            <w:r w:rsidR="007613D6" w:rsidRPr="00B215F0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</w:tr>
    </w:tbl>
    <w:p w14:paraId="773B97B4" w14:textId="736785E2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B215F0">
        <w:rPr>
          <w:rFonts w:asciiTheme="minorHAnsi" w:hAnsiTheme="minorHAnsi" w:cstheme="minorHAnsi"/>
          <w:sz w:val="22"/>
          <w:szCs w:val="22"/>
        </w:rPr>
        <w:t>Konsolidovaný celok sa v roku 2023 oproti minulým účtovným obdobiam zmenil.</w:t>
      </w:r>
    </w:p>
    <w:p w14:paraId="4437D8F0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Prehľad o účtovných jednotkách konsolidovaného celku je uvedený v prílohe, v tabuľkovej časti Poznámok.</w:t>
      </w:r>
    </w:p>
    <w:p w14:paraId="2D8A5577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Konsolidovaná účtovná závierka k 31. decembru 2023 je zostavená ako riadna konsolidovaná účtovná závierka podľa zákona č. 431/2002 Z. z. o účtovníctve v znení neskorších predpisov za účtovné obdobie od 1. januára 2022 do 31. decembra 2023.</w:t>
      </w:r>
    </w:p>
    <w:p w14:paraId="2EFD8DC0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Konsolidujúca účtovná jednotka je súčasťou súhrnného celku verejnej správy Slovenskej republiky.</w:t>
      </w:r>
    </w:p>
    <w:p w14:paraId="5033B838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lastRenderedPageBreak/>
        <w:t>Konsolidovaná účtovná závierka bola zostavená za predpokladu nepretržitého trvania činnosti v súlade so zákonom o účtovníctve a nadväzujúcimi právnymi predpismi.</w:t>
      </w:r>
    </w:p>
    <w:p w14:paraId="6B2F2265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Účtovné metódy a všeobecné účtovné zásady boli účtovnou jednotkou konzistentne aplikované.</w:t>
      </w:r>
    </w:p>
    <w:p w14:paraId="0A4765AB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Medzi účtovnými jednotkami konsolidovaného celku neboli uskutočnené transakcie z dôvodu predaja majetku.</w:t>
      </w:r>
    </w:p>
    <w:p w14:paraId="70141707" w14:textId="77777777" w:rsidR="007613D6" w:rsidRPr="007E47F1" w:rsidRDefault="007613D6" w:rsidP="007E47F1">
      <w:pPr>
        <w:pStyle w:val="Nadpis4"/>
        <w:spacing w:before="0" w:after="120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b w:val="0"/>
          <w:bCs w:val="0"/>
          <w:color w:val="auto"/>
          <w:sz w:val="22"/>
          <w:szCs w:val="22"/>
        </w:rPr>
        <w:t>Informácie o metódach oceňovania použitých pri ocenení jednotlivých položiek konsolidovanej účtovnej závierky</w:t>
      </w:r>
    </w:p>
    <w:p w14:paraId="4DC45370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Spôsob oceňovania jednotlivých položiek aktív a pasív v súlade so zákonom č. 431/2002 Z. z. o účtovníctve v znení neskorších predpisov</w:t>
      </w:r>
    </w:p>
    <w:p w14:paraId="7FC1DF1A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Dlhodobý majetok obstaraný kúpou sa oceňuje obstarávacou cenou, ktorá zahrnuje cenu obstarania a náklady súvisiace s obstaraním. Dlhodobý majetok vytvorený vlastnou činnosťou sa oceňuje vlastnými nákladmi. Dlhodobý majetok nadobudnutý bezodplatným prevodom pri splynutí, zlúčení, rozdelení alebo pri prevode správy sa oceňuje cenou, v ktorej sa doteraz viedol v účtovníctve. Dlhodobý hmotný a nehmotný majetok nadobudnutý bezodplatne sa oceňuje reálnou hodnotou.</w:t>
      </w:r>
    </w:p>
    <w:p w14:paraId="4B98EC78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Odpisy dlhodobého nehmotného majetku a dlhodobého hmotného majetku vychádzajú z predpokladanej doby a spôsobu a rozsahu jeho používania, pričom odpisovať sa začína odo dňa jeho zaradenia. V tejto časti sa popisuje aj spôsob tvorby odpisového plánu so všetkými jeho atribútmi pre výpočet účtovných odpisov.</w:t>
      </w:r>
    </w:p>
    <w:p w14:paraId="44B49388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Cenné papiere a podiely sa oceňujú pri ich nadobudnutí obstarávacími cenami.</w:t>
      </w:r>
    </w:p>
    <w:p w14:paraId="5E8C9D60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Zásoby nakupované sa oceňujú obstarávacou cenou.</w:t>
      </w:r>
    </w:p>
    <w:p w14:paraId="537E44F7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Zásoby vytvorené vlastnou činnosťou sa oceňujú vlastnými nákladmi.</w:t>
      </w:r>
    </w:p>
    <w:p w14:paraId="2E289072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Zásoby nadobudnuté bezodplatne sa oceňujú reálnou hodnotou.</w:t>
      </w:r>
    </w:p>
    <w:p w14:paraId="653A41A6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Pohľadávky pri ich vzniku sa oceňujú menovitou hodnotou.</w:t>
      </w:r>
    </w:p>
    <w:p w14:paraId="06F56E27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Pohľadávky pri odplatnom nadobudnutí sa oceňujú obstarávacou cenou.</w:t>
      </w:r>
    </w:p>
    <w:p w14:paraId="108F706A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Peňažné prostriedky a ceniny sa oceňujú menovitou hodnotou.</w:t>
      </w:r>
    </w:p>
    <w:p w14:paraId="69D8465B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lastRenderedPageBreak/>
        <w:t>Záväzky sa pri ich vzniku oceňujú menovitou hodnotou a pri ich prevzatí sa oceňujú obstarávacou cenou.</w:t>
      </w:r>
    </w:p>
    <w:p w14:paraId="29100593" w14:textId="77777777" w:rsidR="007613D6" w:rsidRPr="007E47F1" w:rsidRDefault="007613D6" w:rsidP="007E47F1">
      <w:pPr>
        <w:numPr>
          <w:ilvl w:val="0"/>
          <w:numId w:val="5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Účty časového rozlíšenia aktív a pasív sú vykázané vo výške, ktorá je potrebná na dodržanie zásady vecnej a časovej súvislosti s účtovným obdobím.</w:t>
      </w:r>
    </w:p>
    <w:p w14:paraId="66B29D2F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Spôsob prepočtu na menu euro</w:t>
      </w:r>
    </w:p>
    <w:p w14:paraId="6D450A89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0CB20A48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Na ocenenie prírastku cudzej meny nakúpenej za euro sa použije kurz, za ktorý bola táto cudzia mena nakúpená.</w:t>
      </w:r>
    </w:p>
    <w:p w14:paraId="25411DD6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4E225EA0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</w:p>
    <w:p w14:paraId="17950FB2" w14:textId="77777777" w:rsidR="007613D6" w:rsidRPr="007E47F1" w:rsidRDefault="007613D6" w:rsidP="007E47F1">
      <w:pPr>
        <w:numPr>
          <w:ilvl w:val="0"/>
          <w:numId w:val="6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14:paraId="4C87E4E6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Spôsob účtovania transferov</w:t>
      </w:r>
    </w:p>
    <w:p w14:paraId="14651F1A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prijatý od iných subjektov ako od zriaďovateľa sa zúčtuje do výnosov vo vecnej a časovej súvislosti s nákladmi hradenými z tohto transferu,</w:t>
      </w:r>
    </w:p>
    <w:p w14:paraId="0666F03B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prijatý od zriaďovateľa sa zúčtuje do výnosov vo vecnej a časovej súvislosti s výdavkami z tohto transferu,</w:t>
      </w:r>
    </w:p>
    <w:p w14:paraId="361ABB5C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lastRenderedPageBreak/>
        <w:t>bežný transfer poskytnutý iným subjektom ako zriadeným organizáciám sa zúčtuje do nákladov po splnení podmienok,</w:t>
      </w:r>
    </w:p>
    <w:p w14:paraId="3A928D8B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bežný transfer poskytnutý zriadeným rozpočtovým a príspevkovým organizáciám sa zúčtuje do nákladov pri poskytnutí transferu,</w:t>
      </w:r>
    </w:p>
    <w:p w14:paraId="234CCE29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548DCB5E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14:paraId="5EBFB222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poskytnutý iným subjektom ako zriadeným organizáciám sa zúčtuje do nákladov po splnení podmienok,</w:t>
      </w:r>
    </w:p>
    <w:p w14:paraId="7B21AC26" w14:textId="77777777" w:rsidR="007613D6" w:rsidRPr="007E47F1" w:rsidRDefault="007613D6" w:rsidP="007E47F1">
      <w:pPr>
        <w:numPr>
          <w:ilvl w:val="0"/>
          <w:numId w:val="7"/>
        </w:numPr>
        <w:spacing w:after="120"/>
        <w:jc w:val="both"/>
        <w:rPr>
          <w:rFonts w:cstheme="minorHAnsi"/>
          <w:sz w:val="22"/>
          <w:szCs w:val="22"/>
        </w:rPr>
      </w:pPr>
      <w:r w:rsidRPr="007E47F1">
        <w:rPr>
          <w:rFonts w:cstheme="minorHAnsi"/>
          <w:sz w:val="22"/>
          <w:szCs w:val="22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14:paraId="55D619ED" w14:textId="77777777" w:rsidR="007613D6" w:rsidRPr="007E47F1" w:rsidRDefault="007613D6" w:rsidP="007E47F1">
      <w:pPr>
        <w:pStyle w:val="Nadpis4"/>
        <w:spacing w:before="0" w:after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b w:val="0"/>
          <w:bCs w:val="0"/>
          <w:color w:val="auto"/>
          <w:sz w:val="22"/>
          <w:szCs w:val="22"/>
        </w:rPr>
        <w:t>Informácie o metódach a postupoch konsolidácie</w:t>
      </w:r>
    </w:p>
    <w:p w14:paraId="11AD7723" w14:textId="5F33EFD2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 xml:space="preserve">Konsolidovaná účtovná závierka </w:t>
      </w:r>
      <w:r w:rsidR="00526F9C">
        <w:rPr>
          <w:rFonts w:asciiTheme="minorHAnsi" w:hAnsiTheme="minorHAnsi" w:cstheme="minorHAnsi"/>
          <w:sz w:val="22"/>
          <w:szCs w:val="22"/>
        </w:rPr>
        <w:t>mesta Pezinok</w:t>
      </w:r>
      <w:r w:rsidRPr="007E47F1">
        <w:rPr>
          <w:rFonts w:asciiTheme="minorHAnsi" w:hAnsiTheme="minorHAnsi" w:cstheme="minorHAnsi"/>
          <w:sz w:val="22"/>
          <w:szCs w:val="22"/>
        </w:rPr>
        <w:t xml:space="preserve"> bola zostavená v súlade so zákonom č. 431/2002 Z. z. o účtovníctve v znení neskorších predpisov v súlade s opatrením Ministerstva financií Slovenskej republiky zo dňa 17. decembra 2008 č. MF/27526/2008-31,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14:paraId="46C02B9E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45"/>
        <w:gridCol w:w="1560"/>
        <w:gridCol w:w="1590"/>
        <w:gridCol w:w="1665"/>
      </w:tblGrid>
      <w:tr w:rsidR="007613D6" w:rsidRPr="007E47F1" w14:paraId="36604A55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5562530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Názov, resp. obchodné meno</w:t>
            </w:r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  <w:t>konsolidovanej účtovnej jednotky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4DD85A4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Metóda</w:t>
            </w:r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  <w:t>úplnej konsolidácie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15CD14D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Metóda</w:t>
            </w:r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  <w:t>podielovej konsolidácie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0D63FF5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Metóda</w:t>
            </w:r>
            <w:r w:rsidRPr="007E47F1">
              <w:rPr>
                <w:rFonts w:asciiTheme="minorHAnsi" w:hAnsiTheme="minorHAnsi" w:cstheme="minorHAnsi"/>
                <w:sz w:val="22"/>
                <w:szCs w:val="22"/>
              </w:rPr>
              <w:br/>
              <w:t>vlastného imania</w:t>
            </w:r>
          </w:p>
        </w:tc>
      </w:tr>
      <w:tr w:rsidR="007613D6" w:rsidRPr="007E47F1" w14:paraId="69D8F8D4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7107ECA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Základná škola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EDCDD81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A2A7AB3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AB200E5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  <w:tr w:rsidR="007613D6" w:rsidRPr="007E47F1" w14:paraId="22D54FD7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3CEBA3A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Materská škola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CB1B69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6E76AE7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6FCFF27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  <w:tr w:rsidR="007613D6" w:rsidRPr="007E47F1" w14:paraId="0D17F743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64A852" w14:textId="7D9104B0" w:rsidR="007613D6" w:rsidRPr="007E47F1" w:rsidRDefault="009E317E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Centrum voľného času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C9A3AFC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3D5D6A5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D9876F1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  <w:tr w:rsidR="009E317E" w:rsidRPr="007E47F1" w14:paraId="5257AB44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496E1333" w14:textId="7A065D1C" w:rsidR="009E317E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Základná umelecká škola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1EE35B54" w14:textId="0F497FB1" w:rsidR="009E317E" w:rsidRPr="007E47F1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13336A27" w14:textId="77777777" w:rsidR="009E317E" w:rsidRPr="007E47F1" w:rsidRDefault="009E317E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67C1C55" w14:textId="77777777" w:rsidR="009E317E" w:rsidRPr="007E47F1" w:rsidRDefault="009E317E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</w:tr>
      <w:tr w:rsidR="00B3663C" w:rsidRPr="007E47F1" w14:paraId="1EB77CAE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0BF48580" w14:textId="47A4ED6B" w:rsidR="00B3663C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Konsolidované účt.  jednotky – príspevkové organizácie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EB227F6" w14:textId="4D1E7908" w:rsidR="00B3663C" w:rsidRPr="007E47F1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53B3E581" w14:textId="77777777" w:rsidR="00B3663C" w:rsidRPr="007E47F1" w:rsidRDefault="00B3663C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3778573C" w14:textId="77777777" w:rsidR="00B3663C" w:rsidRPr="007E47F1" w:rsidRDefault="00B3663C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</w:p>
        </w:tc>
      </w:tr>
      <w:tr w:rsidR="007613D6" w:rsidRPr="007E47F1" w14:paraId="22D5BF72" w14:textId="77777777" w:rsidTr="007613D6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B75749E" w14:textId="774522CE" w:rsidR="007613D6" w:rsidRPr="007E47F1" w:rsidRDefault="00B3663C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Konsolidované účtovné jednotky – s. r. o.</w:t>
            </w:r>
          </w:p>
        </w:tc>
        <w:tc>
          <w:tcPr>
            <w:tcW w:w="15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407C2D8" w14:textId="77777777" w:rsidR="007613D6" w:rsidRPr="007E47F1" w:rsidRDefault="007613D6" w:rsidP="007E47F1">
            <w:pPr>
              <w:pStyle w:val="Normlnywebov"/>
              <w:spacing w:before="0" w:beforeAutospacing="0" w:after="120" w:afterAutospacing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E47F1">
              <w:rPr>
                <w:rFonts w:asciiTheme="minorHAnsi" w:hAnsiTheme="minorHAnsi" w:cstheme="minorHAnsi"/>
                <w:sz w:val="22"/>
                <w:szCs w:val="22"/>
              </w:rPr>
              <w:t>áno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8CA8C3F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D731411" w14:textId="77777777" w:rsidR="007613D6" w:rsidRPr="007E47F1" w:rsidRDefault="007613D6" w:rsidP="007E47F1">
            <w:pPr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7E47F1">
              <w:rPr>
                <w:rFonts w:cstheme="minorHAnsi"/>
                <w:sz w:val="22"/>
                <w:szCs w:val="22"/>
              </w:rPr>
              <w:t> </w:t>
            </w:r>
          </w:p>
        </w:tc>
      </w:tr>
    </w:tbl>
    <w:p w14:paraId="085ABEE7" w14:textId="77777777" w:rsidR="00B3663C" w:rsidRDefault="00B3663C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p w14:paraId="7D1E4822" w14:textId="32552AE1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Metóda úplnej konsolidácie bola použitá pri dcérskych účtovných jednotkách.</w:t>
      </w:r>
    </w:p>
    <w:p w14:paraId="0DC24ABF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Informácie o údajoch aktív a pasív</w:t>
      </w:r>
    </w:p>
    <w:p w14:paraId="71BA47BE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Prehľad pohybu dlhodobého nehmotného a dlhodobého hmotného majetku od 1. januára 2023 do 31. decembra 2023 je uvedený v tabuľkovej časti Poznámok.</w:t>
      </w:r>
    </w:p>
    <w:p w14:paraId="125F335F" w14:textId="7E7DDB1C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 xml:space="preserve">Najvýznamnejšou položkou pohľadávok sú pohľadávky z </w:t>
      </w:r>
      <w:r w:rsidR="00526F9C">
        <w:rPr>
          <w:rFonts w:asciiTheme="minorHAnsi" w:hAnsiTheme="minorHAnsi" w:cstheme="minorHAnsi"/>
          <w:sz w:val="22"/>
          <w:szCs w:val="22"/>
        </w:rPr>
        <w:t>ne</w:t>
      </w:r>
      <w:r w:rsidRPr="007E47F1">
        <w:rPr>
          <w:rFonts w:asciiTheme="minorHAnsi" w:hAnsiTheme="minorHAnsi" w:cstheme="minorHAnsi"/>
          <w:sz w:val="22"/>
          <w:szCs w:val="22"/>
        </w:rPr>
        <w:t xml:space="preserve">daňových príjmov obce vo výške </w:t>
      </w:r>
      <w:r w:rsidR="00B215F0">
        <w:rPr>
          <w:rFonts w:asciiTheme="minorHAnsi" w:hAnsiTheme="minorHAnsi" w:cstheme="minorHAnsi"/>
          <w:sz w:val="22"/>
          <w:szCs w:val="22"/>
        </w:rPr>
        <w:t xml:space="preserve">465 420,08 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 (v roku 2022 to bolo </w:t>
      </w:r>
      <w:r w:rsidR="00B215F0">
        <w:rPr>
          <w:rFonts w:asciiTheme="minorHAnsi" w:hAnsiTheme="minorHAnsi" w:cstheme="minorHAnsi"/>
          <w:sz w:val="22"/>
          <w:szCs w:val="22"/>
        </w:rPr>
        <w:t>311 273,22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eur).</w:t>
      </w:r>
    </w:p>
    <w:p w14:paraId="694273FD" w14:textId="56350964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 xml:space="preserve">Ako finančný majetok sú vykázané peňažné prostriedky v pokladnici a účty v bankách. Účtami v bankách môže konsolidovaný celok voľne disponovať v sume </w:t>
      </w:r>
      <w:r w:rsidR="00B215F0">
        <w:rPr>
          <w:rFonts w:asciiTheme="minorHAnsi" w:hAnsiTheme="minorHAnsi" w:cstheme="minorHAnsi"/>
          <w:sz w:val="22"/>
          <w:szCs w:val="22"/>
        </w:rPr>
        <w:t xml:space="preserve">11 319 097,95 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 (v roku 2022 to bolo </w:t>
      </w:r>
      <w:r w:rsidR="00B215F0">
        <w:rPr>
          <w:rFonts w:asciiTheme="minorHAnsi" w:hAnsiTheme="minorHAnsi" w:cstheme="minorHAnsi"/>
          <w:sz w:val="22"/>
          <w:szCs w:val="22"/>
        </w:rPr>
        <w:t>8 974 590,08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eur).</w:t>
      </w:r>
    </w:p>
    <w:p w14:paraId="35689EC2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Prehľad záväzkov podľa splatnosti je uvedený v tabuľkovej časti Poznámok.</w:t>
      </w:r>
    </w:p>
    <w:p w14:paraId="099F36E5" w14:textId="6C8F1A60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 xml:space="preserve">Konsolidovaný celok vykazuje úvery vo výške </w:t>
      </w:r>
      <w:r w:rsidR="00B215F0">
        <w:rPr>
          <w:rFonts w:asciiTheme="minorHAnsi" w:hAnsiTheme="minorHAnsi" w:cstheme="minorHAnsi"/>
          <w:sz w:val="22"/>
          <w:szCs w:val="22"/>
        </w:rPr>
        <w:t>197 660,48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 (v roku 2022 to bolo </w:t>
      </w:r>
      <w:r w:rsidR="00B215F0">
        <w:rPr>
          <w:rFonts w:asciiTheme="minorHAnsi" w:hAnsiTheme="minorHAnsi" w:cstheme="minorHAnsi"/>
          <w:sz w:val="22"/>
          <w:szCs w:val="22"/>
        </w:rPr>
        <w:t>834 372,08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eur).</w:t>
      </w:r>
    </w:p>
    <w:p w14:paraId="3C09AE6E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Informácie o výnosoch a nákladoch</w:t>
      </w:r>
    </w:p>
    <w:p w14:paraId="5A75977D" w14:textId="2A80AD75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Z hľadiska kvantity sú najvýznamnejšími nákladmi osobné náklady vo výške</w:t>
      </w:r>
      <w:r w:rsidR="00B215F0">
        <w:rPr>
          <w:rFonts w:asciiTheme="minorHAnsi" w:hAnsiTheme="minorHAnsi" w:cstheme="minorHAnsi"/>
          <w:sz w:val="22"/>
          <w:szCs w:val="22"/>
        </w:rPr>
        <w:t xml:space="preserve"> 18 584 421,91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 (v roku 2022 to bolo </w:t>
      </w:r>
      <w:r w:rsidR="00B215F0">
        <w:rPr>
          <w:rFonts w:asciiTheme="minorHAnsi" w:hAnsiTheme="minorHAnsi" w:cstheme="minorHAnsi"/>
          <w:sz w:val="22"/>
          <w:szCs w:val="22"/>
        </w:rPr>
        <w:t>16 069 536,17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eur).</w:t>
      </w:r>
    </w:p>
    <w:p w14:paraId="6C4174F8" w14:textId="2A7D8F1B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Najvýznamnejšími výnosmi sú daňové výnosy vo výške</w:t>
      </w:r>
      <w:r w:rsidR="00B215F0">
        <w:rPr>
          <w:rFonts w:asciiTheme="minorHAnsi" w:hAnsiTheme="minorHAnsi" w:cstheme="minorHAnsi"/>
          <w:sz w:val="22"/>
          <w:szCs w:val="22"/>
        </w:rPr>
        <w:t xml:space="preserve"> 16 509 303,57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 (v roku 2022 to bolo </w:t>
      </w:r>
      <w:r w:rsidR="00B215F0">
        <w:rPr>
          <w:rFonts w:asciiTheme="minorHAnsi" w:hAnsiTheme="minorHAnsi" w:cstheme="minorHAnsi"/>
          <w:sz w:val="22"/>
          <w:szCs w:val="22"/>
        </w:rPr>
        <w:t>14 928 319,85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eur) a výnosy zo zúčtovania transferov bežných aj kapitálových od subjektov verejnej správy vrátane štátneho rozpočtu, a to vo výške </w:t>
      </w:r>
      <w:r w:rsidR="00B215F0">
        <w:rPr>
          <w:rFonts w:asciiTheme="minorHAnsi" w:hAnsiTheme="minorHAnsi" w:cstheme="minorHAnsi"/>
          <w:sz w:val="22"/>
          <w:szCs w:val="22"/>
        </w:rPr>
        <w:t>10 866 931,77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 (v roku 2022 to bolo </w:t>
      </w:r>
      <w:r w:rsidR="00B215F0">
        <w:rPr>
          <w:rFonts w:asciiTheme="minorHAnsi" w:hAnsiTheme="minorHAnsi" w:cstheme="minorHAnsi"/>
          <w:sz w:val="22"/>
          <w:szCs w:val="22"/>
        </w:rPr>
        <w:t>7 738 713,30</w:t>
      </w:r>
      <w:r w:rsidRPr="007E47F1">
        <w:rPr>
          <w:rFonts w:asciiTheme="minorHAnsi" w:hAnsiTheme="minorHAnsi" w:cstheme="minorHAnsi"/>
          <w:sz w:val="22"/>
          <w:szCs w:val="22"/>
        </w:rPr>
        <w:t xml:space="preserve"> eur).</w:t>
      </w:r>
    </w:p>
    <w:p w14:paraId="263130C7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sz w:val="22"/>
          <w:szCs w:val="22"/>
        </w:rPr>
        <w:t>SKUTOČNOSTI, KTORÉ NASTALI PO DNI, KU KTORÉMU SA ZOSTAVUJE KONSOLIDOVANÁ ÚČTOVNÁ ZÁVIERKA, DO DŇA JEJ ZOSTAVENIA</w:t>
      </w:r>
    </w:p>
    <w:p w14:paraId="4828FE4F" w14:textId="77777777" w:rsidR="007613D6" w:rsidRPr="007E47F1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Po dni, ku ktorému sa zostavuje konsolidovaná účtovná závierka, nenastali také udalosti, ktoré by si vyžadovali zverejnenie alebo vykázanie v konsolidovanej účtovnej závierke za rok 2023.</w:t>
      </w:r>
    </w:p>
    <w:p w14:paraId="67B1097E" w14:textId="77777777" w:rsidR="007613D6" w:rsidRPr="007E47F1" w:rsidRDefault="007613D6" w:rsidP="007E47F1">
      <w:pPr>
        <w:pStyle w:val="Nadpis3"/>
        <w:spacing w:before="0" w:beforeAutospacing="0" w:after="120" w:afterAutospacing="0"/>
        <w:jc w:val="center"/>
        <w:rPr>
          <w:rFonts w:asciiTheme="minorHAnsi" w:hAnsiTheme="minorHAnsi" w:cstheme="minorHAnsi"/>
          <w:sz w:val="22"/>
          <w:szCs w:val="22"/>
        </w:rPr>
      </w:pPr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lastRenderedPageBreak/>
        <w:t xml:space="preserve">Tabuľková časť poznámok – novelizácia tabuľkovej 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 xml:space="preserve">časti vzťahujúca sa na konsolidovanú </w:t>
      </w:r>
      <w:r w:rsidRPr="007E47F1">
        <w:rPr>
          <w:rFonts w:asciiTheme="minorHAnsi" w:hAnsiTheme="minorHAnsi" w:cstheme="minorHAnsi"/>
          <w:sz w:val="22"/>
          <w:szCs w:val="22"/>
        </w:rPr>
        <w:br/>
      </w:r>
      <w:r w:rsidRPr="007E47F1">
        <w:rPr>
          <w:rStyle w:val="Vrazn"/>
          <w:rFonts w:asciiTheme="minorHAnsi" w:hAnsiTheme="minorHAnsi" w:cstheme="minorHAnsi"/>
          <w:b/>
          <w:bCs/>
          <w:sz w:val="22"/>
          <w:szCs w:val="22"/>
        </w:rPr>
        <w:t>účtovnú závierku za rok 2023</w:t>
      </w:r>
    </w:p>
    <w:p w14:paraId="0DC61D17" w14:textId="2867B4B5" w:rsidR="007613D6" w:rsidRDefault="007613D6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7E47F1">
        <w:rPr>
          <w:rFonts w:asciiTheme="minorHAnsi" w:hAnsiTheme="minorHAnsi" w:cstheme="minorHAnsi"/>
          <w:sz w:val="22"/>
          <w:szCs w:val="22"/>
        </w:rPr>
        <w:t>Štruktúru konsolidovanej účtovnej závierky v samospráve upravuje Opatrenie MF SR zo 17. decembra 2008 č. MF/27526/2008-31, ktorým sa ustanovujú podrobnosti o metódach a postupoch konsolidácie vo verejnej správe a podrobnosti o usporiadaní a označovaní položiek konsolidovanej účtovnej závierky vo verejnej správe v znení opatrenia MF SR z 9. decembra 2009 č. MF/22110/2009-31, opatrenia MF SR z 11. decembra 2013 č. MF/19567/2013-31,opatrenia MF SR z 10. decembra 2014 č. MF/21230/2014-31. Postupy konsolidácie boli posledný raz novelizované Opatrením Ministerstva financií Slovenskej republiky z 22. novembra 2023 č. MF/014271/2023-31, ktoré nadobudlo účinnosť k 1.1.2024, avšak prvýkrát sa použije pri zostavovaní konsolidovanej účtovnej závierky k 31. decembru 2023, ktorá sa zostavuje po 1. januári 2024, ktorým sa významne zmenila tabuľková časť Poznámok. Prehľad zmien uvádzame v porovnaní štruktúry tabuľkovej časti konsolidovanej účtovnej závierky za rok 2022 a konsolidovanej účtovnej závierky za rok 2023.</w:t>
      </w:r>
    </w:p>
    <w:p w14:paraId="2D8C5C2C" w14:textId="710F1F03" w:rsidR="00CA6AC0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 Pezinku, 21.06.2024</w:t>
      </w:r>
    </w:p>
    <w:p w14:paraId="680103C0" w14:textId="77777777" w:rsidR="00CA6AC0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Vyhotovil: Ing. Jana Václavová, vedúca referátu financií a účtovníctva</w:t>
      </w:r>
    </w:p>
    <w:p w14:paraId="6C25A85A" w14:textId="3AE45F7A" w:rsidR="00CA6AC0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Henrieta Hauptvoglová, referent pre rozpočet</w:t>
      </w:r>
      <w:bookmarkStart w:id="1" w:name="_GoBack"/>
      <w:bookmarkEnd w:id="1"/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751654B" w14:textId="77777777" w:rsidR="00CA6AC0" w:rsidRPr="007E47F1" w:rsidRDefault="00CA6AC0" w:rsidP="007E47F1">
      <w:pPr>
        <w:pStyle w:val="Normlnywebov"/>
        <w:spacing w:before="0" w:beforeAutospacing="0" w:after="120" w:afterAutospacing="0"/>
        <w:jc w:val="both"/>
        <w:rPr>
          <w:rFonts w:asciiTheme="minorHAnsi" w:hAnsiTheme="minorHAnsi" w:cstheme="minorHAnsi"/>
          <w:sz w:val="22"/>
          <w:szCs w:val="22"/>
        </w:rPr>
      </w:pPr>
    </w:p>
    <w:sectPr w:rsidR="00CA6AC0" w:rsidRPr="007E47F1" w:rsidSect="00D33B32">
      <w:headerReference w:type="default" r:id="rId7"/>
      <w:footerReference w:type="default" r:id="rId8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0FAFBD" w14:textId="77777777" w:rsidR="007E47F1" w:rsidRDefault="007E47F1" w:rsidP="00ED0F4B">
      <w:r>
        <w:separator/>
      </w:r>
    </w:p>
  </w:endnote>
  <w:endnote w:type="continuationSeparator" w:id="0">
    <w:p w14:paraId="402EC287" w14:textId="77777777" w:rsidR="007E47F1" w:rsidRDefault="007E47F1" w:rsidP="00ED0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52594108"/>
      <w:docPartObj>
        <w:docPartGallery w:val="Page Numbers (Bottom of Page)"/>
        <w:docPartUnique/>
      </w:docPartObj>
    </w:sdtPr>
    <w:sdtContent>
      <w:p w14:paraId="75ACB7AA" w14:textId="1B771A1E" w:rsidR="007E47F1" w:rsidRDefault="007E47F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3B3E36D" w14:textId="77777777" w:rsidR="007E47F1" w:rsidRDefault="007E47F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0FF80B" w14:textId="77777777" w:rsidR="007E47F1" w:rsidRDefault="007E47F1" w:rsidP="00ED0F4B">
      <w:r>
        <w:separator/>
      </w:r>
    </w:p>
  </w:footnote>
  <w:footnote w:type="continuationSeparator" w:id="0">
    <w:p w14:paraId="36C1A05B" w14:textId="77777777" w:rsidR="007E47F1" w:rsidRDefault="007E47F1" w:rsidP="00ED0F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2E3B37" w14:textId="2B0E8CED" w:rsidR="007E47F1" w:rsidRPr="007613D6" w:rsidRDefault="007E47F1" w:rsidP="007613D6">
    <w:pPr>
      <w:pStyle w:val="Hlavika"/>
      <w:jc w:val="right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95083"/>
    <w:multiLevelType w:val="multilevel"/>
    <w:tmpl w:val="ED961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781959"/>
    <w:multiLevelType w:val="multilevel"/>
    <w:tmpl w:val="3048A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85308F"/>
    <w:multiLevelType w:val="multilevel"/>
    <w:tmpl w:val="4614C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FE2036D"/>
    <w:multiLevelType w:val="hybridMultilevel"/>
    <w:tmpl w:val="3BC0AA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5C5873"/>
    <w:multiLevelType w:val="multilevel"/>
    <w:tmpl w:val="EF542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8577D1E"/>
    <w:multiLevelType w:val="hybridMultilevel"/>
    <w:tmpl w:val="EED64BBE"/>
    <w:lvl w:ilvl="0" w:tplc="D1F099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FC2487"/>
    <w:multiLevelType w:val="multilevel"/>
    <w:tmpl w:val="EA30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6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6A9"/>
    <w:rsid w:val="00052906"/>
    <w:rsid w:val="001476A9"/>
    <w:rsid w:val="001C55E1"/>
    <w:rsid w:val="0020702C"/>
    <w:rsid w:val="002116B0"/>
    <w:rsid w:val="0021475F"/>
    <w:rsid w:val="0028758E"/>
    <w:rsid w:val="00526F9C"/>
    <w:rsid w:val="0054280B"/>
    <w:rsid w:val="00570125"/>
    <w:rsid w:val="00575060"/>
    <w:rsid w:val="00587E14"/>
    <w:rsid w:val="0059011C"/>
    <w:rsid w:val="005F3206"/>
    <w:rsid w:val="00632802"/>
    <w:rsid w:val="006830CE"/>
    <w:rsid w:val="006F7F23"/>
    <w:rsid w:val="00702CC7"/>
    <w:rsid w:val="007266E6"/>
    <w:rsid w:val="007613D6"/>
    <w:rsid w:val="00771ABB"/>
    <w:rsid w:val="007E47F1"/>
    <w:rsid w:val="008206DE"/>
    <w:rsid w:val="008F24C9"/>
    <w:rsid w:val="009A126E"/>
    <w:rsid w:val="009E317E"/>
    <w:rsid w:val="00A519A1"/>
    <w:rsid w:val="00B00829"/>
    <w:rsid w:val="00B215F0"/>
    <w:rsid w:val="00B24422"/>
    <w:rsid w:val="00B31386"/>
    <w:rsid w:val="00B3663C"/>
    <w:rsid w:val="00B50720"/>
    <w:rsid w:val="00B71520"/>
    <w:rsid w:val="00BC4A2D"/>
    <w:rsid w:val="00C54AB8"/>
    <w:rsid w:val="00C63363"/>
    <w:rsid w:val="00C94E80"/>
    <w:rsid w:val="00CA6AC0"/>
    <w:rsid w:val="00D33B32"/>
    <w:rsid w:val="00D73B36"/>
    <w:rsid w:val="00E93F82"/>
    <w:rsid w:val="00EB0F72"/>
    <w:rsid w:val="00ED0F4B"/>
    <w:rsid w:val="00ED38DE"/>
    <w:rsid w:val="00F44DF0"/>
    <w:rsid w:val="00F8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38797"/>
  <w15:chartTrackingRefBased/>
  <w15:docId w15:val="{BD96E58F-2778-4073-8EF6-5A6D2D05A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D0F4B"/>
    <w:pPr>
      <w:spacing w:after="0" w:line="240" w:lineRule="auto"/>
    </w:pPr>
    <w:rPr>
      <w:sz w:val="24"/>
      <w:szCs w:val="24"/>
      <w:lang w:val="sk-SK"/>
    </w:rPr>
  </w:style>
  <w:style w:type="paragraph" w:styleId="Nadpis3">
    <w:name w:val="heading 3"/>
    <w:basedOn w:val="Normlny"/>
    <w:link w:val="Nadpis3Char"/>
    <w:uiPriority w:val="9"/>
    <w:qFormat/>
    <w:rsid w:val="00EB0F72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011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F24C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75060"/>
    <w:rPr>
      <w:color w:val="0563C1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ED0F4B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0F4B"/>
    <w:rPr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unhideWhenUsed/>
    <w:rsid w:val="00ED0F4B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ED0F4B"/>
    <w:rPr>
      <w:sz w:val="24"/>
      <w:szCs w:val="24"/>
      <w:lang w:val="sk-SK"/>
    </w:rPr>
  </w:style>
  <w:style w:type="character" w:styleId="Nevyrieenzmienka">
    <w:name w:val="Unresolved Mention"/>
    <w:basedOn w:val="Predvolenpsmoodseku"/>
    <w:uiPriority w:val="99"/>
    <w:semiHidden/>
    <w:unhideWhenUsed/>
    <w:rsid w:val="008206DE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6830CE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character" w:styleId="Vrazn">
    <w:name w:val="Strong"/>
    <w:basedOn w:val="Predvolenpsmoodseku"/>
    <w:uiPriority w:val="22"/>
    <w:qFormat/>
    <w:rsid w:val="006830CE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rsid w:val="00EB0F72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Nadpis4Char">
    <w:name w:val="Nadpis 4 Char"/>
    <w:basedOn w:val="Predvolenpsmoodseku"/>
    <w:link w:val="Nadpis4"/>
    <w:uiPriority w:val="9"/>
    <w:rsid w:val="0059011C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val="sk-SK"/>
    </w:rPr>
  </w:style>
  <w:style w:type="character" w:styleId="Zvraznenie">
    <w:name w:val="Emphasis"/>
    <w:basedOn w:val="Predvolenpsmoodseku"/>
    <w:uiPriority w:val="20"/>
    <w:qFormat/>
    <w:rsid w:val="0059011C"/>
    <w:rPr>
      <w:i/>
      <w:iCs/>
    </w:rPr>
  </w:style>
  <w:style w:type="paragraph" w:customStyle="1" w:styleId="msonormal0">
    <w:name w:val="msonormal"/>
    <w:basedOn w:val="Normlny"/>
    <w:rsid w:val="007613D6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00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2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18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6E6E6"/>
            <w:right w:val="none" w:sz="0" w:space="0" w:color="auto"/>
          </w:divBdr>
        </w:div>
        <w:div w:id="40634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0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15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7818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44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68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97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82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1140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45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769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278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54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027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658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790607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4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1996</Words>
  <Characters>11383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Kováčiková Lenka</dc:creator>
  <cp:keywords/>
  <dc:description/>
  <cp:lastModifiedBy>Hauptvoglova Henrieta</cp:lastModifiedBy>
  <cp:revision>2</cp:revision>
  <cp:lastPrinted>2024-04-08T05:58:00Z</cp:lastPrinted>
  <dcterms:created xsi:type="dcterms:W3CDTF">2024-06-21T07:46:00Z</dcterms:created>
  <dcterms:modified xsi:type="dcterms:W3CDTF">2024-06-21T07:46:00Z</dcterms:modified>
</cp:coreProperties>
</file>