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414E" w14:textId="1DC11D98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Poznámky – textová časť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konsolidovanej účtovnej závierky zostavenej k 31. 12. 2023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účtovnej jednotky verejnej správy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mesta Pezinok</w:t>
      </w:r>
      <w:r w:rsidRPr="007E47F1">
        <w:rPr>
          <w:rFonts w:asciiTheme="minorHAnsi" w:hAnsiTheme="minorHAnsi" w:cstheme="minorHAnsi"/>
          <w:sz w:val="22"/>
          <w:szCs w:val="22"/>
        </w:rPr>
        <w:t> </w:t>
      </w:r>
    </w:p>
    <w:p w14:paraId="363D029C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i w:val="0"/>
          <w:iCs w:val="0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Všeobecné údaje</w:t>
      </w:r>
    </w:p>
    <w:p w14:paraId="5D99FA21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 údaje o konsolidujúcej účtovnej jednotke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1489D95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1DAD8F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84487" w14:textId="19BA0E50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Mesto Pezinok</w:t>
            </w:r>
          </w:p>
        </w:tc>
      </w:tr>
      <w:tr w:rsidR="007613D6" w:rsidRPr="007E47F1" w14:paraId="61A9A49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764BB53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732044" w14:textId="47AF3941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Radničné námestie 7, 902 14 Pezinok</w:t>
            </w:r>
          </w:p>
        </w:tc>
      </w:tr>
      <w:tr w:rsidR="007613D6" w:rsidRPr="007E47F1" w14:paraId="5BBE684C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41D526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3EE65A6" w14:textId="202D354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Zákon č. 369/1990 Zb. o obecnom zriadení</w:t>
            </w:r>
          </w:p>
        </w:tc>
      </w:tr>
      <w:tr w:rsidR="007613D6" w:rsidRPr="007E47F1" w14:paraId="72C5539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2B40107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Štatutárny orgán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984614" w14:textId="3A6B456D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JUDr. Roman Mács, primátor mesta</w:t>
            </w:r>
          </w:p>
        </w:tc>
      </w:tr>
    </w:tbl>
    <w:p w14:paraId="0A648521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1725B2E3" w14:textId="1F7FF19B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 údaje o konsolidovaných účtovných jednotkách v pôsobnosti konsolidujúcej účtovnej jednotky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6D12214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C4C63E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9851671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A0E8D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</w:tr>
      <w:tr w:rsidR="007613D6" w:rsidRPr="007E47F1" w14:paraId="4536288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92929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0E1B31" w14:textId="208FC388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Fándlyho 11, 902 01 Pezinok</w:t>
            </w:r>
          </w:p>
        </w:tc>
      </w:tr>
      <w:tr w:rsidR="007613D6" w:rsidRPr="007E47F1" w14:paraId="60C4749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BCA086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70F57" w14:textId="5D3F3B3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bookmarkEnd w:id="0"/>
    <w:p w14:paraId="132DFE76" w14:textId="77777777" w:rsid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5966B7D2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879D7A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BB13C6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 škola</w:t>
            </w:r>
          </w:p>
        </w:tc>
      </w:tr>
      <w:tr w:rsidR="007E47F1" w:rsidRPr="007E47F1" w14:paraId="2A77890B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4A6D7EB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FB62A0A" w14:textId="3795840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Kupeckého 74, 902 01 Pezinok</w:t>
            </w:r>
          </w:p>
        </w:tc>
      </w:tr>
      <w:tr w:rsidR="007E47F1" w:rsidRPr="007E47F1" w14:paraId="415FBB15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D12271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2332C6" w14:textId="5A6CB9F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6BB8B118" w14:textId="76EDFEB5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68F3A6F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A2492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DCAD5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 škola</w:t>
            </w:r>
          </w:p>
        </w:tc>
      </w:tr>
      <w:tr w:rsidR="007E47F1" w:rsidRPr="007E47F1" w14:paraId="47C8B18A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5969E8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F40E61D" w14:textId="77461F5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Na bielenisku 2, 902 01 Pezinok</w:t>
            </w:r>
          </w:p>
        </w:tc>
      </w:tr>
      <w:tr w:rsidR="007E47F1" w:rsidRPr="007E47F1" w14:paraId="157DF56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4FCE26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A491E7" w14:textId="536D23C6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23514A76" w14:textId="77777777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1891DD9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46ADE0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8947BC" w14:textId="1A7814F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 škola</w:t>
            </w:r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s materskou školou</w:t>
            </w:r>
          </w:p>
        </w:tc>
      </w:tr>
      <w:tr w:rsidR="007E47F1" w:rsidRPr="007E47F1" w14:paraId="63BEAAF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EEE27E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17E4235" w14:textId="1378D1A0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Orešie 3, 902 01 Pezinok</w:t>
            </w:r>
          </w:p>
        </w:tc>
      </w:tr>
      <w:tr w:rsidR="007E47F1" w:rsidRPr="007E47F1" w14:paraId="68584A8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B0C887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09B457" w14:textId="54A9D37A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01.04.2002</w:t>
            </w:r>
          </w:p>
        </w:tc>
      </w:tr>
    </w:tbl>
    <w:p w14:paraId="5EB69718" w14:textId="77777777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242352B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C4E573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A355E6" w14:textId="0E8102E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Základná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 xml:space="preserve">umelecká </w:t>
            </w: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Eugena Suchoňa</w:t>
            </w:r>
          </w:p>
        </w:tc>
      </w:tr>
      <w:tr w:rsidR="007E47F1" w:rsidRPr="007E47F1" w14:paraId="5CF626F7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A28069F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2F60C" w14:textId="363F7374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M. R. Štefánika 9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7E47F1" w:rsidRPr="007E47F1" w14:paraId="1CE3F093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41AE4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C74D0D" w14:textId="2EDBE687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</w:t>
            </w:r>
            <w:r w:rsidR="001C55E1">
              <w:rPr>
                <w:rFonts w:cstheme="minorHAnsi"/>
                <w:sz w:val="22"/>
                <w:szCs w:val="22"/>
              </w:rPr>
              <w:t>3</w:t>
            </w:r>
          </w:p>
        </w:tc>
      </w:tr>
    </w:tbl>
    <w:p w14:paraId="7E77578A" w14:textId="1222DE4B" w:rsidR="007E47F1" w:rsidRP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3F3BD1F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6EDE6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57ED69" w14:textId="01DF70EE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 xml:space="preserve"> Bystrická</w:t>
            </w:r>
          </w:p>
        </w:tc>
      </w:tr>
      <w:tr w:rsidR="007613D6" w:rsidRPr="007E47F1" w14:paraId="40F6D537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F32ED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5827AD" w14:textId="2AF58CB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Bystrická 1, 902 01 Pezinok</w:t>
            </w:r>
          </w:p>
        </w:tc>
      </w:tr>
      <w:tr w:rsidR="007613D6" w:rsidRPr="007E47F1" w14:paraId="169A66F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5E6FC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F2119C" w14:textId="3822F5BF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3C6DBF2B" w14:textId="717D4F0D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D41A13A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2BDCF8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6D0A472" w14:textId="1B4F70E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gen. Pekníka</w:t>
            </w:r>
          </w:p>
        </w:tc>
      </w:tr>
      <w:tr w:rsidR="001C55E1" w:rsidRPr="007E47F1" w14:paraId="07164ED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D2F2A2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CB2EC0B" w14:textId="341F866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Ul. Gen. Pekníka 2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77752A5B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DDC719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FD9621" w14:textId="6604E5A4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6F4E8926" w14:textId="64E6D201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216C79E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13D9F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9DEBD1" w14:textId="6B3C14D4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Vajanského</w:t>
            </w:r>
          </w:p>
        </w:tc>
      </w:tr>
      <w:tr w:rsidR="001C55E1" w:rsidRPr="007E47F1" w14:paraId="732E93CE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8D8FF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6D9235E" w14:textId="78901B3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Vajanského</w:t>
            </w:r>
            <w:r>
              <w:rPr>
                <w:rFonts w:cstheme="minorHAnsi"/>
                <w:sz w:val="22"/>
                <w:szCs w:val="22"/>
              </w:rPr>
              <w:t xml:space="preserve"> 1</w:t>
            </w:r>
            <w:r>
              <w:rPr>
                <w:rFonts w:cstheme="minorHAnsi"/>
                <w:sz w:val="22"/>
                <w:szCs w:val="22"/>
              </w:rPr>
              <w:t>6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3AC8B26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CE92AB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8178EA8" w14:textId="74E6A61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06134E67" w14:textId="2DB3775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12C1A45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8E41E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D842D10" w14:textId="32D3620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hradbami</w:t>
            </w:r>
          </w:p>
        </w:tc>
      </w:tr>
      <w:tr w:rsidR="001C55E1" w:rsidRPr="007E47F1" w14:paraId="1B5D8E7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CA7C2B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0A39F0" w14:textId="35C9896E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Za hradbami</w:t>
            </w:r>
            <w:r>
              <w:rPr>
                <w:rFonts w:cstheme="minorHAnsi"/>
                <w:sz w:val="22"/>
                <w:szCs w:val="22"/>
              </w:rPr>
              <w:t xml:space="preserve"> 1, 902 01 Pezinok</w:t>
            </w:r>
          </w:p>
        </w:tc>
      </w:tr>
      <w:tr w:rsidR="001C55E1" w:rsidRPr="007E47F1" w14:paraId="302AB8CD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F305D9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83B104" w14:textId="5B21707F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58F55D94" w14:textId="406FE3B8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E7555A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3F40D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A837E6" w14:textId="7B51DD7E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Záhradná</w:t>
            </w:r>
          </w:p>
        </w:tc>
      </w:tr>
      <w:tr w:rsidR="001C55E1" w:rsidRPr="007E47F1" w14:paraId="7E5C7AB6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650054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CA639E" w14:textId="067FCB85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Záhradná 34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5DE2812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CA1E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3C42FB" w14:textId="6BC6D138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12D089B3" w14:textId="5580C93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4636DF2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57C501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197F56" w14:textId="58F91DC8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Svätoplukova</w:t>
            </w:r>
          </w:p>
        </w:tc>
      </w:tr>
      <w:tr w:rsidR="001C55E1" w:rsidRPr="007E47F1" w14:paraId="1A0B4194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21CD8D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B807AC" w14:textId="636BDD5C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Svätoplukova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5</w:t>
            </w:r>
            <w:r>
              <w:rPr>
                <w:rFonts w:cstheme="minorHAnsi"/>
                <w:sz w:val="22"/>
                <w:szCs w:val="22"/>
              </w:rPr>
              <w:t>1, 902 01 Pezinok</w:t>
            </w:r>
          </w:p>
        </w:tc>
      </w:tr>
      <w:tr w:rsidR="001C55E1" w:rsidRPr="007E47F1" w14:paraId="7F2FF87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F9A6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33B191" w14:textId="123BCAA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2725DDE1" w14:textId="77777777" w:rsidR="001C55E1" w:rsidRPr="007E47F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613D6" w:rsidRPr="007E47F1" w14:paraId="7F82A20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4BA47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F267BD" w14:textId="5DBC9FB9" w:rsidR="007613D6" w:rsidRPr="007E47F1" w:rsidRDefault="001C55E1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Centrum voľného času</w:t>
            </w:r>
          </w:p>
        </w:tc>
      </w:tr>
      <w:tr w:rsidR="001C55E1" w:rsidRPr="007E47F1" w14:paraId="09A13D9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9028F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27F5309" w14:textId="26838B33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Mladoboleslavs</w:t>
            </w:r>
            <w:r>
              <w:rPr>
                <w:rFonts w:cstheme="minorHAnsi"/>
                <w:sz w:val="22"/>
                <w:szCs w:val="22"/>
              </w:rPr>
              <w:t xml:space="preserve">ká </w:t>
            </w:r>
            <w:r>
              <w:rPr>
                <w:rFonts w:cstheme="minorHAnsi"/>
                <w:sz w:val="22"/>
                <w:szCs w:val="22"/>
              </w:rPr>
              <w:t>3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413A80E5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C3871F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236084" w14:textId="438B9439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7C6F9BF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7613D6" w:rsidRPr="007E47F1" w14:paraId="42A9B9D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F5D9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8759A35" w14:textId="0089C1D2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ský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podnik služieb 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(príspevková organizácia)</w:t>
            </w:r>
          </w:p>
        </w:tc>
      </w:tr>
      <w:tr w:rsidR="007613D6" w:rsidRPr="007E47F1" w14:paraId="2C2F345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4C78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C8F36C" w14:textId="009C5D5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Trnavská 10, 902 01 Pezinok</w:t>
            </w:r>
          </w:p>
        </w:tc>
      </w:tr>
      <w:tr w:rsidR="007613D6" w:rsidRPr="007E47F1" w14:paraId="4905B8F3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F82A6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80673F" w14:textId="369E5169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24.10.2003</w:t>
            </w:r>
          </w:p>
        </w:tc>
      </w:tr>
    </w:tbl>
    <w:p w14:paraId="5E1DF9B0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1C55E1" w:rsidRPr="007E47F1" w14:paraId="42D794A4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5C68B19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CD2ECE9" w14:textId="5E27663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 múzeum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(príspevková organizácia)</w:t>
            </w:r>
          </w:p>
        </w:tc>
      </w:tr>
      <w:tr w:rsidR="001C55E1" w:rsidRPr="007E47F1" w14:paraId="2E27E49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6E23EE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3653ED3" w14:textId="4A27F721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M. R. Štefánika</w:t>
            </w:r>
            <w:r>
              <w:rPr>
                <w:rFonts w:cstheme="minorHAnsi"/>
                <w:sz w:val="22"/>
                <w:szCs w:val="22"/>
              </w:rPr>
              <w:t xml:space="preserve"> 1, 902 01 Pezinok</w:t>
            </w:r>
          </w:p>
        </w:tc>
      </w:tr>
      <w:tr w:rsidR="001C55E1" w:rsidRPr="007E47F1" w14:paraId="307D3DE8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78663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F545A2" w14:textId="73B8B6DC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</w:t>
            </w:r>
            <w:r>
              <w:rPr>
                <w:rFonts w:cstheme="minorHAnsi"/>
                <w:sz w:val="22"/>
                <w:szCs w:val="22"/>
              </w:rPr>
              <w:t>.0</w:t>
            </w:r>
            <w:r>
              <w:rPr>
                <w:rFonts w:cstheme="minorHAnsi"/>
                <w:sz w:val="22"/>
                <w:szCs w:val="22"/>
              </w:rPr>
              <w:t>3</w:t>
            </w:r>
            <w:r>
              <w:rPr>
                <w:rFonts w:cstheme="minorHAnsi"/>
                <w:sz w:val="22"/>
                <w:szCs w:val="22"/>
              </w:rPr>
              <w:t>.2003</w:t>
            </w:r>
          </w:p>
        </w:tc>
      </w:tr>
    </w:tbl>
    <w:p w14:paraId="1B23789A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1C55E1" w:rsidRPr="007E47F1" w14:paraId="71EB8D1B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FBCAFE4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B4AA07" w14:textId="36D89818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Pezinské kultúrne centrum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(príspevková organizácia)</w:t>
            </w:r>
          </w:p>
        </w:tc>
      </w:tr>
      <w:tr w:rsidR="001C55E1" w:rsidRPr="007E47F1" w14:paraId="5B9DCB86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91385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22B8BC6" w14:textId="7328E76C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Holubyho 42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6A0F58D4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F95AE0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42CF16" w14:textId="6E901D5D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</w:t>
            </w:r>
            <w:r>
              <w:rPr>
                <w:rFonts w:cstheme="minorHAnsi"/>
                <w:sz w:val="22"/>
                <w:szCs w:val="22"/>
              </w:rPr>
              <w:t>200</w:t>
            </w:r>
            <w:r>
              <w:rPr>
                <w:rFonts w:cstheme="minorHAnsi"/>
                <w:sz w:val="22"/>
                <w:szCs w:val="22"/>
              </w:rPr>
              <w:t xml:space="preserve">8 </w:t>
            </w:r>
            <w:r w:rsidRPr="00D73B36">
              <w:rPr>
                <w:rFonts w:cstheme="minorHAnsi"/>
              </w:rPr>
              <w:t>(</w:t>
            </w:r>
            <w:r w:rsidRPr="00D73B36">
              <w:rPr>
                <w:rFonts w:cstheme="minorHAnsi"/>
                <w:b/>
              </w:rPr>
              <w:t>koniec 31.12.2023</w:t>
            </w:r>
            <w:r w:rsidRPr="00D73B36">
              <w:rPr>
                <w:rFonts w:cstheme="minorHAnsi"/>
              </w:rPr>
              <w:t>)</w:t>
            </w:r>
          </w:p>
        </w:tc>
      </w:tr>
    </w:tbl>
    <w:p w14:paraId="4EA9F1CD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196F5FC3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CFB50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618D1C" w14:textId="143C9C5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TV Pezinok s. r. o. (</w:t>
            </w:r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100% podiel mesta Pezinok)</w:t>
            </w:r>
          </w:p>
        </w:tc>
      </w:tr>
      <w:tr w:rsidR="001C55E1" w:rsidRPr="007E47F1" w14:paraId="6228C50B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98797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39E32" w14:textId="68285A8E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 </w:t>
            </w:r>
            <w:r>
              <w:rPr>
                <w:rFonts w:cstheme="minorHAnsi"/>
                <w:sz w:val="22"/>
                <w:szCs w:val="22"/>
              </w:rPr>
              <w:t>Holubyho 42, 902 01 Pezinok</w:t>
            </w:r>
          </w:p>
        </w:tc>
      </w:tr>
      <w:tr w:rsidR="001C55E1" w:rsidRPr="007E47F1" w14:paraId="72422CAD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1C31E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B25A62" w14:textId="5CCBC408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</w:t>
            </w:r>
            <w:r>
              <w:rPr>
                <w:rFonts w:cstheme="minorHAnsi"/>
                <w:sz w:val="22"/>
                <w:szCs w:val="22"/>
              </w:rPr>
              <w:t>4.0</w:t>
            </w:r>
            <w:r>
              <w:rPr>
                <w:rFonts w:cstheme="minorHAnsi"/>
                <w:sz w:val="22"/>
                <w:szCs w:val="22"/>
              </w:rPr>
              <w:t>9</w:t>
            </w:r>
            <w:r>
              <w:rPr>
                <w:rFonts w:cstheme="minorHAnsi"/>
                <w:sz w:val="22"/>
                <w:szCs w:val="22"/>
              </w:rPr>
              <w:t>.</w:t>
            </w:r>
            <w:r>
              <w:rPr>
                <w:rFonts w:cstheme="minorHAnsi"/>
                <w:sz w:val="22"/>
                <w:szCs w:val="22"/>
              </w:rPr>
              <w:t>1997</w:t>
            </w:r>
          </w:p>
        </w:tc>
      </w:tr>
    </w:tbl>
    <w:p w14:paraId="7AA95518" w14:textId="6FB8E932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072DF51A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B033625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40EF6C" w14:textId="4BDD497B" w:rsidR="001C55E1" w:rsidRPr="007E47F1" w:rsidRDefault="00526F9C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Pezinská mestská spoločnosť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( 100% podiel mesta Pezinok)</w:t>
            </w:r>
          </w:p>
        </w:tc>
      </w:tr>
      <w:tr w:rsidR="001C55E1" w:rsidRPr="007E47F1" w14:paraId="633B03B2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20AB62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5B8646" w14:textId="09AEFED5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Hollého 2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310EA9B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099C74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DC3F159" w14:textId="1714938D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06.06.2006</w:t>
            </w:r>
          </w:p>
        </w:tc>
      </w:tr>
    </w:tbl>
    <w:p w14:paraId="2174DB06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p w14:paraId="7B950CAE" w14:textId="68AE1D5D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Informácie o zamestnancoch konsolidovaného celku 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4"/>
        <w:gridCol w:w="5466"/>
      </w:tblGrid>
      <w:tr w:rsidR="007613D6" w:rsidRPr="00B215F0" w14:paraId="2B5FAE6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0145737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Priemerný počet zamestnancov konsolidovaného celku počas účtovného obdobia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76290F4" w14:textId="4C0EF3C2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779,05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roku 2022 to bolo 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613D6" w:rsidRPr="00B215F0" w14:paraId="5D1E875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0B3072E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z toho: počet vedúcich zamestnancov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F272E0D" w14:textId="1F3758CD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53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roku 2022 to bolo 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773B97B4" w14:textId="736785E2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215F0">
        <w:rPr>
          <w:rFonts w:asciiTheme="minorHAnsi" w:hAnsiTheme="minorHAnsi" w:cstheme="minorHAnsi"/>
          <w:sz w:val="22"/>
          <w:szCs w:val="22"/>
        </w:rPr>
        <w:t>Konsolidovaný celok sa v roku 2023 oproti minulým účtovným obdobiam zmenil.</w:t>
      </w:r>
    </w:p>
    <w:p w14:paraId="4437D8F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Prehľad o účtovných jednotkách konsolidovaného celku je uvedený v prílohe, v tabuľkovej časti Poznámok.</w:t>
      </w:r>
    </w:p>
    <w:p w14:paraId="2D8A557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Konsolidovaná účtovná závierka k 31. decembru 2023 je zostavená ako riadna konsolidovaná účtovná závierka podľa zákona č. 431/2002 Z. z. o účtovníctve v znení neskorších predpisov za účtovné obdobie od 1. januára 2022 do 31. decembra 2023.</w:t>
      </w:r>
    </w:p>
    <w:p w14:paraId="2EFD8DC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Konsolidujúca účtovná jednotka je súčasťou súhrnného celku verejnej správy Slovenskej republiky.</w:t>
      </w:r>
    </w:p>
    <w:p w14:paraId="5033B838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lastRenderedPageBreak/>
        <w:t>Konsolidovaná účtovná závierka bola zostavená za predpokladu nepretržitého trvania činnosti v súlade so zákonom o účtovníctve a nadväzujúcimi právnymi predpismi.</w:t>
      </w:r>
    </w:p>
    <w:p w14:paraId="6B2F2265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Účtovné metódy a všeobecné účtovné zásady boli účtovnou jednotkou konzistentne aplikované.</w:t>
      </w:r>
    </w:p>
    <w:p w14:paraId="0A4765AB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Medzi účtovnými jednotkami konsolidovaného celku neboli uskutočnené transakcie z dôvodu predaja majetku.</w:t>
      </w:r>
    </w:p>
    <w:p w14:paraId="70141707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Informácie o metódach oceňovania použitých pri ocenení jednotlivých položiek konsolidovanej účtovnej závierky</w:t>
      </w:r>
    </w:p>
    <w:p w14:paraId="4DC4537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 oceňovania jednotlivých položiek aktív a pasív v súlade so zákonom č. 431/2002 Z. z. o účtovníctve v znení neskorších predpisov</w:t>
      </w:r>
    </w:p>
    <w:p w14:paraId="7FC1DF1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4B98EC7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44B4938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Cenné papiere a podiely sa oceňujú pri ich nadobudnutí obstarávacími cenami.</w:t>
      </w:r>
    </w:p>
    <w:p w14:paraId="5E8C9D60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nakupované sa oceňujú obstarávacou cenou.</w:t>
      </w:r>
    </w:p>
    <w:p w14:paraId="537E44F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vytvorené vlastnou činnosťou sa oceňujú vlastnými nákladmi.</w:t>
      </w:r>
    </w:p>
    <w:p w14:paraId="2E289072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nadobudnuté bezodplatne sa oceňujú reálnou hodnotou.</w:t>
      </w:r>
    </w:p>
    <w:p w14:paraId="653A41A6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ich vzniku sa oceňujú menovitou hodnotou.</w:t>
      </w:r>
    </w:p>
    <w:p w14:paraId="06F56E2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odplatnom nadobudnutí sa oceňujú obstarávacou cenou.</w:t>
      </w:r>
    </w:p>
    <w:p w14:paraId="108F706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Peňažné prostriedky a ceniny sa oceňujú menovitou hodnotou.</w:t>
      </w:r>
    </w:p>
    <w:p w14:paraId="69D8465B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lastRenderedPageBreak/>
        <w:t>Záväzky sa pri ich vzniku oceňujú menovitou hodnotou a pri ich prevzatí sa oceňujú obstarávacou cenou.</w:t>
      </w:r>
    </w:p>
    <w:p w14:paraId="29100593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14:paraId="66B29D2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 prepočtu na menu euro</w:t>
      </w:r>
    </w:p>
    <w:p w14:paraId="6D450A89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0CB20A48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Na ocenenie prírastku cudzej meny nakúpenej za euro sa použije kurz, za ktorý bola táto cudzia mena nakúpená.</w:t>
      </w:r>
    </w:p>
    <w:p w14:paraId="25411DD6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E225EA0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14:paraId="17950FB2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4C87E4E6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 účtovania transferov</w:t>
      </w:r>
    </w:p>
    <w:p w14:paraId="14651F1A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14:paraId="0666F03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prijatý od zriaďovateľa sa zúčtuje do výnosov vo vecnej a časovej súvislosti s výdavkami z tohto transferu,</w:t>
      </w:r>
    </w:p>
    <w:p w14:paraId="361ABB5C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lastRenderedPageBreak/>
        <w:t>bežný transfer poskytnutý iným subjektom ako zriadeným organizáciám sa zúčtuje do nákladov po splnení podmienok,</w:t>
      </w:r>
    </w:p>
    <w:p w14:paraId="3A928D8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poskytnutý zriadeným rozpočtovým a príspevkovým organizáciám sa zúčtuje do nákladov pri poskytnutí transferu,</w:t>
      </w:r>
    </w:p>
    <w:p w14:paraId="234CCE29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48DCB5E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EBFB222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iným subjektom ako zriadeným organizáciám sa zúčtuje do nákladov po splnení podmienok,</w:t>
      </w:r>
    </w:p>
    <w:p w14:paraId="7B21AC26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55D619ED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Informácie o metódach a postupoch konsolidácie</w:t>
      </w:r>
    </w:p>
    <w:p w14:paraId="11AD7723" w14:textId="5F33EFD2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Konsolidovaná účtovná závierka </w:t>
      </w:r>
      <w:r w:rsidR="00526F9C">
        <w:rPr>
          <w:rFonts w:asciiTheme="minorHAnsi" w:hAnsiTheme="minorHAnsi" w:cstheme="minorHAnsi"/>
          <w:sz w:val="22"/>
          <w:szCs w:val="22"/>
        </w:rPr>
        <w:t>mesta Pezinok</w:t>
      </w:r>
      <w:r w:rsidRPr="007E47F1">
        <w:rPr>
          <w:rFonts w:asciiTheme="minorHAnsi" w:hAnsiTheme="minorHAnsi" w:cstheme="minorHAnsi"/>
          <w:sz w:val="22"/>
          <w:szCs w:val="22"/>
        </w:rPr>
        <w:t xml:space="preserve"> bola zostavená v súlade so zákonom č. 431/2002 Z. z. o účtovníctve v znení neskorších predpisov v súlade s opatrením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14:paraId="46C02B9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1560"/>
        <w:gridCol w:w="1590"/>
        <w:gridCol w:w="1665"/>
      </w:tblGrid>
      <w:tr w:rsidR="007613D6" w:rsidRPr="007E47F1" w14:paraId="36604A55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5562530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Názov, resp. obchodné meno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  <w:t>konsolidovanej účtovnej jednotky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DD85A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  <w:t>úplnej konsolidácie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5CD14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  <w:t>podielovej konsolidácie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D63F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  <w:t>vlastného imania</w:t>
            </w:r>
          </w:p>
        </w:tc>
      </w:tr>
      <w:tr w:rsidR="007613D6" w:rsidRPr="007E47F1" w14:paraId="69D8F8D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107EC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Základná škola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DCDD8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A2A7AB3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AB200E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22D54FD7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3CEBA3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 škola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CB1B69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E76AE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FCFF2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0D17F743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64A852" w14:textId="7D9104B0" w:rsidR="007613D6" w:rsidRPr="007E47F1" w:rsidRDefault="009E317E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Centrum voľného času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A3AF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3D5D6A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D9876F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9E317E" w:rsidRPr="007E47F1" w14:paraId="5257AB4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496E1333" w14:textId="7A065D1C" w:rsidR="009E317E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Základná umelecká škola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EE35B54" w14:textId="0F497FB1" w:rsidR="009E317E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3336A27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67C1C55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3663C" w:rsidRPr="007E47F1" w14:paraId="1EB77CAE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BF48580" w14:textId="47A4ED6B" w:rsidR="00B3663C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Konsolidované účt.  jednotky – príspevkové organizácie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EB227F6" w14:textId="4D1E7908" w:rsidR="00B3663C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3B3E581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778573C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613D6" w:rsidRPr="007E47F1" w14:paraId="22D5BF72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75749E" w14:textId="774522CE" w:rsidR="007613D6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Konsolidované účtovné jednotky – s. r. 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07C2D8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8CA8C3F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73141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</w:tbl>
    <w:p w14:paraId="085ABEE7" w14:textId="77777777" w:rsidR="00B3663C" w:rsidRDefault="00B3663C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D1E4822" w14:textId="32552AE1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Metóda úplnej konsolidácie bola použitá pri dcérskych účtovných jednotkách.</w:t>
      </w:r>
    </w:p>
    <w:p w14:paraId="0DC24AB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 o údajoch aktív a pasív</w:t>
      </w:r>
    </w:p>
    <w:p w14:paraId="71BA47B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Prehľad pohybu dlhodobého nehmotného a dlhodobého hmotného majetku od 1. januára 2023 do 31. decembra 2023 je uvedený v tabuľkovej časti Poznámok.</w:t>
      </w:r>
    </w:p>
    <w:p w14:paraId="125F335F" w14:textId="7E7DDB1C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Najvýznamnejšou položkou pohľadávok sú pohľadávky z </w:t>
      </w:r>
      <w:r w:rsidR="00526F9C">
        <w:rPr>
          <w:rFonts w:asciiTheme="minorHAnsi" w:hAnsiTheme="minorHAnsi" w:cstheme="minorHAnsi"/>
          <w:sz w:val="22"/>
          <w:szCs w:val="22"/>
        </w:rPr>
        <w:t>ne</w:t>
      </w:r>
      <w:r w:rsidRPr="007E47F1">
        <w:rPr>
          <w:rFonts w:asciiTheme="minorHAnsi" w:hAnsiTheme="minorHAnsi" w:cstheme="minorHAnsi"/>
          <w:sz w:val="22"/>
          <w:szCs w:val="22"/>
        </w:rPr>
        <w:t xml:space="preserve">daňových príjmov obce vo výške </w:t>
      </w:r>
      <w:r w:rsidR="00B215F0">
        <w:rPr>
          <w:rFonts w:asciiTheme="minorHAnsi" w:hAnsiTheme="minorHAnsi" w:cstheme="minorHAnsi"/>
          <w:sz w:val="22"/>
          <w:szCs w:val="22"/>
        </w:rPr>
        <w:t xml:space="preserve">465 420,08 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311 273,22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eur).</w:t>
      </w:r>
    </w:p>
    <w:p w14:paraId="694273FD" w14:textId="56350964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Ako finančný majetok sú vykázané peňažné prostriedky v pokladnici a účty v bankách. Účtami v bankách môže konsolidovaný celok voľne disponovať v sume </w:t>
      </w:r>
      <w:r w:rsidR="00B215F0">
        <w:rPr>
          <w:rFonts w:asciiTheme="minorHAnsi" w:hAnsiTheme="minorHAnsi" w:cstheme="minorHAnsi"/>
          <w:sz w:val="22"/>
          <w:szCs w:val="22"/>
        </w:rPr>
        <w:t xml:space="preserve">11 319 097,95 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8 974 590,08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eur).</w:t>
      </w:r>
    </w:p>
    <w:p w14:paraId="35689EC2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Prehľad záväzkov podľa splatnosti je uvedený v tabuľkovej časti Poznámok.</w:t>
      </w:r>
    </w:p>
    <w:p w14:paraId="099F36E5" w14:textId="6C8F1A60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Konsolidovaný celok vykazuje úvery vo výške </w:t>
      </w:r>
      <w:r w:rsidR="00B215F0">
        <w:rPr>
          <w:rFonts w:asciiTheme="minorHAnsi" w:hAnsiTheme="minorHAnsi" w:cstheme="minorHAnsi"/>
          <w:sz w:val="22"/>
          <w:szCs w:val="22"/>
        </w:rPr>
        <w:t>197 660,48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834 372,08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eur).</w:t>
      </w:r>
    </w:p>
    <w:p w14:paraId="3C09AE6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 o výnosoch a nákladoch</w:t>
      </w:r>
    </w:p>
    <w:p w14:paraId="5A75977D" w14:textId="2A80AD75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Z hľadiska kvantity sú najvýznamnejšími nákladmi osobné náklady vo výške</w:t>
      </w:r>
      <w:r w:rsidR="00B215F0">
        <w:rPr>
          <w:rFonts w:asciiTheme="minorHAnsi" w:hAnsiTheme="minorHAnsi" w:cstheme="minorHAnsi"/>
          <w:sz w:val="22"/>
          <w:szCs w:val="22"/>
        </w:rPr>
        <w:t xml:space="preserve"> 18 584 421,91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16 069 536,17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eur).</w:t>
      </w:r>
    </w:p>
    <w:p w14:paraId="6C4174F8" w14:textId="2A7D8F1B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Najvýznamnejšími výnosmi sú daňové výnosy vo výške</w:t>
      </w:r>
      <w:r w:rsidR="00B215F0">
        <w:rPr>
          <w:rFonts w:asciiTheme="minorHAnsi" w:hAnsiTheme="minorHAnsi" w:cstheme="minorHAnsi"/>
          <w:sz w:val="22"/>
          <w:szCs w:val="22"/>
        </w:rPr>
        <w:t xml:space="preserve"> 16 509 303,57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14 928 319,85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 a výnosy zo zúčtovania transferov bežných aj kapitálových od subjektov verejnej správy vrátane štátneho rozpočtu, a to vo výške </w:t>
      </w:r>
      <w:r w:rsidR="00B215F0">
        <w:rPr>
          <w:rFonts w:asciiTheme="minorHAnsi" w:hAnsiTheme="minorHAnsi" w:cstheme="minorHAnsi"/>
          <w:sz w:val="22"/>
          <w:szCs w:val="22"/>
        </w:rPr>
        <w:t>10 866 931,77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 (v roku 2022 to bolo </w:t>
      </w:r>
      <w:r w:rsidR="00B215F0">
        <w:rPr>
          <w:rFonts w:asciiTheme="minorHAnsi" w:hAnsiTheme="minorHAnsi" w:cstheme="minorHAnsi"/>
          <w:sz w:val="22"/>
          <w:szCs w:val="22"/>
        </w:rPr>
        <w:t>7 738 713,30</w:t>
      </w:r>
      <w:r w:rsidRPr="007E47F1">
        <w:rPr>
          <w:rFonts w:asciiTheme="minorHAnsi" w:hAnsiTheme="minorHAnsi" w:cstheme="minorHAnsi"/>
          <w:sz w:val="22"/>
          <w:szCs w:val="22"/>
        </w:rPr>
        <w:t xml:space="preserve"> eur).</w:t>
      </w:r>
    </w:p>
    <w:p w14:paraId="263130C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SKUTOČNOSTI, KTORÉ NASTALI PO DNI, KU KTORÉMU SA ZOSTAVUJE KONSOLIDOVANÁ ÚČTOVNÁ ZÁVIERKA, DO DŇA JEJ ZOSTAVENIA</w:t>
      </w:r>
    </w:p>
    <w:p w14:paraId="4828FE4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Po dni, ku ktorému sa zostavuje konsolidovaná účtovná závierka, nenastali také udalosti, ktoré by si vyžadovali zverejnenie alebo vykázanie v konsolidovanej účtovnej závierke za rok 2023.</w:t>
      </w:r>
    </w:p>
    <w:p w14:paraId="67B1097E" w14:textId="77777777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Tabuľková časť poznámok – novelizácia tabuľkovej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časti vzťahujúca sa na konsolidovanú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účtovnú závierku za rok 2023</w:t>
      </w:r>
    </w:p>
    <w:p w14:paraId="0DC61D17" w14:textId="2867B4B5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Štruktúru konsolidovanej účtovnej závierky v samospráve upravuje Opatrenie MF SR zo 17. decembra 2008 č. MF/27526/2008-31, ktorým sa ustanovujú podrobnosti o metódach a postupoch konsolidácie vo verejnej správe a podrobnosti o usporiadaní a označovaní položiek konsolidovanej účtovnej závierky vo verejnej správe v znení opatrenia MF SR z 9. decembra 2009 č. MF/22110/2009-31, opatrenia MF SR z 11. decembra 2013 č. MF/19567/2013-31,opatrenia MF SR z 10. decembra 2014 č. MF/21230/2014-31. Postupy konsolidácie boli posledný raz novelizované Opatrením Ministerstva financií Slovenskej republiky z 22. novembra 2023 č. MF/014271/2023-31, ktoré nadobudlo účinnosť k 1.1.2024, avšak prvýkrát sa použije pri zostavovaní konsolidovanej účtovnej závierky k 31. decembru 2023, ktorá sa zostavuje po 1. januári 2024, ktorým sa významne zmenila tabuľková časť Poznámok. Prehľad zmien uvádzame v porovnaní štruktúry tabuľkovej časti konsolidovanej účtovnej závierky za rok 2022 a konsolidovanej účtovnej závierky za rok 2023.</w:t>
      </w:r>
    </w:p>
    <w:p w14:paraId="2D8C5C2C" w14:textId="710F1F03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Pezinku, 21.06.2024</w:t>
      </w:r>
    </w:p>
    <w:p w14:paraId="680103C0" w14:textId="77777777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Vyhotovil: Ing. Jana Václavová, vedúca referátu financií a účtovníctva</w:t>
      </w:r>
    </w:p>
    <w:p w14:paraId="6C25A85A" w14:textId="3AE45F7A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Henrieta Hauptvoglová, referent pre rozpočet</w:t>
      </w:r>
      <w:bookmarkStart w:id="1" w:name="_GoBack"/>
      <w:bookmarkEnd w:id="1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51654B" w14:textId="77777777" w:rsidR="00CA6AC0" w:rsidRPr="007E47F1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CA6AC0" w:rsidRPr="007E47F1" w:rsidSect="00D33B32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FAFBD" w14:textId="77777777" w:rsidR="007E47F1" w:rsidRDefault="007E47F1" w:rsidP="00ED0F4B">
      <w:r>
        <w:separator/>
      </w:r>
    </w:p>
  </w:endnote>
  <w:endnote w:type="continuationSeparator" w:id="0">
    <w:p w14:paraId="402EC287" w14:textId="77777777" w:rsidR="007E47F1" w:rsidRDefault="007E47F1" w:rsidP="00ED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2594108"/>
      <w:docPartObj>
        <w:docPartGallery w:val="Page Numbers (Bottom of Page)"/>
        <w:docPartUnique/>
      </w:docPartObj>
    </w:sdtPr>
    <w:sdtContent>
      <w:p w14:paraId="75ACB7AA" w14:textId="1B771A1E" w:rsidR="007E47F1" w:rsidRDefault="007E47F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3E36D" w14:textId="77777777" w:rsidR="007E47F1" w:rsidRDefault="007E47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FF80B" w14:textId="77777777" w:rsidR="007E47F1" w:rsidRDefault="007E47F1" w:rsidP="00ED0F4B">
      <w:r>
        <w:separator/>
      </w:r>
    </w:p>
  </w:footnote>
  <w:footnote w:type="continuationSeparator" w:id="0">
    <w:p w14:paraId="36C1A05B" w14:textId="77777777" w:rsidR="007E47F1" w:rsidRDefault="007E47F1" w:rsidP="00ED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E3B37" w14:textId="2B0E8CED" w:rsidR="007E47F1" w:rsidRPr="007613D6" w:rsidRDefault="007E47F1" w:rsidP="007613D6">
    <w:pPr>
      <w:pStyle w:val="Hlavika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083"/>
    <w:multiLevelType w:val="multilevel"/>
    <w:tmpl w:val="ED9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036D"/>
    <w:multiLevelType w:val="hybridMultilevel"/>
    <w:tmpl w:val="3BC0A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77D1E"/>
    <w:multiLevelType w:val="hybridMultilevel"/>
    <w:tmpl w:val="EED64BBE"/>
    <w:lvl w:ilvl="0" w:tplc="D1F09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2487"/>
    <w:multiLevelType w:val="multilevel"/>
    <w:tmpl w:val="EA3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A9"/>
    <w:rsid w:val="00052906"/>
    <w:rsid w:val="001476A9"/>
    <w:rsid w:val="001C55E1"/>
    <w:rsid w:val="0020702C"/>
    <w:rsid w:val="002116B0"/>
    <w:rsid w:val="0021475F"/>
    <w:rsid w:val="0028758E"/>
    <w:rsid w:val="00526F9C"/>
    <w:rsid w:val="0054280B"/>
    <w:rsid w:val="00570125"/>
    <w:rsid w:val="00575060"/>
    <w:rsid w:val="00587E14"/>
    <w:rsid w:val="0059011C"/>
    <w:rsid w:val="005F3206"/>
    <w:rsid w:val="00632802"/>
    <w:rsid w:val="006830CE"/>
    <w:rsid w:val="006F7F23"/>
    <w:rsid w:val="00702CC7"/>
    <w:rsid w:val="007266E6"/>
    <w:rsid w:val="007613D6"/>
    <w:rsid w:val="00771ABB"/>
    <w:rsid w:val="007E47F1"/>
    <w:rsid w:val="008206DE"/>
    <w:rsid w:val="008F24C9"/>
    <w:rsid w:val="009A126E"/>
    <w:rsid w:val="009E317E"/>
    <w:rsid w:val="00A519A1"/>
    <w:rsid w:val="00B00829"/>
    <w:rsid w:val="00B215F0"/>
    <w:rsid w:val="00B24422"/>
    <w:rsid w:val="00B31386"/>
    <w:rsid w:val="00B3663C"/>
    <w:rsid w:val="00B50720"/>
    <w:rsid w:val="00B71520"/>
    <w:rsid w:val="00BC4A2D"/>
    <w:rsid w:val="00C54AB8"/>
    <w:rsid w:val="00C63363"/>
    <w:rsid w:val="00C94E80"/>
    <w:rsid w:val="00CA6AC0"/>
    <w:rsid w:val="00D33B32"/>
    <w:rsid w:val="00D73B36"/>
    <w:rsid w:val="00E93F82"/>
    <w:rsid w:val="00EB0F72"/>
    <w:rsid w:val="00ED0F4B"/>
    <w:rsid w:val="00ED38DE"/>
    <w:rsid w:val="00F44DF0"/>
    <w:rsid w:val="00F8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8797"/>
  <w15:chartTrackingRefBased/>
  <w15:docId w15:val="{BD96E58F-2778-4073-8EF6-5A6D2D05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0F4B"/>
    <w:pPr>
      <w:spacing w:after="0" w:line="240" w:lineRule="auto"/>
    </w:pPr>
    <w:rPr>
      <w:sz w:val="24"/>
      <w:szCs w:val="24"/>
      <w:lang w:val="sk-SK"/>
    </w:rPr>
  </w:style>
  <w:style w:type="paragraph" w:styleId="Nadpis3">
    <w:name w:val="heading 3"/>
    <w:basedOn w:val="Normlny"/>
    <w:link w:val="Nadpis3Char"/>
    <w:uiPriority w:val="9"/>
    <w:qFormat/>
    <w:rsid w:val="00EB0F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01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4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75060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F4B"/>
    <w:rPr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D0F4B"/>
    <w:rPr>
      <w:sz w:val="24"/>
      <w:szCs w:val="24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206DE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830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Vrazn">
    <w:name w:val="Strong"/>
    <w:basedOn w:val="Predvolenpsmoodseku"/>
    <w:uiPriority w:val="22"/>
    <w:qFormat/>
    <w:rsid w:val="006830C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0F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Predvolenpsmoodseku"/>
    <w:link w:val="Nadpis4"/>
    <w:uiPriority w:val="9"/>
    <w:rsid w:val="0059011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k-SK"/>
    </w:rPr>
  </w:style>
  <w:style w:type="character" w:styleId="Zvraznenie">
    <w:name w:val="Emphasis"/>
    <w:basedOn w:val="Predvolenpsmoodseku"/>
    <w:uiPriority w:val="20"/>
    <w:qFormat/>
    <w:rsid w:val="0059011C"/>
    <w:rPr>
      <w:i/>
      <w:iCs/>
    </w:rPr>
  </w:style>
  <w:style w:type="paragraph" w:customStyle="1" w:styleId="msonormal0">
    <w:name w:val="msonormal"/>
    <w:basedOn w:val="Normlny"/>
    <w:rsid w:val="007613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</w:div>
        <w:div w:id="4063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4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Lenka</dc:creator>
  <cp:keywords/>
  <dc:description/>
  <cp:lastModifiedBy>Hauptvoglova Henrieta</cp:lastModifiedBy>
  <cp:revision>2</cp:revision>
  <cp:lastPrinted>2024-04-08T05:58:00Z</cp:lastPrinted>
  <dcterms:created xsi:type="dcterms:W3CDTF">2024-06-21T07:46:00Z</dcterms:created>
  <dcterms:modified xsi:type="dcterms:W3CDTF">2024-06-21T07:46:00Z</dcterms:modified>
</cp:coreProperties>
</file>