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9D33C9">
        <w:rPr>
          <w:rFonts w:ascii="Book Antiqua" w:hAnsi="Book Antiqua" w:cs="Arial"/>
          <w:b/>
          <w:bCs/>
          <w:sz w:val="24"/>
          <w:szCs w:val="24"/>
        </w:rPr>
        <w:t>20</w:t>
      </w:r>
      <w:r w:rsidR="004739AC">
        <w:rPr>
          <w:rFonts w:ascii="Book Antiqua" w:hAnsi="Book Antiqua" w:cs="Arial"/>
          <w:b/>
          <w:bCs/>
          <w:sz w:val="24"/>
          <w:szCs w:val="24"/>
        </w:rPr>
        <w:t>2</w:t>
      </w:r>
      <w:r w:rsidR="00FF1F63">
        <w:rPr>
          <w:rFonts w:ascii="Book Antiqua" w:hAnsi="Book Antiqua" w:cs="Arial"/>
          <w:b/>
          <w:bCs/>
          <w:sz w:val="24"/>
          <w:szCs w:val="24"/>
        </w:rPr>
        <w:t>3</w:t>
      </w:r>
    </w:p>
    <w:p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331E33">
        <w:rPr>
          <w:rFonts w:ascii="Book Antiqua" w:hAnsi="Book Antiqua" w:cs="Arial"/>
          <w:b/>
          <w:bCs/>
          <w:i/>
          <w:sz w:val="28"/>
          <w:szCs w:val="28"/>
        </w:rPr>
        <w:t>Priechod</w:t>
      </w:r>
    </w:p>
    <w:p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8511CD" w:rsidP="00331E33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331E33">
              <w:rPr>
                <w:rFonts w:ascii="Book Antiqua" w:hAnsi="Book Antiqua" w:cs="Arial"/>
                <w:i/>
                <w:sz w:val="24"/>
                <w:szCs w:val="24"/>
              </w:rPr>
              <w:t>Priechod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331E33" w:rsidP="0078694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Priechod 157,97611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9D33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Identifikačné údaje o konsolidovaných  účtovných  jednotkách – </w:t>
      </w:r>
      <w:r w:rsidR="009D33C9">
        <w:rPr>
          <w:rFonts w:ascii="Book Antiqua" w:hAnsi="Book Antiqua" w:cs="Arial"/>
          <w:b/>
          <w:i/>
          <w:sz w:val="24"/>
          <w:szCs w:val="24"/>
        </w:rPr>
        <w:t>rozpočtovej organizáci</w:t>
      </w:r>
      <w:r w:rsidR="00F33E67">
        <w:rPr>
          <w:rFonts w:ascii="Book Antiqua" w:hAnsi="Book Antiqua" w:cs="Arial"/>
          <w:b/>
          <w:i/>
          <w:sz w:val="24"/>
          <w:szCs w:val="24"/>
        </w:rPr>
        <w:t>e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C836D2" w:rsidRPr="00402A07" w:rsidRDefault="00331E33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ZŠ s MŠ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C836D2" w:rsidRPr="00402A07" w:rsidRDefault="00331E33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Priechod 179, 97611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:rsidR="00C836D2" w:rsidRPr="00402A07" w:rsidRDefault="00B03240" w:rsidP="00331E33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01.01.20</w:t>
            </w:r>
            <w:r w:rsidR="00331E33">
              <w:rPr>
                <w:rFonts w:ascii="Book Antiqua" w:hAnsi="Book Antiqua" w:cs="Arial"/>
                <w:i/>
                <w:sz w:val="24"/>
                <w:szCs w:val="24"/>
              </w:rPr>
              <w:t>03</w:t>
            </w:r>
          </w:p>
        </w:tc>
      </w:tr>
    </w:tbl>
    <w:p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:rsidR="00524E49" w:rsidRPr="00F33E67" w:rsidRDefault="00C11500" w:rsidP="00B03240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10</w:t>
            </w:r>
          </w:p>
        </w:tc>
      </w:tr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347AA" w:rsidRPr="000A5748" w:rsidRDefault="00331E33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3</w:t>
            </w:r>
          </w:p>
        </w:tc>
      </w:tr>
    </w:tbl>
    <w:p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Informácie o zostavení individuálnej účtovnej závierky konsolidovanej účtovnej jednotky – obchodnej spoločnosti, ak je iný ako 31.12.</w:t>
      </w:r>
      <w:r w:rsidR="00A25396">
        <w:rPr>
          <w:rFonts w:ascii="Book Antiqua" w:hAnsi="Book Antiqua" w:cs="Arial"/>
          <w:b/>
          <w:i/>
          <w:sz w:val="24"/>
          <w:szCs w:val="24"/>
        </w:rPr>
        <w:t>202</w:t>
      </w:r>
      <w:r w:rsidR="00FF1F63">
        <w:rPr>
          <w:rFonts w:ascii="Book Antiqua" w:hAnsi="Book Antiqua" w:cs="Arial"/>
          <w:b/>
          <w:i/>
          <w:sz w:val="24"/>
          <w:szCs w:val="24"/>
        </w:rPr>
        <w:t>3</w:t>
      </w:r>
      <w:bookmarkStart w:id="0" w:name="_GoBack"/>
      <w:bookmarkEnd w:id="0"/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E9707C" w:rsidRPr="00402A07" w:rsidRDefault="00E9707C" w:rsidP="00F33E67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331E33">
        <w:rPr>
          <w:rFonts w:ascii="Book Antiqua" w:hAnsi="Book Antiqua" w:cs="Arial"/>
          <w:b/>
          <w:i/>
          <w:sz w:val="24"/>
          <w:szCs w:val="24"/>
        </w:rPr>
        <w:t>Priechod</w:t>
      </w:r>
    </w:p>
    <w:p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</w:t>
      </w:r>
      <w:proofErr w:type="spellStart"/>
      <w:r w:rsidR="00724046" w:rsidRPr="00402A07">
        <w:rPr>
          <w:rFonts w:ascii="Book Antiqua" w:hAnsi="Book Antiqua" w:cs="Arial"/>
          <w:sz w:val="24"/>
          <w:szCs w:val="24"/>
        </w:rPr>
        <w:t>t.j</w:t>
      </w:r>
      <w:proofErr w:type="spellEnd"/>
      <w:r w:rsidR="00724046" w:rsidRPr="00402A07">
        <w:rPr>
          <w:rFonts w:ascii="Book Antiqua" w:hAnsi="Book Antiqua" w:cs="Arial"/>
          <w:sz w:val="24"/>
          <w:szCs w:val="24"/>
        </w:rPr>
        <w:t xml:space="preserve">. priamymi nákladmi vynaloženými na tvorbu zásob ako aj časťou nepriamych nákladov, ktoré sa k tvorbe zásob vzťahujú.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331E33">
        <w:rPr>
          <w:rFonts w:ascii="Book Antiqua" w:hAnsi="Book Antiqua" w:cs="Arial"/>
          <w:b/>
          <w:i/>
          <w:sz w:val="24"/>
          <w:szCs w:val="24"/>
        </w:rPr>
        <w:t>Priechod</w:t>
      </w:r>
      <w:r w:rsidR="00F33E6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>zahŕňa</w:t>
      </w:r>
      <w:r w:rsidR="00F33E67">
        <w:rPr>
          <w:rFonts w:ascii="Book Antiqua" w:hAnsi="Book Antiqua" w:cs="Arial"/>
          <w:b/>
          <w:sz w:val="24"/>
          <w:szCs w:val="24"/>
        </w:rPr>
        <w:t xml:space="preserve"> </w:t>
      </w:r>
      <w:r w:rsidR="007D5417">
        <w:rPr>
          <w:rFonts w:ascii="Book Antiqua" w:hAnsi="Book Antiqua" w:cs="Arial"/>
          <w:b/>
          <w:sz w:val="24"/>
          <w:szCs w:val="24"/>
        </w:rPr>
        <w:t>1</w:t>
      </w:r>
      <w:r w:rsidRPr="00402A07">
        <w:rPr>
          <w:rFonts w:ascii="Book Antiqua" w:hAnsi="Book Antiqua" w:cs="Arial"/>
          <w:b/>
          <w:sz w:val="24"/>
          <w:szCs w:val="24"/>
        </w:rPr>
        <w:t xml:space="preserve"> </w:t>
      </w:r>
      <w:r w:rsidR="00B03240">
        <w:rPr>
          <w:rFonts w:ascii="Book Antiqua" w:hAnsi="Book Antiqua" w:cs="Arial"/>
          <w:b/>
          <w:sz w:val="24"/>
          <w:szCs w:val="24"/>
        </w:rPr>
        <w:t>rozpočtovú organizáciu</w:t>
      </w:r>
      <w:r w:rsidR="00786946">
        <w:rPr>
          <w:rFonts w:ascii="Book Antiqua" w:hAnsi="Book Antiqua" w:cs="Arial"/>
          <w:b/>
          <w:sz w:val="24"/>
          <w:szCs w:val="24"/>
        </w:rPr>
        <w:t>.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7D5417">
        <w:rPr>
          <w:rFonts w:ascii="Book Antiqua" w:hAnsi="Book Antiqua" w:cs="Arial"/>
          <w:b/>
          <w:sz w:val="24"/>
          <w:szCs w:val="24"/>
        </w:rPr>
        <w:t>jej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A30C8D">
        <w:rPr>
          <w:rFonts w:ascii="Book Antiqua" w:hAnsi="Book Antiqua" w:cs="Arial"/>
          <w:i/>
          <w:sz w:val="24"/>
          <w:szCs w:val="24"/>
        </w:rPr>
        <w:t>Priechod</w:t>
      </w:r>
      <w:r w:rsidR="009314B1" w:rsidRPr="00402A07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 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>v súlade s Opatrením Ministerstva financií Slovenskej repu</w:t>
      </w:r>
      <w:r w:rsidR="00167FE7">
        <w:rPr>
          <w:rFonts w:ascii="Book Antiqua" w:hAnsi="Book Antiqua" w:cs="Arial"/>
          <w:sz w:val="24"/>
          <w:szCs w:val="24"/>
        </w:rPr>
        <w:t>bliky  zo dňa 17. decembra 2008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529"/>
        <w:gridCol w:w="1550"/>
        <w:gridCol w:w="1594"/>
      </w:tblGrid>
      <w:tr w:rsidR="00C82159" w:rsidRPr="00402A07" w:rsidTr="009314B1">
        <w:tc>
          <w:tcPr>
            <w:tcW w:w="510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37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:rsidTr="009314B1">
        <w:tc>
          <w:tcPr>
            <w:tcW w:w="5100" w:type="dxa"/>
          </w:tcPr>
          <w:p w:rsidR="00C82159" w:rsidRPr="00402A07" w:rsidRDefault="00331E33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škola s materskou školou Priechod</w:t>
            </w:r>
            <w:r w:rsidR="00786946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37" w:type="dxa"/>
          </w:tcPr>
          <w:p w:rsidR="00C82159" w:rsidRPr="00402A07" w:rsidRDefault="009314B1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C82159" w:rsidRPr="00402A07" w:rsidTr="009314B1">
        <w:tc>
          <w:tcPr>
            <w:tcW w:w="510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  <w:tc>
          <w:tcPr>
            <w:tcW w:w="1537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C82159" w:rsidRPr="00402A07" w:rsidTr="009314B1">
        <w:tc>
          <w:tcPr>
            <w:tcW w:w="510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  <w:tc>
          <w:tcPr>
            <w:tcW w:w="1537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C82159" w:rsidRDefault="00C82159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:rsidR="00F77526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:rsidR="00AE0EA6" w:rsidRPr="00402A07" w:rsidRDefault="00AE0EA6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Moment prvej konsolidácie kapitálu :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rozpočtových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príspevkových 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</w:t>
      </w:r>
      <w:r w:rsidR="00347A64" w:rsidRPr="00402A07">
        <w:rPr>
          <w:rFonts w:ascii="Book Antiqua" w:hAnsi="Book Antiqua" w:cs="Arial"/>
          <w:sz w:val="24"/>
          <w:szCs w:val="24"/>
        </w:rPr>
        <w:t>i obchodných spoločnostiach je t</w:t>
      </w:r>
      <w:r w:rsidRPr="00402A07">
        <w:rPr>
          <w:rFonts w:ascii="Book Antiqua" w:hAnsi="Book Antiqua" w:cs="Arial"/>
          <w:sz w:val="24"/>
          <w:szCs w:val="24"/>
        </w:rPr>
        <w:t>o deň obstarania podielov.</w:t>
      </w:r>
    </w:p>
    <w:p w:rsidR="00F77526" w:rsidRDefault="00F77526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Default="00402A07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Pr="00402A07" w:rsidRDefault="00402A07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Informácie o</w:t>
      </w:r>
      <w:r w:rsidR="000B082D" w:rsidRPr="00402A07">
        <w:rPr>
          <w:rFonts w:ascii="Book Antiqua" w:hAnsi="Book Antiqua" w:cs="Arial"/>
          <w:b/>
          <w:i/>
          <w:sz w:val="24"/>
          <w:szCs w:val="24"/>
        </w:rPr>
        <w:t> </w:t>
      </w:r>
      <w:proofErr w:type="spellStart"/>
      <w:r w:rsidRPr="00402A07">
        <w:rPr>
          <w:rFonts w:ascii="Book Antiqua" w:hAnsi="Book Antiqua" w:cs="Arial"/>
          <w:b/>
          <w:i/>
          <w:sz w:val="24"/>
          <w:szCs w:val="24"/>
        </w:rPr>
        <w:t>goodwille</w:t>
      </w:r>
      <w:proofErr w:type="spellEnd"/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konsolidovanej účtovnej  jednotke, ktorou je rozpočtová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konsolidovanej účtovnej  jednotke, ktorou je príspevková 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založení konsolidovanej účtovnej  jednotky, ktorou je obchodná spoločnosť. 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vzniká pri kúpe už existujúcej konsolidovanej účtovnej  jednotky, ktorou je obchodná spoločnosť.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hanging="1156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sa odpisuje do 5 rokov.</w:t>
      </w:r>
    </w:p>
    <w:p w:rsidR="00420C1E" w:rsidRPr="00402A07" w:rsidRDefault="00420C1E" w:rsidP="00423928">
      <w:pPr>
        <w:pStyle w:val="Pismenka"/>
        <w:tabs>
          <w:tab w:val="clear" w:pos="426"/>
        </w:tabs>
        <w:spacing w:line="360" w:lineRule="auto"/>
        <w:ind w:left="0" w:firstLine="0"/>
        <w:rPr>
          <w:rFonts w:ascii="Book Antiqua" w:hAnsi="Book Antiqua" w:cs="Arial"/>
          <w:b w:val="0"/>
          <w:bCs w:val="0"/>
          <w:sz w:val="24"/>
          <w:szCs w:val="24"/>
        </w:rPr>
      </w:pPr>
    </w:p>
    <w:p w:rsidR="008C0026" w:rsidRDefault="008C0026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P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A7847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:rsidR="00A4312C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</w:t>
      </w:r>
      <w:r w:rsidR="00CE5157" w:rsidRPr="00402A07">
        <w:rPr>
          <w:rFonts w:ascii="Book Antiqua" w:hAnsi="Book Antiqua" w:cs="Arial"/>
          <w:b/>
          <w:sz w:val="24"/>
          <w:szCs w:val="24"/>
        </w:rPr>
        <w:t xml:space="preserve"> údajoch </w:t>
      </w:r>
      <w:r w:rsidR="00AA4068" w:rsidRPr="00402A07">
        <w:rPr>
          <w:rFonts w:ascii="Book Antiqua" w:hAnsi="Book Antiqua" w:cs="Arial"/>
          <w:b/>
          <w:sz w:val="24"/>
          <w:szCs w:val="24"/>
        </w:rPr>
        <w:t>aktív a pasív</w:t>
      </w:r>
    </w:p>
    <w:p w:rsidR="00A4312C" w:rsidRPr="00402A07" w:rsidRDefault="00B03240" w:rsidP="00B03240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Tabuľková časť tvorí samostatnú časť konsolidovaných poznámok</w:t>
      </w:r>
      <w:r w:rsidR="00167FE7">
        <w:rPr>
          <w:rFonts w:ascii="Book Antiqua" w:hAnsi="Book Antiqua" w:cs="Arial"/>
          <w:b/>
          <w:sz w:val="24"/>
          <w:szCs w:val="24"/>
        </w:rPr>
        <w:t>.</w:t>
      </w:r>
    </w:p>
    <w:sectPr w:rsidR="00A4312C" w:rsidRPr="00402A07" w:rsidSect="005E267B">
      <w:foot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1FD0" w:rsidRDefault="00201FD0">
      <w:r>
        <w:separator/>
      </w:r>
    </w:p>
  </w:endnote>
  <w:endnote w:type="continuationSeparator" w:id="0">
    <w:p w:rsidR="00201FD0" w:rsidRDefault="00201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4E04" w:rsidRDefault="00724CA1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F1F63">
      <w:rPr>
        <w:rStyle w:val="slostrany"/>
        <w:noProof/>
      </w:rPr>
      <w:t>2</w:t>
    </w:r>
    <w:r>
      <w:rPr>
        <w:rStyle w:val="slostrany"/>
      </w:rPr>
      <w:fldChar w:fldCharType="end"/>
    </w:r>
  </w:p>
  <w:p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1FD0" w:rsidRDefault="00201FD0">
      <w:r>
        <w:separator/>
      </w:r>
    </w:p>
  </w:footnote>
  <w:footnote w:type="continuationSeparator" w:id="0">
    <w:p w:rsidR="00201FD0" w:rsidRDefault="00201F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4"/>
  </w:num>
  <w:num w:numId="3">
    <w:abstractNumId w:val="36"/>
  </w:num>
  <w:num w:numId="4">
    <w:abstractNumId w:val="10"/>
  </w:num>
  <w:num w:numId="5">
    <w:abstractNumId w:val="37"/>
  </w:num>
  <w:num w:numId="6">
    <w:abstractNumId w:val="39"/>
  </w:num>
  <w:num w:numId="7">
    <w:abstractNumId w:val="27"/>
  </w:num>
  <w:num w:numId="8">
    <w:abstractNumId w:val="33"/>
  </w:num>
  <w:num w:numId="9">
    <w:abstractNumId w:val="16"/>
  </w:num>
  <w:num w:numId="10">
    <w:abstractNumId w:val="28"/>
  </w:num>
  <w:num w:numId="11">
    <w:abstractNumId w:val="7"/>
  </w:num>
  <w:num w:numId="12">
    <w:abstractNumId w:val="26"/>
  </w:num>
  <w:num w:numId="13">
    <w:abstractNumId w:val="41"/>
  </w:num>
  <w:num w:numId="14">
    <w:abstractNumId w:val="21"/>
  </w:num>
  <w:num w:numId="15">
    <w:abstractNumId w:val="22"/>
  </w:num>
  <w:num w:numId="16">
    <w:abstractNumId w:val="14"/>
  </w:num>
  <w:num w:numId="17">
    <w:abstractNumId w:val="35"/>
  </w:num>
  <w:num w:numId="18">
    <w:abstractNumId w:val="8"/>
  </w:num>
  <w:num w:numId="19">
    <w:abstractNumId w:val="5"/>
  </w:num>
  <w:num w:numId="20">
    <w:abstractNumId w:val="15"/>
  </w:num>
  <w:num w:numId="21">
    <w:abstractNumId w:val="4"/>
  </w:num>
  <w:num w:numId="22">
    <w:abstractNumId w:val="6"/>
  </w:num>
  <w:num w:numId="23">
    <w:abstractNumId w:val="29"/>
  </w:num>
  <w:num w:numId="24">
    <w:abstractNumId w:val="31"/>
  </w:num>
  <w:num w:numId="25">
    <w:abstractNumId w:val="23"/>
  </w:num>
  <w:num w:numId="26">
    <w:abstractNumId w:val="13"/>
  </w:num>
  <w:num w:numId="27">
    <w:abstractNumId w:val="20"/>
  </w:num>
  <w:num w:numId="28">
    <w:abstractNumId w:val="18"/>
  </w:num>
  <w:num w:numId="29">
    <w:abstractNumId w:val="32"/>
  </w:num>
  <w:num w:numId="30">
    <w:abstractNumId w:val="19"/>
  </w:num>
  <w:num w:numId="31">
    <w:abstractNumId w:val="0"/>
  </w:num>
  <w:num w:numId="32">
    <w:abstractNumId w:val="43"/>
  </w:num>
  <w:num w:numId="33">
    <w:abstractNumId w:val="17"/>
  </w:num>
  <w:num w:numId="34">
    <w:abstractNumId w:val="24"/>
  </w:num>
  <w:num w:numId="35">
    <w:abstractNumId w:val="25"/>
  </w:num>
  <w:num w:numId="36">
    <w:abstractNumId w:val="40"/>
  </w:num>
  <w:num w:numId="37">
    <w:abstractNumId w:val="2"/>
  </w:num>
  <w:num w:numId="38">
    <w:abstractNumId w:val="12"/>
  </w:num>
  <w:num w:numId="39">
    <w:abstractNumId w:val="3"/>
  </w:num>
  <w:num w:numId="40">
    <w:abstractNumId w:val="44"/>
  </w:num>
  <w:num w:numId="41">
    <w:abstractNumId w:val="11"/>
  </w:num>
  <w:num w:numId="42">
    <w:abstractNumId w:val="42"/>
  </w:num>
  <w:num w:numId="43">
    <w:abstractNumId w:val="9"/>
  </w:num>
  <w:num w:numId="44">
    <w:abstractNumId w:val="1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3D36"/>
    <w:rsid w:val="00124BD6"/>
    <w:rsid w:val="00125D41"/>
    <w:rsid w:val="00127D4E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67FE7"/>
    <w:rsid w:val="00170501"/>
    <w:rsid w:val="001705EA"/>
    <w:rsid w:val="001709BA"/>
    <w:rsid w:val="001720E9"/>
    <w:rsid w:val="001723AD"/>
    <w:rsid w:val="00175773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B6A2D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1FD0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2732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1E33"/>
    <w:rsid w:val="00333251"/>
    <w:rsid w:val="00333362"/>
    <w:rsid w:val="00333C87"/>
    <w:rsid w:val="003347AA"/>
    <w:rsid w:val="00336878"/>
    <w:rsid w:val="00341E27"/>
    <w:rsid w:val="003443F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2681"/>
    <w:rsid w:val="00376BFB"/>
    <w:rsid w:val="00381316"/>
    <w:rsid w:val="00385410"/>
    <w:rsid w:val="003917EC"/>
    <w:rsid w:val="0039293C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39AC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35D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0DBF"/>
    <w:rsid w:val="005E267B"/>
    <w:rsid w:val="005E604C"/>
    <w:rsid w:val="005E65C1"/>
    <w:rsid w:val="005E6FE5"/>
    <w:rsid w:val="005F08B2"/>
    <w:rsid w:val="005F26FF"/>
    <w:rsid w:val="005F3319"/>
    <w:rsid w:val="005F4B86"/>
    <w:rsid w:val="005F57EC"/>
    <w:rsid w:val="0060016B"/>
    <w:rsid w:val="0060029C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0F10"/>
    <w:rsid w:val="006617F2"/>
    <w:rsid w:val="00671BD2"/>
    <w:rsid w:val="00672250"/>
    <w:rsid w:val="00674275"/>
    <w:rsid w:val="006753AF"/>
    <w:rsid w:val="006779A5"/>
    <w:rsid w:val="006807C7"/>
    <w:rsid w:val="00683161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4CA1"/>
    <w:rsid w:val="007259D1"/>
    <w:rsid w:val="007329A6"/>
    <w:rsid w:val="00732C9E"/>
    <w:rsid w:val="0073401C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C5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06559"/>
    <w:rsid w:val="008115A5"/>
    <w:rsid w:val="00816472"/>
    <w:rsid w:val="008174B1"/>
    <w:rsid w:val="008207DB"/>
    <w:rsid w:val="00820A65"/>
    <w:rsid w:val="00823407"/>
    <w:rsid w:val="00824036"/>
    <w:rsid w:val="00825BD8"/>
    <w:rsid w:val="00825CC1"/>
    <w:rsid w:val="00826E49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57D9"/>
    <w:rsid w:val="00925ACD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33C9"/>
    <w:rsid w:val="009D58CC"/>
    <w:rsid w:val="009D68B1"/>
    <w:rsid w:val="009E32B8"/>
    <w:rsid w:val="009E3B89"/>
    <w:rsid w:val="009E4113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5F57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5396"/>
    <w:rsid w:val="00A266CE"/>
    <w:rsid w:val="00A303D3"/>
    <w:rsid w:val="00A30C8D"/>
    <w:rsid w:val="00A32C6E"/>
    <w:rsid w:val="00A346FF"/>
    <w:rsid w:val="00A348A0"/>
    <w:rsid w:val="00A35AF8"/>
    <w:rsid w:val="00A36D89"/>
    <w:rsid w:val="00A409EA"/>
    <w:rsid w:val="00A40E1F"/>
    <w:rsid w:val="00A40FFC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3B16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0D7A"/>
    <w:rsid w:val="00B01E4E"/>
    <w:rsid w:val="00B031CD"/>
    <w:rsid w:val="00B03240"/>
    <w:rsid w:val="00B077B5"/>
    <w:rsid w:val="00B117F1"/>
    <w:rsid w:val="00B120E5"/>
    <w:rsid w:val="00B17B7E"/>
    <w:rsid w:val="00B20C9B"/>
    <w:rsid w:val="00B21289"/>
    <w:rsid w:val="00B2557D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C01347"/>
    <w:rsid w:val="00C013C4"/>
    <w:rsid w:val="00C015F7"/>
    <w:rsid w:val="00C039B9"/>
    <w:rsid w:val="00C0439A"/>
    <w:rsid w:val="00C04D62"/>
    <w:rsid w:val="00C067CC"/>
    <w:rsid w:val="00C11500"/>
    <w:rsid w:val="00C122A6"/>
    <w:rsid w:val="00C1333F"/>
    <w:rsid w:val="00C15453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1CEF"/>
    <w:rsid w:val="00C720C1"/>
    <w:rsid w:val="00C723D8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A069F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D7F42"/>
    <w:rsid w:val="00CE0413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6825"/>
    <w:rsid w:val="00D3728E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3DDC"/>
    <w:rsid w:val="00F17EDB"/>
    <w:rsid w:val="00F211C7"/>
    <w:rsid w:val="00F229A2"/>
    <w:rsid w:val="00F22BC0"/>
    <w:rsid w:val="00F257E8"/>
    <w:rsid w:val="00F25BED"/>
    <w:rsid w:val="00F279C1"/>
    <w:rsid w:val="00F27A1A"/>
    <w:rsid w:val="00F312D4"/>
    <w:rsid w:val="00F33BDC"/>
    <w:rsid w:val="00F33E67"/>
    <w:rsid w:val="00F34A7F"/>
    <w:rsid w:val="00F35032"/>
    <w:rsid w:val="00F36039"/>
    <w:rsid w:val="00F37249"/>
    <w:rsid w:val="00F40BBB"/>
    <w:rsid w:val="00F40F12"/>
    <w:rsid w:val="00F50023"/>
    <w:rsid w:val="00F5287C"/>
    <w:rsid w:val="00F52EF8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1F63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525205"/>
  <w15:docId w15:val="{A48668F9-9B89-4489-8C89-C12549D6E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855</Words>
  <Characters>4876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5720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homolova</cp:lastModifiedBy>
  <cp:revision>14</cp:revision>
  <cp:lastPrinted>2015-06-15T11:17:00Z</cp:lastPrinted>
  <dcterms:created xsi:type="dcterms:W3CDTF">2019-06-14T08:11:00Z</dcterms:created>
  <dcterms:modified xsi:type="dcterms:W3CDTF">2024-06-17T07:49:00Z</dcterms:modified>
</cp:coreProperties>
</file>