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303F" w:rsidRDefault="00DE303F" w:rsidP="00DE303F">
      <w:pPr>
        <w:pStyle w:val="Default"/>
      </w:pPr>
    </w:p>
    <w:p w:rsidR="00DE303F" w:rsidRDefault="00DE303F" w:rsidP="00DE303F">
      <w:pPr>
        <w:pStyle w:val="Default"/>
        <w:rPr>
          <w:sz w:val="22"/>
          <w:szCs w:val="22"/>
        </w:rPr>
      </w:pPr>
      <w:r>
        <w:t xml:space="preserve"> </w:t>
      </w:r>
      <w:r>
        <w:rPr>
          <w:b/>
          <w:bCs/>
          <w:sz w:val="22"/>
          <w:szCs w:val="22"/>
        </w:rPr>
        <w:t xml:space="preserve">Čl. I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Všeobecné informácie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1. Obchodné meno a sídlo spoločnosti </w:t>
      </w:r>
    </w:p>
    <w:p w:rsidR="00DE303F" w:rsidRDefault="00DE303F" w:rsidP="00DE303F">
      <w:pPr>
        <w:pStyle w:val="Default"/>
        <w:rPr>
          <w:sz w:val="22"/>
          <w:szCs w:val="22"/>
        </w:rPr>
      </w:pP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SERVIAT,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Špitálska 7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814 92 Bratislava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proofErr w:type="spellStart"/>
      <w:r>
        <w:rPr>
          <w:sz w:val="22"/>
          <w:szCs w:val="22"/>
        </w:rPr>
        <w:t>Serviat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.( ďalej len „Spoločnosť“) bola založená zakladateľskou listinou zo dňa 16.7.2014 v zmysle §§105-153 Zák. č. 513/1991 Zb. v znení neskorších predpisov. Do obchodného registra bola zapísaná 13.8.2014 (Obchodný register Okresného súdu v Bratislave I., oddiel: </w:t>
      </w:r>
      <w:proofErr w:type="spellStart"/>
      <w:r>
        <w:rPr>
          <w:sz w:val="22"/>
          <w:szCs w:val="22"/>
        </w:rPr>
        <w:t>Sro</w:t>
      </w:r>
      <w:proofErr w:type="spellEnd"/>
      <w:r>
        <w:rPr>
          <w:sz w:val="22"/>
          <w:szCs w:val="22"/>
        </w:rPr>
        <w:t xml:space="preserve">, vložka číslo 100054/B).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Hlavné činnosti Spoločnosti podľa výpisu z obchodného registra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Ubytovacie služby bez poskytovania pohostinských činností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Prenájom nehnuteľností spojený s poskytovaním iných než základných služieb spojených s prenájmom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Prenájom hnuteľných vecí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Kúpa tovaru na účely jeho predaja konečnému spotrebiteľovi ( maloobchod) alebo iným prevádzkovateľom živnosti ( veľkoobchod)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Sprostredkovateľská činnosť v oblasti služieb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Sprostredkovateľská činnosti v oblasti obchodu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Reklamné a marketingové služby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Počítačové služby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Administratívne služby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Vedenie účtovníctva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Organizovanie kultúrnych a iných spoločenských podujatí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Činnosť podnikateľských, organizačných a ekonomických poradcov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Poskytovanie služieb v poľnohospodárstve a záhradníctve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Poskytovanie služieb v lesníctve a poľovníctve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Prípravné práce k realizácii stavby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Uskutočňovanie stavieb a ich zmien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Dokončovacie stavebné práce pri realizácii exteriérov a interiérov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Čistiace a upratovacie služby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Poľnohospodárstvo a lesníctvo vrátane predaja nespracovaných poľnohospodárskych a lesných výrobkov za účelom spracovania, alebo ďalšieho predaja </w:t>
      </w:r>
    </w:p>
    <w:p w:rsidR="00DE303F" w:rsidRDefault="00DE303F" w:rsidP="00DE303F">
      <w:pPr>
        <w:pStyle w:val="Default"/>
        <w:rPr>
          <w:sz w:val="22"/>
          <w:szCs w:val="22"/>
        </w:rPr>
      </w:pP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prevádzkuje študentský internát a poskytuje ubytovanie zamestnancom.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2. Účtovná závierka za bezprostredne predchádzajúce účtovné obdobie bola schválená </w:t>
      </w:r>
      <w:r>
        <w:rPr>
          <w:sz w:val="22"/>
          <w:szCs w:val="22"/>
        </w:rPr>
        <w:t>3</w:t>
      </w:r>
      <w:r>
        <w:rPr>
          <w:sz w:val="22"/>
          <w:szCs w:val="22"/>
        </w:rPr>
        <w:t>0.6.202</w:t>
      </w:r>
      <w:r>
        <w:rPr>
          <w:sz w:val="22"/>
          <w:szCs w:val="22"/>
        </w:rPr>
        <w:t>3</w:t>
      </w:r>
      <w:r>
        <w:rPr>
          <w:sz w:val="22"/>
          <w:szCs w:val="22"/>
        </w:rPr>
        <w:t xml:space="preserve"> príslušným orgánom účtovnej jednotky.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>3. Účtovná závierka Spoločnosti je zostavená ako riadna účtovná závierka podľa §17 ods. 6 zákona NR SR č.431/2002 z. z. o účtovníctve ( ďalej len zákon o účtovníctve) za účtovné obdobie od 1.1.202</w:t>
      </w:r>
      <w:r>
        <w:rPr>
          <w:sz w:val="22"/>
          <w:szCs w:val="22"/>
        </w:rPr>
        <w:t>3</w:t>
      </w:r>
      <w:r>
        <w:rPr>
          <w:sz w:val="22"/>
          <w:szCs w:val="22"/>
        </w:rPr>
        <w:t xml:space="preserve"> do 31.12.202</w:t>
      </w:r>
      <w:r>
        <w:rPr>
          <w:sz w:val="22"/>
          <w:szCs w:val="22"/>
        </w:rPr>
        <w:t>3</w:t>
      </w:r>
      <w:r>
        <w:rPr>
          <w:sz w:val="22"/>
          <w:szCs w:val="22"/>
        </w:rPr>
        <w:t xml:space="preserve">.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>4. Údaje o skupine účtovných jednotiek : účtovná jednotka nemá náplň pre túto položku</w:t>
      </w:r>
      <w:r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>5. Priemerný prepočítaný počet zamestnancov : účtovná jednotka zamestnáva 31.12.202</w:t>
      </w:r>
      <w:r>
        <w:rPr>
          <w:sz w:val="22"/>
          <w:szCs w:val="22"/>
        </w:rPr>
        <w:t>3</w:t>
      </w:r>
      <w:r>
        <w:rPr>
          <w:sz w:val="22"/>
          <w:szCs w:val="22"/>
        </w:rPr>
        <w:t xml:space="preserve"> 16 zamestnancov. </w:t>
      </w:r>
    </w:p>
    <w:p w:rsidR="00DE303F" w:rsidRDefault="00DE303F" w:rsidP="00DE303F">
      <w:pPr>
        <w:pStyle w:val="Default"/>
        <w:rPr>
          <w:sz w:val="22"/>
          <w:szCs w:val="22"/>
        </w:rPr>
      </w:pPr>
    </w:p>
    <w:p w:rsidR="00DE303F" w:rsidRDefault="00DE303F" w:rsidP="00DE303F">
      <w:pPr>
        <w:pStyle w:val="Default"/>
        <w:pageBreakBefore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lastRenderedPageBreak/>
        <w:t>Čl.II</w:t>
      </w:r>
      <w:proofErr w:type="spellEnd"/>
      <w:r>
        <w:rPr>
          <w:b/>
          <w:bCs/>
          <w:sz w:val="22"/>
          <w:szCs w:val="22"/>
        </w:rPr>
        <w:t xml:space="preserve">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Informácie o orgánoch spoločnosti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neposkytla žiadne záruky ani iné zabezpečenia pre členov štatutárneho orgánu, dozorného orgánu.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neposkytla žiadne pôžičky poskytnuté pre členov štatutárneho orgánu, dozorného orgánu. </w:t>
      </w:r>
    </w:p>
    <w:p w:rsidR="00DE303F" w:rsidRDefault="00DE303F" w:rsidP="00DE303F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Čl.III</w:t>
      </w:r>
      <w:proofErr w:type="spellEnd"/>
      <w:r>
        <w:rPr>
          <w:b/>
          <w:bCs/>
          <w:sz w:val="22"/>
          <w:szCs w:val="22"/>
        </w:rPr>
        <w:t xml:space="preserve">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Informácie o prijatých postupoch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1. Účtovná závierka je zostavená za predpokladu nepretržitého pokračovania vo svojej činnosti.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2. Účtovná jednotka aplikuje účtovné zásady a metódy v rámci platného zákona o účtovníctve .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3. Účtovná jednotka nemá transakcie, ktoré sa neuvádzajú v súvahe.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4. Účtovná jednotka oceňuje majetok a záväzky obstarávacou cenou a menovitou hodnotou. </w:t>
      </w:r>
    </w:p>
    <w:p w:rsidR="00C94B49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5. Oprava významných chýb minulých účtovných období účtovaných v bežnom účtovnom období : </w:t>
      </w:r>
    </w:p>
    <w:p w:rsidR="00DE303F" w:rsidRDefault="00C94B49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-</w:t>
      </w:r>
      <w:r w:rsidR="00DE303F">
        <w:rPr>
          <w:sz w:val="22"/>
          <w:szCs w:val="22"/>
        </w:rPr>
        <w:t xml:space="preserve">účtovná jednotka </w:t>
      </w:r>
      <w:r>
        <w:rPr>
          <w:sz w:val="22"/>
          <w:szCs w:val="22"/>
        </w:rPr>
        <w:t>na účet zaúčtovala faktúru za prenájom pozemku z r. 2017 VS1701327 vo výške 30 000 €</w:t>
      </w:r>
      <w:r w:rsidR="00DE303F">
        <w:rPr>
          <w:sz w:val="22"/>
          <w:szCs w:val="22"/>
        </w:rPr>
        <w:t>.</w:t>
      </w:r>
      <w:r>
        <w:rPr>
          <w:sz w:val="22"/>
          <w:szCs w:val="22"/>
        </w:rPr>
        <w:t xml:space="preserve"> Uvedená suma , pretože nebola uhradená, nikdy nebola zahrnutá v</w:t>
      </w:r>
      <w:r w:rsidR="00176F9B">
        <w:rPr>
          <w:sz w:val="22"/>
          <w:szCs w:val="22"/>
        </w:rPr>
        <w:t> daňových výdavkoch.</w:t>
      </w:r>
      <w:r>
        <w:rPr>
          <w:sz w:val="22"/>
          <w:szCs w:val="22"/>
        </w:rPr>
        <w:t xml:space="preserve"> </w:t>
      </w:r>
      <w:r w:rsidR="00DE303F">
        <w:rPr>
          <w:sz w:val="22"/>
          <w:szCs w:val="22"/>
        </w:rPr>
        <w:t xml:space="preserve"> </w:t>
      </w:r>
    </w:p>
    <w:p w:rsidR="00DE303F" w:rsidRDefault="00DE303F" w:rsidP="00DE303F">
      <w:pPr>
        <w:pStyle w:val="Default"/>
        <w:rPr>
          <w:sz w:val="22"/>
          <w:szCs w:val="22"/>
        </w:rPr>
      </w:pPr>
    </w:p>
    <w:p w:rsidR="00DE303F" w:rsidRDefault="00DE303F" w:rsidP="00DE303F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Čl.IV</w:t>
      </w:r>
      <w:proofErr w:type="spellEnd"/>
      <w:r>
        <w:rPr>
          <w:b/>
          <w:bCs/>
          <w:sz w:val="22"/>
          <w:szCs w:val="22"/>
        </w:rPr>
        <w:t xml:space="preserve">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Informácie, ktoré vysvetľujú a dopĺňajú súvahu a výkaz ziskov a strát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1. </w:t>
      </w:r>
      <w:proofErr w:type="spellStart"/>
      <w:r>
        <w:rPr>
          <w:sz w:val="22"/>
          <w:szCs w:val="22"/>
        </w:rPr>
        <w:t>Goodwill</w:t>
      </w:r>
      <w:proofErr w:type="spellEnd"/>
      <w:r>
        <w:rPr>
          <w:sz w:val="22"/>
          <w:szCs w:val="22"/>
        </w:rPr>
        <w:t xml:space="preserve">/ záporný </w:t>
      </w:r>
      <w:proofErr w:type="spellStart"/>
      <w:r>
        <w:rPr>
          <w:sz w:val="22"/>
          <w:szCs w:val="22"/>
        </w:rPr>
        <w:t>gootwill</w:t>
      </w:r>
      <w:proofErr w:type="spellEnd"/>
      <w:r>
        <w:rPr>
          <w:sz w:val="22"/>
          <w:szCs w:val="22"/>
        </w:rPr>
        <w:t xml:space="preserve"> : účtovná jednotka nemá náplň pre túto položku.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2. Informácia o významných položkách derivátov, majetku a záväzkoch: účtovná jednotka nemá náplň pre túto položku.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3. Informácie o záväzkoch: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a) Účtovná jednotka nemá záväzky so zostatkovou dobou splatnosti viac ako päť rokov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b) Účtovná jednotka nemá zabezpečené záväzky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4. Informácie o vlastných akciách : účtovná jednotka nemá náplň pre túto položku 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>6. Informácia o dôvodoch vzniku nákladov, alebo výnosov, ktoré majú výnimočný rozsah alebo výskyt: účtovná jednotka nemá náplň pre túto položku</w:t>
      </w:r>
      <w:bookmarkStart w:id="0" w:name="_GoBack"/>
      <w:bookmarkEnd w:id="0"/>
      <w:r>
        <w:rPr>
          <w:sz w:val="22"/>
          <w:szCs w:val="22"/>
        </w:rPr>
        <w:t xml:space="preserve">. </w:t>
      </w:r>
    </w:p>
    <w:p w:rsidR="00DE303F" w:rsidRDefault="00DE303F" w:rsidP="00DE303F">
      <w:pPr>
        <w:pStyle w:val="Default"/>
        <w:rPr>
          <w:sz w:val="22"/>
          <w:szCs w:val="22"/>
        </w:rPr>
      </w:pPr>
    </w:p>
    <w:p w:rsidR="00DE303F" w:rsidRDefault="00DE303F" w:rsidP="00DE303F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Čl.V</w:t>
      </w:r>
      <w:proofErr w:type="spellEnd"/>
      <w:r>
        <w:rPr>
          <w:b/>
          <w:bCs/>
          <w:sz w:val="22"/>
          <w:szCs w:val="22"/>
        </w:rPr>
        <w:t xml:space="preserve">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Informácie o iných aktivitách a iných pasívach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1. Iné aktíva a iné pasíva: účtovná jednotka nemá náplň pre túto položku.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2. Významné položky ostatných finančných povinností: účtovná jednotka nemá náplň pre túto položku.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3. Skutočnosti sledované na podsúvahových účtoch: účtovná jednotka nemá náplň pre túto položku. </w:t>
      </w:r>
    </w:p>
    <w:p w:rsidR="00DE303F" w:rsidRDefault="00DE303F" w:rsidP="00DE303F">
      <w:pPr>
        <w:pStyle w:val="Default"/>
        <w:rPr>
          <w:sz w:val="22"/>
          <w:szCs w:val="22"/>
        </w:rPr>
      </w:pP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Čl.VI.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Udalosti, ktoré nastali po dni ku ktorému sa zostavuje účtovná závierka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Informácie o charaktere a finančnom vplyve významných udalostí, ktoré nastali po dni, ku ktorému sa zostavuje účtovná závierka do dňa zostavenia účtovnej závierky a ktoré nie sú zohľadnené v súvahe alebo vo výkaze ziskov a strát: účtovná jednotka nemá náplň pre túto položku. </w:t>
      </w:r>
    </w:p>
    <w:p w:rsidR="00DE303F" w:rsidRDefault="00DE303F" w:rsidP="00DE303F">
      <w:pPr>
        <w:pStyle w:val="Default"/>
        <w:pageBreakBefore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lastRenderedPageBreak/>
        <w:t>Čl.VII</w:t>
      </w:r>
      <w:proofErr w:type="spellEnd"/>
      <w:r>
        <w:rPr>
          <w:b/>
          <w:bCs/>
          <w:sz w:val="22"/>
          <w:szCs w:val="22"/>
        </w:rPr>
        <w:t xml:space="preserve">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Ostatné informácie </w:t>
      </w:r>
    </w:p>
    <w:p w:rsidR="00DE303F" w:rsidRDefault="00DE303F" w:rsidP="00DE303F">
      <w:pPr>
        <w:pStyle w:val="Default"/>
        <w:spacing w:after="17"/>
        <w:rPr>
          <w:sz w:val="22"/>
          <w:szCs w:val="22"/>
        </w:rPr>
      </w:pPr>
      <w:r>
        <w:rPr>
          <w:sz w:val="22"/>
          <w:szCs w:val="22"/>
        </w:rPr>
        <w:t>1. Informácia o udelení výlučného práva alebo osobitného práva, ktorým sa udelilo právo poskytovať služby vo verejnom záujme : účtovná jednotka nemá náplň pre túto položku</w:t>
      </w:r>
      <w:r w:rsidR="00176F9B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DE303F" w:rsidRDefault="00DE303F" w:rsidP="00DE303F">
      <w:pPr>
        <w:pStyle w:val="Default"/>
        <w:spacing w:after="17"/>
        <w:rPr>
          <w:sz w:val="22"/>
          <w:szCs w:val="22"/>
        </w:rPr>
      </w:pPr>
      <w:r>
        <w:rPr>
          <w:sz w:val="22"/>
          <w:szCs w:val="22"/>
        </w:rPr>
        <w:t xml:space="preserve">2. Účtovná jednotka nie je účtovnou jednotkou, na ktorú sa vzťahuje §23d ods.6 zákona o účtovníctve – pre informáciu o základnom imaní, cenných papieroch, výške dotácií, prijatých úveroch, poskytnutých zárukách, vyplatených dividendách, a iných formách štátnej pomoci.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3. Účtovná jednotka nie je účtovnou jednotkou, na ktorú sa vzťahuje §23d ods.6 zákona o účtovníctve – pre informáciu o finančných vzťahoch </w:t>
      </w:r>
      <w:r w:rsidR="00176F9B">
        <w:rPr>
          <w:sz w:val="22"/>
          <w:szCs w:val="22"/>
        </w:rPr>
        <w:t>.</w:t>
      </w:r>
    </w:p>
    <w:p w:rsidR="00D43543" w:rsidRPr="00D43543" w:rsidRDefault="00D43543" w:rsidP="00D43543"/>
    <w:sectPr w:rsidR="00D43543" w:rsidRPr="00D43543" w:rsidSect="007432FA">
      <w:pgSz w:w="11906" w:h="17338"/>
      <w:pgMar w:top="1849" w:right="1205" w:bottom="1401" w:left="1602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Bitter">
    <w:panose1 w:val="00000000000000000000"/>
    <w:charset w:val="EE"/>
    <w:family w:val="auto"/>
    <w:pitch w:val="variable"/>
    <w:sig w:usb0="A00002FF" w:usb1="400020FB" w:usb2="00000000" w:usb3="00000000" w:csb0="00000197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itter Light">
    <w:panose1 w:val="00000000000000000000"/>
    <w:charset w:val="EE"/>
    <w:family w:val="auto"/>
    <w:pitch w:val="variable"/>
    <w:sig w:usb0="A00002FF" w:usb1="400020FB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303F"/>
    <w:rsid w:val="00176F9B"/>
    <w:rsid w:val="004201CF"/>
    <w:rsid w:val="00630476"/>
    <w:rsid w:val="00AF61E6"/>
    <w:rsid w:val="00C94B49"/>
    <w:rsid w:val="00D43543"/>
    <w:rsid w:val="00DE3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0A78D5"/>
  <w15:chartTrackingRefBased/>
  <w15:docId w15:val="{D94383CA-985C-4056-996D-835CD6D6F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Bitter" w:eastAsiaTheme="minorHAnsi" w:hAnsi="Bitter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43543"/>
    <w:pPr>
      <w:spacing w:after="120"/>
    </w:pPr>
  </w:style>
  <w:style w:type="paragraph" w:styleId="Nadpis1">
    <w:name w:val="heading 1"/>
    <w:basedOn w:val="Normlny"/>
    <w:next w:val="Normlny"/>
    <w:link w:val="Nadpis1Char"/>
    <w:uiPriority w:val="9"/>
    <w:qFormat/>
    <w:rsid w:val="00AF61E6"/>
    <w:pPr>
      <w:keepNext/>
      <w:keepLines/>
      <w:spacing w:before="240" w:after="0"/>
      <w:outlineLvl w:val="0"/>
    </w:pPr>
    <w:rPr>
      <w:rFonts w:eastAsiaTheme="majorEastAsia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AF61E6"/>
    <w:pPr>
      <w:keepNext/>
      <w:keepLines/>
      <w:spacing w:before="40" w:after="0"/>
      <w:outlineLvl w:val="1"/>
    </w:pPr>
    <w:rPr>
      <w:rFonts w:eastAsiaTheme="majorEastAsia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AF61E6"/>
    <w:pPr>
      <w:keepNext/>
      <w:keepLines/>
      <w:spacing w:before="40" w:after="0"/>
      <w:outlineLvl w:val="2"/>
    </w:pPr>
    <w:rPr>
      <w:rFonts w:eastAsiaTheme="majorEastAsia" w:cstheme="majorBidi"/>
      <w:color w:val="1F3763" w:themeColor="accent1" w:themeShade="7F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AF61E6"/>
    <w:pPr>
      <w:keepNext/>
      <w:keepLines/>
      <w:spacing w:before="40" w:after="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AF61E6"/>
    <w:pPr>
      <w:keepNext/>
      <w:keepLines/>
      <w:spacing w:before="40" w:after="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AF61E6"/>
    <w:pPr>
      <w:keepNext/>
      <w:keepLines/>
      <w:spacing w:before="40" w:after="0"/>
      <w:outlineLvl w:val="5"/>
    </w:pPr>
    <w:rPr>
      <w:rFonts w:ascii="Bitter Light" w:eastAsiaTheme="majorEastAsia" w:hAnsi="Bitter Light" w:cstheme="majorBidi"/>
      <w:color w:val="1F3763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AF61E6"/>
    <w:pPr>
      <w:keepNext/>
      <w:keepLines/>
      <w:spacing w:before="40" w:after="0"/>
      <w:outlineLvl w:val="6"/>
    </w:pPr>
    <w:rPr>
      <w:rFonts w:ascii="Bitter Light" w:eastAsiaTheme="majorEastAsia" w:hAnsi="Bitter Light" w:cstheme="majorBidi"/>
      <w:i/>
      <w:iCs/>
      <w:color w:val="1F3763" w:themeColor="accent1" w:themeShade="7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AF61E6"/>
    <w:pPr>
      <w:keepNext/>
      <w:keepLines/>
      <w:spacing w:before="40" w:after="0"/>
      <w:outlineLvl w:val="7"/>
    </w:pPr>
    <w:rPr>
      <w:rFonts w:ascii="Bitter Light" w:eastAsiaTheme="majorEastAsia" w:hAnsi="Bitter Light" w:cstheme="majorBidi"/>
      <w:color w:val="272727" w:themeColor="text1" w:themeTint="D8"/>
      <w:szCs w:val="21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AF61E6"/>
    <w:pPr>
      <w:keepNext/>
      <w:keepLines/>
      <w:spacing w:before="40" w:after="0"/>
      <w:outlineLvl w:val="8"/>
    </w:pPr>
    <w:rPr>
      <w:rFonts w:ascii="Bitter Light" w:eastAsiaTheme="majorEastAsia" w:hAnsi="Bitter Light" w:cstheme="majorBidi"/>
      <w:i/>
      <w:iCs/>
      <w:color w:val="272727" w:themeColor="text1" w:themeTint="D8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F61E6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AF61E6"/>
    <w:rPr>
      <w:rFonts w:eastAsiaTheme="majorEastAsia" w:cstheme="majorBidi"/>
      <w:color w:val="2F5496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AF61E6"/>
    <w:rPr>
      <w:rFonts w:eastAsiaTheme="majorEastAsia" w:cstheme="majorBidi"/>
      <w:color w:val="2F5496" w:themeColor="accent1" w:themeShade="BF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AF61E6"/>
    <w:rPr>
      <w:rFonts w:eastAsiaTheme="majorEastAsia" w:cstheme="majorBidi"/>
      <w:color w:val="1F3763" w:themeColor="accent1" w:themeShade="7F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rsid w:val="00AF61E6"/>
    <w:rPr>
      <w:rFonts w:eastAsiaTheme="majorEastAsia" w:cstheme="majorBidi"/>
      <w:i/>
      <w:iCs/>
      <w:color w:val="2F5496" w:themeColor="accent1" w:themeShade="BF"/>
    </w:rPr>
  </w:style>
  <w:style w:type="paragraph" w:styleId="Nzov">
    <w:name w:val="Title"/>
    <w:basedOn w:val="Normlny"/>
    <w:next w:val="Normlny"/>
    <w:link w:val="NzovChar"/>
    <w:uiPriority w:val="10"/>
    <w:qFormat/>
    <w:rsid w:val="00AF61E6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F61E6"/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adpis5Char">
    <w:name w:val="Nadpis 5 Char"/>
    <w:basedOn w:val="Predvolenpsmoodseku"/>
    <w:link w:val="Nadpis5"/>
    <w:uiPriority w:val="9"/>
    <w:rsid w:val="00AF61E6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rsid w:val="00AF61E6"/>
    <w:rPr>
      <w:rFonts w:ascii="Bitter Light" w:eastAsiaTheme="majorEastAsia" w:hAnsi="Bitter Light" w:cstheme="majorBidi"/>
      <w:color w:val="1F3763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rsid w:val="00AF61E6"/>
    <w:rPr>
      <w:rFonts w:ascii="Bitter Light" w:eastAsiaTheme="majorEastAsia" w:hAnsi="Bitter Light" w:cstheme="majorBidi"/>
      <w:i/>
      <w:iCs/>
      <w:color w:val="1F3763" w:themeColor="accent1" w:themeShade="7F"/>
    </w:rPr>
  </w:style>
  <w:style w:type="character" w:customStyle="1" w:styleId="Nadpis8Char">
    <w:name w:val="Nadpis 8 Char"/>
    <w:basedOn w:val="Predvolenpsmoodseku"/>
    <w:link w:val="Nadpis8"/>
    <w:uiPriority w:val="9"/>
    <w:rsid w:val="00AF61E6"/>
    <w:rPr>
      <w:rFonts w:ascii="Bitter Light" w:eastAsiaTheme="majorEastAsia" w:hAnsi="Bitter Light" w:cstheme="majorBidi"/>
      <w:color w:val="272727" w:themeColor="text1" w:themeTint="D8"/>
      <w:szCs w:val="21"/>
    </w:rPr>
  </w:style>
  <w:style w:type="character" w:customStyle="1" w:styleId="Nadpis9Char">
    <w:name w:val="Nadpis 9 Char"/>
    <w:basedOn w:val="Predvolenpsmoodseku"/>
    <w:link w:val="Nadpis9"/>
    <w:uiPriority w:val="9"/>
    <w:rsid w:val="00AF61E6"/>
    <w:rPr>
      <w:rFonts w:ascii="Bitter Light" w:eastAsiaTheme="majorEastAsia" w:hAnsi="Bitter Light" w:cstheme="majorBidi"/>
      <w:i/>
      <w:iCs/>
      <w:color w:val="272727" w:themeColor="text1" w:themeTint="D8"/>
      <w:szCs w:val="21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61E6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AF61E6"/>
    <w:rPr>
      <w:rFonts w:eastAsiaTheme="minorEastAsia"/>
      <w:color w:val="5A5A5A" w:themeColor="text1" w:themeTint="A5"/>
      <w:spacing w:val="15"/>
    </w:rPr>
  </w:style>
  <w:style w:type="character" w:styleId="Jemnzvraznenie">
    <w:name w:val="Subtle Emphasis"/>
    <w:basedOn w:val="Predvolenpsmoodseku"/>
    <w:uiPriority w:val="19"/>
    <w:qFormat/>
    <w:rsid w:val="00AF61E6"/>
    <w:rPr>
      <w:i/>
      <w:iCs/>
      <w:color w:val="404040" w:themeColor="text1" w:themeTint="BF"/>
    </w:rPr>
  </w:style>
  <w:style w:type="paragraph" w:customStyle="1" w:styleId="Default">
    <w:name w:val="Default"/>
    <w:rsid w:val="00DE303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3</Pages>
  <Words>758</Words>
  <Characters>4327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2024-06-24T07:05:00Z</dcterms:created>
  <dcterms:modified xsi:type="dcterms:W3CDTF">2024-06-24T07:40:00Z</dcterms:modified>
</cp:coreProperties>
</file>