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E0E00" w14:textId="7E612F5C" w:rsidR="00B82B36" w:rsidRDefault="00243917">
      <w:pPr>
        <w:pStyle w:val="Standard"/>
        <w:keepNext/>
        <w:spacing w:line="240" w:lineRule="exact"/>
        <w:jc w:val="center"/>
        <w:rPr>
          <w:rFonts w:eastAsia="Times New Roman" w:cs="Times New Roman"/>
          <w:b/>
          <w:color w:val="00000A"/>
          <w:sz w:val="32"/>
          <w:vertAlign w:val="subscript"/>
        </w:rPr>
      </w:pPr>
      <w:r>
        <w:rPr>
          <w:rFonts w:eastAsia="Times New Roman" w:cs="Times New Roman"/>
          <w:b/>
          <w:color w:val="00000A"/>
          <w:sz w:val="32"/>
          <w:vertAlign w:val="subscript"/>
        </w:rPr>
        <w:t xml:space="preserve">IČO  </w:t>
      </w:r>
      <w:r w:rsidR="002D0572">
        <w:rPr>
          <w:rFonts w:eastAsia="Times New Roman" w:cs="Times New Roman"/>
          <w:b/>
          <w:color w:val="00000A"/>
          <w:sz w:val="32"/>
          <w:vertAlign w:val="subscript"/>
        </w:rPr>
        <w:t>45611645</w:t>
      </w:r>
      <w:r w:rsidR="00EC3348">
        <w:rPr>
          <w:rFonts w:eastAsia="Times New Roman" w:cs="Times New Roman"/>
          <w:b/>
          <w:color w:val="00000A"/>
          <w:sz w:val="32"/>
          <w:vertAlign w:val="subscript"/>
        </w:rPr>
        <w:t xml:space="preserve"> </w:t>
      </w:r>
      <w:r>
        <w:rPr>
          <w:rFonts w:eastAsia="Times New Roman" w:cs="Times New Roman"/>
          <w:b/>
          <w:color w:val="00000A"/>
          <w:sz w:val="32"/>
          <w:vertAlign w:val="subscript"/>
        </w:rPr>
        <w:t xml:space="preserve"> DIČ </w:t>
      </w:r>
      <w:r w:rsidR="002D0572">
        <w:rPr>
          <w:rFonts w:eastAsia="Times New Roman" w:cs="Times New Roman"/>
          <w:b/>
          <w:color w:val="00000A"/>
          <w:sz w:val="32"/>
          <w:vertAlign w:val="subscript"/>
        </w:rPr>
        <w:t>2023062129</w:t>
      </w:r>
    </w:p>
    <w:p w14:paraId="5DEBF3F5" w14:textId="77777777" w:rsidR="00B82B36" w:rsidRDefault="00243917">
      <w:pPr>
        <w:pStyle w:val="Standard"/>
        <w:keepNext/>
        <w:spacing w:line="240" w:lineRule="exact"/>
        <w:jc w:val="center"/>
        <w:rPr>
          <w:rFonts w:eastAsia="Times New Roman" w:cs="Times New Roman"/>
          <w:b/>
          <w:color w:val="00000A"/>
          <w:sz w:val="32"/>
          <w:vertAlign w:val="subscript"/>
        </w:rPr>
      </w:pPr>
      <w:r>
        <w:rPr>
          <w:rFonts w:eastAsia="Times New Roman" w:cs="Times New Roman"/>
          <w:b/>
          <w:color w:val="00000A"/>
          <w:sz w:val="32"/>
          <w:vertAlign w:val="subscript"/>
        </w:rPr>
        <w:t>POZNÁMKY K ÚČTOVNEJ ZÁVIERKE</w:t>
      </w:r>
    </w:p>
    <w:p w14:paraId="3FFAF5D1" w14:textId="77777777" w:rsidR="00B82B36" w:rsidRDefault="00B82B36">
      <w:pPr>
        <w:pStyle w:val="Standard"/>
        <w:spacing w:line="240" w:lineRule="exact"/>
        <w:jc w:val="center"/>
        <w:rPr>
          <w:rFonts w:eastAsia="Times New Roman" w:cs="Times New Roman"/>
          <w:color w:val="00000A"/>
          <w:vertAlign w:val="subscript"/>
        </w:rPr>
      </w:pPr>
    </w:p>
    <w:p w14:paraId="19B5176A" w14:textId="4C8B79EB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44"/>
          <w:szCs w:val="44"/>
          <w:vertAlign w:val="subscript"/>
        </w:rPr>
      </w:pPr>
      <w:r>
        <w:rPr>
          <w:rFonts w:eastAsia="Times New Roman" w:cs="Times New Roman"/>
          <w:b/>
          <w:color w:val="00000A"/>
          <w:sz w:val="44"/>
          <w:szCs w:val="44"/>
          <w:vertAlign w:val="subscript"/>
        </w:rPr>
        <w:t>zostavenej ku dňu 31.12.</w:t>
      </w:r>
      <w:r w:rsidR="00EC3348">
        <w:rPr>
          <w:rFonts w:eastAsia="Times New Roman" w:cs="Times New Roman"/>
          <w:b/>
          <w:color w:val="00000A"/>
          <w:sz w:val="44"/>
          <w:szCs w:val="44"/>
          <w:vertAlign w:val="subscript"/>
        </w:rPr>
        <w:t>2023</w:t>
      </w:r>
    </w:p>
    <w:p w14:paraId="534FF1BB" w14:textId="77777777" w:rsidR="00B82B36" w:rsidRDefault="00B82B36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vertAlign w:val="subscript"/>
        </w:rPr>
      </w:pPr>
    </w:p>
    <w:p w14:paraId="3CF983ED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color w:val="00000A"/>
          <w:sz w:val="20"/>
          <w:vertAlign w:val="subscript"/>
        </w:rPr>
      </w:pPr>
      <w:r>
        <w:rPr>
          <w:rFonts w:eastAsia="Times New Roman" w:cs="Times New Roman"/>
          <w:color w:val="00000A"/>
          <w:sz w:val="20"/>
          <w:vertAlign w:val="subscript"/>
        </w:rPr>
        <w:t>podľa opatrenia Ministerstva financií Slovenskej republiky</w:t>
      </w:r>
    </w:p>
    <w:p w14:paraId="4B46F1A4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color w:val="00000A"/>
          <w:sz w:val="20"/>
          <w:vertAlign w:val="subscript"/>
        </w:rPr>
      </w:pPr>
      <w:proofErr w:type="spellStart"/>
      <w:r>
        <w:rPr>
          <w:rFonts w:eastAsia="Times New Roman" w:cs="Times New Roman"/>
          <w:color w:val="00000A"/>
          <w:sz w:val="20"/>
          <w:vertAlign w:val="subscript"/>
        </w:rPr>
        <w:t>č.MF</w:t>
      </w:r>
      <w:proofErr w:type="spellEnd"/>
      <w:r>
        <w:rPr>
          <w:rFonts w:eastAsia="Times New Roman" w:cs="Times New Roman"/>
          <w:color w:val="00000A"/>
          <w:sz w:val="20"/>
          <w:vertAlign w:val="subscript"/>
        </w:rPr>
        <w:t xml:space="preserve">/15464/2013-74 v znení </w:t>
      </w:r>
      <w:proofErr w:type="spellStart"/>
      <w:r>
        <w:rPr>
          <w:rFonts w:eastAsia="Times New Roman" w:cs="Times New Roman"/>
          <w:color w:val="00000A"/>
          <w:sz w:val="20"/>
          <w:vertAlign w:val="subscript"/>
        </w:rPr>
        <w:t>č.MF</w:t>
      </w:r>
      <w:proofErr w:type="spellEnd"/>
      <w:r>
        <w:rPr>
          <w:rFonts w:eastAsia="Times New Roman" w:cs="Times New Roman"/>
          <w:color w:val="00000A"/>
          <w:sz w:val="20"/>
          <w:vertAlign w:val="subscript"/>
        </w:rPr>
        <w:t>/18008/2014-74</w:t>
      </w:r>
    </w:p>
    <w:p w14:paraId="7BB0F28C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4E55DA1F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4E9DBB71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142CB246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Čl. I</w:t>
      </w:r>
    </w:p>
    <w:p w14:paraId="11BFE134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Všeobecné údaje</w:t>
      </w:r>
    </w:p>
    <w:p w14:paraId="092F3D18" w14:textId="77777777" w:rsidR="00B82B36" w:rsidRDefault="00B82B36">
      <w:pPr>
        <w:pStyle w:val="Standard"/>
        <w:spacing w:line="240" w:lineRule="exact"/>
        <w:jc w:val="center"/>
        <w:rPr>
          <w:rFonts w:eastAsia="Times New Roman" w:cs="Times New Roman"/>
          <w:color w:val="00000A"/>
          <w:vertAlign w:val="subscript"/>
        </w:rPr>
      </w:pPr>
    </w:p>
    <w:p w14:paraId="744773D8" w14:textId="77777777" w:rsidR="00B82B36" w:rsidRDefault="00243917">
      <w:pPr>
        <w:pStyle w:val="Standard"/>
        <w:numPr>
          <w:ilvl w:val="0"/>
          <w:numId w:val="1"/>
        </w:numPr>
        <w:spacing w:line="240" w:lineRule="exact"/>
        <w:ind w:left="0" w:firstLine="0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Názov právnickej osoby a jej sídlo alebo meno a priezvisko fyzickej osoby:</w:t>
      </w:r>
    </w:p>
    <w:p w14:paraId="74341329" w14:textId="77777777" w:rsidR="00B82B36" w:rsidRDefault="00B82B36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vertAlign w:val="subscript"/>
        </w:rPr>
      </w:pPr>
    </w:p>
    <w:p w14:paraId="0CD0091A" w14:textId="6BDC6465" w:rsidR="00B82B36" w:rsidRDefault="0027482C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32"/>
          <w:szCs w:val="32"/>
          <w:vertAlign w:val="subscript"/>
        </w:rPr>
      </w:pPr>
      <w:r>
        <w:rPr>
          <w:rFonts w:eastAsia="Times New Roman" w:cs="Times New Roman"/>
          <w:b/>
          <w:color w:val="00000A"/>
          <w:sz w:val="32"/>
          <w:szCs w:val="32"/>
          <w:vertAlign w:val="subscript"/>
        </w:rPr>
        <w:t xml:space="preserve">AKUM , </w:t>
      </w:r>
      <w:proofErr w:type="spellStart"/>
      <w:r>
        <w:rPr>
          <w:rFonts w:eastAsia="Times New Roman" w:cs="Times New Roman"/>
          <w:b/>
          <w:color w:val="00000A"/>
          <w:sz w:val="32"/>
          <w:szCs w:val="32"/>
          <w:vertAlign w:val="subscript"/>
        </w:rPr>
        <w:t>s.r.o</w:t>
      </w:r>
      <w:proofErr w:type="spellEnd"/>
      <w:r>
        <w:rPr>
          <w:rFonts w:eastAsia="Times New Roman" w:cs="Times New Roman"/>
          <w:b/>
          <w:color w:val="00000A"/>
          <w:sz w:val="32"/>
          <w:szCs w:val="32"/>
          <w:vertAlign w:val="subscript"/>
        </w:rPr>
        <w:t xml:space="preserve">., </w:t>
      </w:r>
      <w:proofErr w:type="spellStart"/>
      <w:r>
        <w:rPr>
          <w:rFonts w:eastAsia="Times New Roman" w:cs="Times New Roman"/>
          <w:b/>
          <w:color w:val="00000A"/>
          <w:sz w:val="32"/>
          <w:szCs w:val="32"/>
          <w:vertAlign w:val="subscript"/>
        </w:rPr>
        <w:t>Mičinská</w:t>
      </w:r>
      <w:proofErr w:type="spellEnd"/>
      <w:r>
        <w:rPr>
          <w:rFonts w:eastAsia="Times New Roman" w:cs="Times New Roman"/>
          <w:b/>
          <w:color w:val="00000A"/>
          <w:sz w:val="32"/>
          <w:szCs w:val="32"/>
          <w:vertAlign w:val="subscript"/>
        </w:rPr>
        <w:t xml:space="preserve"> cesta  35, 974 01 Banská Bystrica</w:t>
      </w:r>
    </w:p>
    <w:p w14:paraId="23F9F20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(2) Účtovná jednotka nie je súčasťou konsolidovaného celku.</w:t>
      </w:r>
    </w:p>
    <w:p w14:paraId="46C5D5BF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CD6E78D" w14:textId="3EE7D696" w:rsidR="00B82B36" w:rsidRDefault="00243917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(3) Priemerný prepočítaný počet zamestnancov</w:t>
      </w:r>
      <w:r w:rsidR="0027482C">
        <w:rPr>
          <w:rFonts w:eastAsia="Times New Roman" w:cs="Times New Roman"/>
          <w:color w:val="000000"/>
          <w:sz w:val="23"/>
          <w:vertAlign w:val="subscript"/>
        </w:rPr>
        <w:t xml:space="preserve">: </w:t>
      </w:r>
      <w:r w:rsidR="0027482C">
        <w:rPr>
          <w:rFonts w:eastAsia="Times New Roman" w:cs="Times New Roman"/>
          <w:color w:val="00000A"/>
          <w:vertAlign w:val="subscript"/>
        </w:rPr>
        <w:t>4</w:t>
      </w:r>
    </w:p>
    <w:p w14:paraId="4B7DE74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381DC36A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8DE9DAF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Čl. II</w:t>
      </w:r>
    </w:p>
    <w:p w14:paraId="3F543D28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Informácie o prijatých postupoch</w:t>
      </w:r>
    </w:p>
    <w:p w14:paraId="1DBB07AB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B21E05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(1) Účtovná závierka je zostavená, účtovná jednotka bude nepretržite pokračovať vo svojej činnosti.</w:t>
      </w:r>
    </w:p>
    <w:p w14:paraId="4DA78247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E3DCB7D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(2) Spôsob oceňovania jednotlivých položiek majetku a záväzkov, a to</w:t>
      </w:r>
    </w:p>
    <w:p w14:paraId="13B4514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a) dlhodobého nehmotného majetku, dlhodobého hmotného majetku a dlhodobého finančného majetku:</w:t>
      </w:r>
    </w:p>
    <w:p w14:paraId="079DF21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Dlhodobý hmotný majetok nakupovaný sa ocení v obstarávacích cenách, ktoré zahŕňajú cenu majetku, a náklady súvisiace s jeho obstarávaním (clo, prepravu, montáž a pod, )</w:t>
      </w:r>
    </w:p>
    <w:p w14:paraId="515D677F" w14:textId="74C7D44F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Dlhodobý majetok vytvorený vlast</w:t>
      </w:r>
      <w:r w:rsidR="00F51D1E">
        <w:rPr>
          <w:rFonts w:eastAsia="Times New Roman" w:cs="Times New Roman"/>
          <w:color w:val="000000"/>
          <w:sz w:val="23"/>
          <w:vertAlign w:val="subscript"/>
        </w:rPr>
        <w:t>n</w:t>
      </w:r>
      <w:r>
        <w:rPr>
          <w:rFonts w:eastAsia="Times New Roman" w:cs="Times New Roman"/>
          <w:color w:val="000000"/>
          <w:sz w:val="23"/>
          <w:vertAlign w:val="subscript"/>
        </w:rPr>
        <w:t>ou činnosťou sa oceňuje vlastnými nákladmi. Vlastnými nákladmi sú všetky priame náklady vynaložené na výrobu alebo inú činnosť a nepriame náklady, ktoré sa vzťahujú na výrobu alebo inú činnosť.</w:t>
      </w:r>
    </w:p>
    <w:p w14:paraId="075858BE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3513030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b) zásob obstaraných kúpou, zásob vytvorených vlastnou činnosťou:</w:t>
      </w:r>
    </w:p>
    <w:p w14:paraId="3CB27FFF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Zásoby nakupované sa ocenia v obstarávacích cenách, ktoré zahŕňajú cenu zásob a náklady súvisiace s jeho obstarávaním (clo, prepravu, montáž a pod, )</w:t>
      </w:r>
    </w:p>
    <w:p w14:paraId="26E53C5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Spoločnosť neprevádzkuje vlastnú výrobu, pri ktorej vznikajú vnútroorganizačné zásoby.</w:t>
      </w:r>
    </w:p>
    <w:p w14:paraId="4347D1BB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3545D8C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c) pohľadávok:</w:t>
      </w:r>
    </w:p>
    <w:p w14:paraId="539984E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Pohľadávky pri vzniku sa oceňujú ich menovitou hodnotou. Postúpené pohľadávky a pohľadávky nadobudnuté vkladom do základného imania sa oceňujú obstarávacou cenou vrátane nákladov súvisiacich s obstaraním. Toto obstaranie sa znižuje o pochybné a nevymožiteľné pohľadávky.</w:t>
      </w:r>
    </w:p>
    <w:p w14:paraId="438CB0D7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07690BEA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d) krátkodobého finančného majetku:</w:t>
      </w:r>
    </w:p>
    <w:p w14:paraId="63FAC16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Peňažné prostriedky a ceniny sa oceňujú ich menovitou hodnotou.</w:t>
      </w:r>
    </w:p>
    <w:p w14:paraId="25D9C157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DDB004C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e) záväzkov vrátane rezerv, dlhopisov, pôžičiek a úverov:</w:t>
      </w:r>
    </w:p>
    <w:p w14:paraId="45A72758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Rezervy sa tvoria na krytie známych rizík, alebo strát z podnikania. Oceňujú sa v očakávanej výške záväzku.</w:t>
      </w:r>
    </w:p>
    <w:p w14:paraId="389D3C9A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032AAD6D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Záväzky (vrátane dlhopisov, pôžičiek a úverov) sa pri ich vzniku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174BDB08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541E90BB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f) derivátových operácií:</w:t>
      </w:r>
    </w:p>
    <w:p w14:paraId="33A34A1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lastRenderedPageBreak/>
        <w:tab/>
        <w:t>Spoločnosť neobchoduje s derivátmi</w:t>
      </w:r>
    </w:p>
    <w:p w14:paraId="1A5D8336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107F6CF6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(3) Spôsob zostavenia odpisového plánu pre jednotlivé druhy dlhodobého hmotného majetku a dlhodobého nehmotného majetku, uvádzame dobu odpisovania, použité sadzby odpisov a odpisové metódy pri určení odpisov:</w:t>
      </w:r>
    </w:p>
    <w:p w14:paraId="0383D1A4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Dlhodobý hmotný majetok sa odpisuje rovnomerne alebo zrýchlene na základe jeho predpokladanej ekonomickej životnosti, v súlade s ustanoveniami zákona NR SR č. 595/2003 Zb. O daniach z príjmov,  §§ 22-29.</w:t>
      </w:r>
      <w:r>
        <w:rPr>
          <w:rFonts w:eastAsia="Times New Roman" w:cs="Times New Roman"/>
          <w:color w:val="000000"/>
          <w:sz w:val="23"/>
          <w:vertAlign w:val="subscript"/>
        </w:rPr>
        <w:tab/>
      </w:r>
      <w:r>
        <w:rPr>
          <w:rFonts w:eastAsia="Times New Roman" w:cs="Times New Roman"/>
          <w:color w:val="000000"/>
          <w:sz w:val="23"/>
          <w:vertAlign w:val="subscript"/>
        </w:rPr>
        <w:tab/>
      </w:r>
    </w:p>
    <w:p w14:paraId="730E43DC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 xml:space="preserve">Drobný nehmotný majetok, ktorého cena je nižšia ako 2400 EUR a drobný hmotný majetok, ktorého cena je nižšia </w:t>
      </w:r>
      <w:proofErr w:type="spellStart"/>
      <w:r>
        <w:rPr>
          <w:rFonts w:eastAsia="Times New Roman" w:cs="Times New Roman"/>
          <w:color w:val="000000"/>
          <w:sz w:val="23"/>
          <w:vertAlign w:val="subscript"/>
        </w:rPr>
        <w:t>ko</w:t>
      </w:r>
      <w:proofErr w:type="spellEnd"/>
      <w:r>
        <w:rPr>
          <w:rFonts w:eastAsia="Times New Roman" w:cs="Times New Roman"/>
          <w:color w:val="000000"/>
          <w:sz w:val="23"/>
          <w:vertAlign w:val="subscript"/>
        </w:rPr>
        <w:t xml:space="preserve"> 1700 EUR sa odpisuje jednorazovo, pri uvedení do používania.</w:t>
      </w:r>
    </w:p>
    <w:p w14:paraId="054E5379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8E508DF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(4) Zmeny účtovných zásad a zmeny účtovných metód a dôvod týchto zmien, vy</w:t>
      </w:r>
    </w:p>
    <w:p w14:paraId="75922A86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proofErr w:type="spellStart"/>
      <w:r>
        <w:rPr>
          <w:rFonts w:eastAsia="Times New Roman" w:cs="Times New Roman"/>
          <w:color w:val="000000"/>
          <w:sz w:val="23"/>
          <w:vertAlign w:val="subscript"/>
        </w:rPr>
        <w:t>íslenie</w:t>
      </w:r>
      <w:proofErr w:type="spellEnd"/>
      <w:r>
        <w:rPr>
          <w:rFonts w:eastAsia="Times New Roman" w:cs="Times New Roman"/>
          <w:color w:val="000000"/>
          <w:sz w:val="23"/>
          <w:vertAlign w:val="subscript"/>
        </w:rPr>
        <w:t xml:space="preserve"> ich vplyvu na finančnú hodnotu majetku, záväzkov, základného imania a výsledku hospodárenia účtovnej jednotky:</w:t>
      </w:r>
    </w:p>
    <w:p w14:paraId="03765CE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 zmeny účtovných zásad a zmeny účtovných metód neboli vykonané.</w:t>
      </w:r>
    </w:p>
    <w:p w14:paraId="6ED5E380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1E85957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(5) Informácie o dotáciách a ich oceňovanie v účtovníctve:</w:t>
      </w:r>
    </w:p>
    <w:p w14:paraId="05C2F848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Spoločnosť neprijala žiadne dotácie.</w:t>
      </w:r>
    </w:p>
    <w:p w14:paraId="23BB88AC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C76EFE5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(6) Informácie o účtovaní opráv chýb minulých účtovných období:</w:t>
      </w:r>
    </w:p>
    <w:p w14:paraId="29DE13FC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a) informácie o účtovaní významných opráv chýb minulých účtovných období v bežnom účtovnom období a ich vplyv na nerozdelený zisk minulých rokov alebo neuhradenú stratu minulých rokov:</w:t>
      </w:r>
    </w:p>
    <w:p w14:paraId="47B184AF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Spoločnosť neúčtovala o významných opravách chýb minulých účtovných období.</w:t>
      </w:r>
    </w:p>
    <w:p w14:paraId="003C1B20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1CE93D2B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b) informácie o účtovaní nevýznamných opráv chýb minulých účtovných období v bežnom účtovnom období a ich vplyv na nerozdelený zisk minulých rokov alebo neuhradenú stratu minulých rokov:</w:t>
      </w:r>
    </w:p>
    <w:p w14:paraId="3ADC6A5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Spoločnosť neúčtovala o nevýznamných opravách chýb minulých účtovných období.</w:t>
      </w:r>
    </w:p>
    <w:p w14:paraId="34E8A46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5BF72B7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344AD18A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35557127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Čl. III</w:t>
      </w:r>
    </w:p>
    <w:p w14:paraId="29E2ACBA" w14:textId="77777777" w:rsidR="00B82B36" w:rsidRDefault="00243917">
      <w:pPr>
        <w:pStyle w:val="Standard"/>
        <w:spacing w:line="240" w:lineRule="exact"/>
        <w:jc w:val="center"/>
        <w:rPr>
          <w:rFonts w:eastAsia="Times New Roman" w:cs="Times New Roman"/>
          <w:b/>
          <w:color w:val="000000"/>
          <w:sz w:val="23"/>
          <w:vertAlign w:val="subscript"/>
        </w:rPr>
      </w:pPr>
      <w:r>
        <w:rPr>
          <w:rFonts w:eastAsia="Times New Roman" w:cs="Times New Roman"/>
          <w:b/>
          <w:color w:val="000000"/>
          <w:sz w:val="23"/>
          <w:vertAlign w:val="subscript"/>
        </w:rPr>
        <w:t>Informácie, ktoré vysvetľujú a dopĺňajú súvahu a výkaz ziskov a strát</w:t>
      </w:r>
    </w:p>
    <w:p w14:paraId="780920F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11421220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</w:t>
      </w:r>
    </w:p>
    <w:p w14:paraId="2EBE153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 výnimočné položky nákladov alebo výnosov nevznikli.</w:t>
      </w:r>
    </w:p>
    <w:p w14:paraId="4D41A72A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AB6E69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(2) Informácie o záväzkoch:</w:t>
      </w:r>
    </w:p>
    <w:p w14:paraId="05B879F6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a) celková suma záväzkov so zostatkovou dobou splatnosti dlhšou ako päť rokov:</w:t>
      </w:r>
    </w:p>
    <w:p w14:paraId="112B7CB4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0.00</w:t>
      </w:r>
    </w:p>
    <w:p w14:paraId="4C5BD0EB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796AA4C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b) celková suma zabezpečených záväzkov, opis a spôsoby zabezpečenia záväzkov:</w:t>
      </w:r>
    </w:p>
    <w:p w14:paraId="0B416016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Spoločnosť nemá žiadne zabezpečené záväzky.</w:t>
      </w:r>
    </w:p>
    <w:p w14:paraId="660FD92C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090B5B2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(3) Spoločnosť neemitovala vlastné akcie.</w:t>
      </w:r>
    </w:p>
    <w:p w14:paraId="13B3DB48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75F007E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(4) Informácie o orgánoch účtovnej jednotky:</w:t>
      </w:r>
    </w:p>
    <w:p w14:paraId="146C5CAD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a) výška jednotlivých druhov záruk alebo iných zabezpečení poskytnutých pre členov štatutárneho orgánu, dozorného orgánu a iného orgánu účtovnej jednotky, a to v členení za jednotlivé orgány:</w:t>
      </w:r>
    </w:p>
    <w:p w14:paraId="1C2C030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5F7D2DDC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055369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b) pôžičky poskytnuté členom štatutárneho orgánu, dozorného orgánu a iného orgánu účtovnej jednotky a to:</w:t>
      </w:r>
    </w:p>
    <w:p w14:paraId="401C7814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1. celková suma poskytnutých pôžičiek k poslednému dňu účtovného obdobia v členení za jednotlivé orgány:</w:t>
      </w:r>
    </w:p>
    <w:p w14:paraId="1F3771B5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2D11E97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335993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2. celková suma splatených pôžičiek k poslednému dňu účtovného obdobia v členení za jednotlivé orgány:</w:t>
      </w:r>
    </w:p>
    <w:p w14:paraId="5A430AC0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lastRenderedPageBreak/>
        <w:tab/>
        <w:t>žiadne</w:t>
      </w:r>
    </w:p>
    <w:p w14:paraId="59003DB1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794B9640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3. celková suma odpustených pôžičiek a odpísaných pôžičiek k poslednému dňu účtovného obdobia v členení za jednotlivé orgány:</w:t>
      </w:r>
    </w:p>
    <w:p w14:paraId="63D0051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3E613115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31A4BCA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c) hlavné podmienky, na základe ktorých im boli záruky alebo iné zabezpečenie a pôžičky poskytnuté, pri pôžičkách sa uvádzajú úrokové sadzby:</w:t>
      </w:r>
    </w:p>
    <w:p w14:paraId="17E6648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7CAC6829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7D24DF28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d) celková suma použitých finančných prostriedkov alebo iného plnenia na súkromné účely členmi štatutárneho orgánu, dozorného orgánu a iného orgánu účtovnej jednotky, ktoré je potrebné vyúčtovať:</w:t>
      </w:r>
    </w:p>
    <w:p w14:paraId="0A9201E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1E5F1ACA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41936923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(5) Informácie o povinnostiach účtovnej jednotky:</w:t>
      </w:r>
    </w:p>
    <w:p w14:paraId="4F352E9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a) celková suma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</w:t>
      </w:r>
    </w:p>
    <w:p w14:paraId="46485C1F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žiadna</w:t>
      </w:r>
    </w:p>
    <w:p w14:paraId="6102FD3B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4AB9B6D2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b) celková suma významných podmienených záväzkov, a to:</w:t>
      </w:r>
    </w:p>
    <w:p w14:paraId="51A76FD4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1. možná povinnosť, ktorá vznikla ako dôsledok minulej udalosti a ktorej existencia závisí od toho, či nastane alebo nenastane jedna alebo viac neistých udalostí v budúcnosti, ktorých vznik nezávisí od účtovnej jednotky:</w:t>
      </w:r>
    </w:p>
    <w:p w14:paraId="1F79F42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žiadna</w:t>
      </w:r>
    </w:p>
    <w:p w14:paraId="24994C39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80DF36F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2. existujúca povinnosť, ktorá vznikla ako dôsledok minulej udalosti, ale ktorá sa nevykazuje v súvahe, pretože</w:t>
      </w:r>
    </w:p>
    <w:p w14:paraId="3A40C32A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2a. nie je pravdepodobné, že na splnenie tejto povinnosti bude potrebný úbytok ekonomických úžitkov, alebo</w:t>
      </w:r>
    </w:p>
    <w:p w14:paraId="618BF3EE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2b. výška tejto povinnosti sa nedá spoľahlivo oceniť:</w:t>
      </w:r>
    </w:p>
    <w:p w14:paraId="5119CADA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žiadna</w:t>
      </w:r>
    </w:p>
    <w:p w14:paraId="6587DB6B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7F989FD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c) opis významných finančných povinností a významných podmienených záväzkov:</w:t>
      </w:r>
    </w:p>
    <w:p w14:paraId="2B2F7AE4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578A3759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C7A25D9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d) celková suma významných finančných povinností a významných podmienených záväzkoch voči dcérskej účtovnej jednotke a účtovnej jednotke s podstatným vplyvom:</w:t>
      </w:r>
    </w:p>
    <w:p w14:paraId="250AF1D7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2FEC9043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216714F0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e) opis významných povinností účtovnej jednotky vyplývajúcich z dôchodkových programov pre zamestnancov:</w:t>
      </w:r>
    </w:p>
    <w:p w14:paraId="0A9AF05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žiadne</w:t>
      </w:r>
    </w:p>
    <w:p w14:paraId="7501FE95" w14:textId="77777777" w:rsidR="00B82B36" w:rsidRDefault="00B82B36">
      <w:pPr>
        <w:pStyle w:val="Standard"/>
        <w:spacing w:line="240" w:lineRule="exact"/>
        <w:rPr>
          <w:rFonts w:eastAsia="Times New Roman" w:cs="Times New Roman"/>
          <w:color w:val="00000A"/>
          <w:vertAlign w:val="subscript"/>
        </w:rPr>
      </w:pPr>
    </w:p>
    <w:p w14:paraId="68908BF1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>(6) Informácie o udelení výlučného práva alebo osobitného práva, ktorým sa udelilo právo poskytovať služby vo verejnom záujme, pričom sa uvádza náhrada za túto činnosť v akejkoľvek forme:</w:t>
      </w:r>
    </w:p>
    <w:p w14:paraId="0C559976" w14:textId="77777777" w:rsidR="00B82B36" w:rsidRDefault="00243917">
      <w:pPr>
        <w:pStyle w:val="Standard"/>
        <w:spacing w:line="240" w:lineRule="exact"/>
        <w:rPr>
          <w:rFonts w:eastAsia="Times New Roman" w:cs="Times New Roman"/>
          <w:color w:val="000000"/>
          <w:sz w:val="23"/>
          <w:vertAlign w:val="subscript"/>
        </w:rPr>
      </w:pPr>
      <w:r>
        <w:rPr>
          <w:rFonts w:eastAsia="Times New Roman" w:cs="Times New Roman"/>
          <w:color w:val="000000"/>
          <w:sz w:val="23"/>
          <w:vertAlign w:val="subscript"/>
        </w:rPr>
        <w:tab/>
        <w:t>Spoločnosť neposkytuje služby vo verejnom záujme.</w:t>
      </w:r>
    </w:p>
    <w:p w14:paraId="4AECEF7A" w14:textId="77777777" w:rsidR="00B82B36" w:rsidRDefault="00B82B36">
      <w:pPr>
        <w:pStyle w:val="Standard"/>
        <w:spacing w:after="200" w:line="276" w:lineRule="exact"/>
      </w:pPr>
    </w:p>
    <w:sectPr w:rsidR="00B82B36"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0C697" w14:textId="77777777" w:rsidR="0030222B" w:rsidRDefault="0030222B">
      <w:r>
        <w:separator/>
      </w:r>
    </w:p>
  </w:endnote>
  <w:endnote w:type="continuationSeparator" w:id="0">
    <w:p w14:paraId="71B7DCA2" w14:textId="77777777" w:rsidR="0030222B" w:rsidRDefault="0030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58419" w14:textId="77777777" w:rsidR="0030222B" w:rsidRDefault="0030222B">
      <w:r>
        <w:rPr>
          <w:color w:val="000000"/>
        </w:rPr>
        <w:separator/>
      </w:r>
    </w:p>
  </w:footnote>
  <w:footnote w:type="continuationSeparator" w:id="0">
    <w:p w14:paraId="7ABF31DA" w14:textId="77777777" w:rsidR="0030222B" w:rsidRDefault="00302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F035C3"/>
    <w:multiLevelType w:val="multilevel"/>
    <w:tmpl w:val="4B3CAD3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4782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B36"/>
    <w:rsid w:val="00243917"/>
    <w:rsid w:val="0027482C"/>
    <w:rsid w:val="002D0572"/>
    <w:rsid w:val="0030222B"/>
    <w:rsid w:val="0033039D"/>
    <w:rsid w:val="0034048C"/>
    <w:rsid w:val="00454186"/>
    <w:rsid w:val="004B4A24"/>
    <w:rsid w:val="00650F9C"/>
    <w:rsid w:val="007415D0"/>
    <w:rsid w:val="00753594"/>
    <w:rsid w:val="00855AEE"/>
    <w:rsid w:val="008E5A3E"/>
    <w:rsid w:val="00AC6F71"/>
    <w:rsid w:val="00B82B36"/>
    <w:rsid w:val="00BE602B"/>
    <w:rsid w:val="00C36029"/>
    <w:rsid w:val="00C95563"/>
    <w:rsid w:val="00E43760"/>
    <w:rsid w:val="00EC3348"/>
    <w:rsid w:val="00F31E19"/>
    <w:rsid w:val="00F5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DCF5"/>
  <w15:docId w15:val="{DA10D2BC-82B8-469B-BCBC-D5539799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Arial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 Uhríková</cp:lastModifiedBy>
  <cp:revision>2</cp:revision>
  <dcterms:created xsi:type="dcterms:W3CDTF">2024-06-24T19:58:00Z</dcterms:created>
  <dcterms:modified xsi:type="dcterms:W3CDTF">2024-06-24T19:58:00Z</dcterms:modified>
</cp:coreProperties>
</file>