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3D78" w:rsidRDefault="0083618A">
      <w:pPr>
        <w:pStyle w:val="Nadpis1"/>
        <w:tabs>
          <w:tab w:val="center" w:pos="527"/>
          <w:tab w:val="center" w:pos="1889"/>
        </w:tabs>
        <w:spacing w:after="271"/>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rPr>
          <w:u w:val="none"/>
        </w:rPr>
        <w:tab/>
      </w:r>
      <w:r>
        <w:t>VŠEOBECNÉ ÚDAJE</w:t>
      </w:r>
      <w:r>
        <w:rPr>
          <w:u w:val="none"/>
        </w:rPr>
        <w:t xml:space="preserve">  </w:t>
      </w:r>
    </w:p>
    <w:p w:rsidR="004B3D78" w:rsidRDefault="0083618A">
      <w:pPr>
        <w:ind w:left="5" w:right="0"/>
      </w:pPr>
      <w:r>
        <w:t xml:space="preserve">TH-TH plus </w:t>
      </w:r>
      <w:proofErr w:type="spellStart"/>
      <w:r>
        <w:t>s.r.o</w:t>
      </w:r>
      <w:proofErr w:type="spellEnd"/>
      <w:r>
        <w:t xml:space="preserve">. (ďalej len „spoločnosť”) je spoločnosť s ručením obmedzeným, ktorá bola založená dňa 14.02.2015. Dňa 14.02 2015 bola zapísaná do Obchodného registra vedenom na Okresnom súde Trnava, oddiel </w:t>
      </w:r>
      <w:proofErr w:type="spellStart"/>
      <w:r>
        <w:t>Sro</w:t>
      </w:r>
      <w:proofErr w:type="spellEnd"/>
      <w:r>
        <w:t xml:space="preserve">, vložka 35414/T. Spoločnosť sídli  na adrese </w:t>
      </w:r>
      <w:proofErr w:type="spellStart"/>
      <w:r>
        <w:t>Nemešsegská</w:t>
      </w:r>
      <w:proofErr w:type="spellEnd"/>
      <w:r>
        <w:t xml:space="preserve"> 35, 92901 Dunajská Streda, Slovenská republika.   </w:t>
      </w:r>
    </w:p>
    <w:p w:rsidR="004B3D78" w:rsidRDefault="0083618A">
      <w:pPr>
        <w:spacing w:after="0"/>
        <w:ind w:left="5" w:right="0"/>
      </w:pPr>
      <w:r>
        <w:t xml:space="preserve">Hlavným predmetom činnosti je:  </w:t>
      </w:r>
    </w:p>
    <w:tbl>
      <w:tblPr>
        <w:tblStyle w:val="TableGrid"/>
        <w:tblW w:w="7897" w:type="dxa"/>
        <w:tblInd w:w="14" w:type="dxa"/>
        <w:tblLook w:val="04A0" w:firstRow="1" w:lastRow="0" w:firstColumn="1" w:lastColumn="0" w:noHBand="0" w:noVBand="1"/>
      </w:tblPr>
      <w:tblGrid>
        <w:gridCol w:w="6111"/>
        <w:gridCol w:w="1786"/>
      </w:tblGrid>
      <w:tr w:rsidR="004B3D78">
        <w:trPr>
          <w:trHeight w:val="345"/>
        </w:trPr>
        <w:tc>
          <w:tcPr>
            <w:tcW w:w="7897" w:type="dxa"/>
            <w:gridSpan w:val="2"/>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Kúpa tovaru na účely jeho predaja konečnému spotrebiteľovi </w:t>
            </w:r>
            <w:r>
              <w:t xml:space="preserve"> </w:t>
            </w:r>
            <w:r>
              <w:rPr>
                <w:rFonts w:ascii="Times New Roman" w:eastAsia="Times New Roman" w:hAnsi="Times New Roman" w:cs="Times New Roman"/>
                <w:sz w:val="24"/>
              </w:rPr>
              <w:t xml:space="preserve">  (od: 14.02.2015) </w:t>
            </w:r>
          </w:p>
        </w:tc>
      </w:tr>
      <w:tr w:rsidR="004B3D78">
        <w:trPr>
          <w:trHeight w:val="532"/>
        </w:trPr>
        <w:tc>
          <w:tcPr>
            <w:tcW w:w="6111" w:type="dxa"/>
            <w:tcBorders>
              <w:top w:val="nil"/>
              <w:left w:val="nil"/>
              <w:bottom w:val="nil"/>
              <w:right w:val="nil"/>
            </w:tcBorders>
          </w:tcPr>
          <w:p w:rsidR="004B3D78" w:rsidRDefault="0083618A">
            <w:pPr>
              <w:spacing w:after="11" w:line="259" w:lineRule="auto"/>
              <w:ind w:left="0" w:right="0" w:firstLine="0"/>
              <w:jc w:val="left"/>
            </w:pPr>
            <w:r>
              <w:rPr>
                <w:rFonts w:ascii="Times New Roman" w:eastAsia="Times New Roman" w:hAnsi="Times New Roman" w:cs="Times New Roman"/>
                <w:sz w:val="24"/>
              </w:rPr>
              <w:t xml:space="preserve">(maloobchod) alebo iným prevádzkovateľom živnosti </w:t>
            </w:r>
          </w:p>
          <w:p w:rsidR="004B3D78" w:rsidRDefault="0083618A">
            <w:pPr>
              <w:spacing w:after="0" w:line="259" w:lineRule="auto"/>
              <w:ind w:left="0" w:right="0" w:firstLine="0"/>
              <w:jc w:val="left"/>
            </w:pPr>
            <w:r>
              <w:rPr>
                <w:rFonts w:ascii="Times New Roman" w:eastAsia="Times New Roman" w:hAnsi="Times New Roman" w:cs="Times New Roman"/>
                <w:sz w:val="24"/>
              </w:rPr>
              <w:t xml:space="preserve">(veľkoobchod)  </w:t>
            </w:r>
            <w:r>
              <w:t xml:space="preserve"> </w:t>
            </w:r>
          </w:p>
        </w:tc>
        <w:tc>
          <w:tcPr>
            <w:tcW w:w="1786" w:type="dxa"/>
            <w:tcBorders>
              <w:top w:val="nil"/>
              <w:left w:val="nil"/>
              <w:bottom w:val="nil"/>
              <w:right w:val="nil"/>
            </w:tcBorders>
          </w:tcPr>
          <w:p w:rsidR="004B3D78" w:rsidRDefault="004B3D78">
            <w:pPr>
              <w:spacing w:after="160" w:line="259" w:lineRule="auto"/>
              <w:ind w:left="0" w:right="0" w:firstLine="0"/>
              <w:jc w:val="left"/>
            </w:pPr>
          </w:p>
        </w:tc>
      </w:tr>
      <w:tr w:rsidR="004B3D78">
        <w:trPr>
          <w:trHeight w:val="333"/>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Sprostredkovateľská činnosť v oblasti obchodu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Sprostredkovateľská činnosť v oblasti služieb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Sprostredkovateľská činnosť v oblasti výroby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53"/>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Činnosť podnikateľských, organizačných a ekonomických poradcov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55"/>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Reklamné a marketingové služby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Počítačové služby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Vedenie účtovníctva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proofErr w:type="spellStart"/>
            <w:r>
              <w:rPr>
                <w:rFonts w:ascii="Times New Roman" w:eastAsia="Times New Roman" w:hAnsi="Times New Roman" w:cs="Times New Roman"/>
                <w:sz w:val="24"/>
              </w:rPr>
              <w:t>Faktoring</w:t>
            </w:r>
            <w:proofErr w:type="spellEnd"/>
            <w:r>
              <w:rPr>
                <w:rFonts w:ascii="Times New Roman" w:eastAsia="Times New Roman" w:hAnsi="Times New Roman" w:cs="Times New Roman"/>
                <w:sz w:val="24"/>
              </w:rPr>
              <w:t xml:space="preserve"> a forfaiting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Služby súvisiace s počítačovým spracovaním údajov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Organizovanie kultúrnych a iných spoločenských podujatí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53"/>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Poskytovanie služieb rýchleho občerstvenia v spojení s predajom na priamu konzumáciu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55"/>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Prevádzkovanie výdajne stravy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53"/>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Poskytovanie obslužných služieb pri kultúrnych a iných spoločenských podujatiach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42"/>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Prenájom nehnuteľností spojený s poskytovaním iných než základných služieb spojených s prenájmom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42"/>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Správa a údržba bytového a nebytového fondu v rozsahu voľných živností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5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Prenájom hnuteľných vecí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Baliace činnosti, manipulácia s tovarom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01.04.2015) </w:t>
            </w:r>
          </w:p>
        </w:tc>
      </w:tr>
      <w:tr w:rsidR="004B3D78">
        <w:trPr>
          <w:trHeight w:val="31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Prieskum trhu a verejnej mienky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01.04.2015) </w:t>
            </w:r>
          </w:p>
        </w:tc>
      </w:tr>
    </w:tbl>
    <w:p w:rsidR="004B3D78" w:rsidRDefault="0083618A">
      <w:pPr>
        <w:spacing w:after="76" w:line="258" w:lineRule="auto"/>
        <w:ind w:left="9" w:right="0"/>
        <w:jc w:val="left"/>
      </w:pPr>
      <w:r>
        <w:rPr>
          <w:rFonts w:ascii="Times New Roman" w:eastAsia="Times New Roman" w:hAnsi="Times New Roman" w:cs="Times New Roman"/>
          <w:sz w:val="24"/>
        </w:rPr>
        <w:t xml:space="preserve">Výroba hotových jedál a polotovarov priemyselným spôsobom   (od: 01.04.2015) (konzervovanie)  </w:t>
      </w:r>
      <w:r>
        <w:t xml:space="preserve"> </w:t>
      </w:r>
    </w:p>
    <w:p w:rsidR="004B3D78" w:rsidRDefault="0083618A">
      <w:pPr>
        <w:tabs>
          <w:tab w:val="center" w:pos="6989"/>
        </w:tabs>
        <w:spacing w:after="130" w:line="258" w:lineRule="auto"/>
        <w:ind w:left="-1" w:right="0" w:firstLine="0"/>
        <w:jc w:val="left"/>
      </w:pPr>
      <w:r>
        <w:rPr>
          <w:rFonts w:ascii="Times New Roman" w:eastAsia="Times New Roman" w:hAnsi="Times New Roman" w:cs="Times New Roman"/>
          <w:sz w:val="24"/>
        </w:rPr>
        <w:t xml:space="preserve">Výroba bižutérie a suvenírov  </w:t>
      </w:r>
      <w:r>
        <w:t xml:space="preserve"> </w:t>
      </w:r>
      <w:r>
        <w:tab/>
      </w:r>
      <w:r>
        <w:rPr>
          <w:rFonts w:ascii="Times New Roman" w:eastAsia="Times New Roman" w:hAnsi="Times New Roman" w:cs="Times New Roman"/>
          <w:sz w:val="24"/>
        </w:rPr>
        <w:t xml:space="preserve">  (od: 01.04.2015) </w:t>
      </w:r>
    </w:p>
    <w:p w:rsidR="004B3D78" w:rsidRDefault="0083618A">
      <w:pPr>
        <w:tabs>
          <w:tab w:val="center" w:pos="6126"/>
        </w:tabs>
        <w:spacing w:after="1" w:line="258" w:lineRule="auto"/>
        <w:ind w:left="-1" w:right="0" w:firstLine="0"/>
        <w:jc w:val="left"/>
      </w:pPr>
      <w:r>
        <w:rPr>
          <w:rFonts w:ascii="Times New Roman" w:eastAsia="Times New Roman" w:hAnsi="Times New Roman" w:cs="Times New Roman"/>
          <w:sz w:val="24"/>
        </w:rPr>
        <w:t xml:space="preserve">Administratívne služby  </w:t>
      </w:r>
      <w:r>
        <w:rPr>
          <w:sz w:val="31"/>
          <w:vertAlign w:val="superscript"/>
        </w:rPr>
        <w:t xml:space="preserve"> </w:t>
      </w:r>
      <w:r>
        <w:rPr>
          <w:sz w:val="31"/>
          <w:vertAlign w:val="superscript"/>
        </w:rPr>
        <w:tab/>
      </w:r>
      <w:r>
        <w:rPr>
          <w:rFonts w:ascii="Times New Roman" w:eastAsia="Times New Roman" w:hAnsi="Times New Roman" w:cs="Times New Roman"/>
          <w:sz w:val="24"/>
        </w:rPr>
        <w:t xml:space="preserve"> </w:t>
      </w:r>
      <w:r>
        <w:t xml:space="preserve"> </w:t>
      </w:r>
    </w:p>
    <w:p w:rsidR="004B3D78" w:rsidRDefault="0083618A">
      <w:pPr>
        <w:spacing w:after="309" w:line="259" w:lineRule="auto"/>
        <w:ind w:left="14" w:right="0" w:firstLine="0"/>
        <w:jc w:val="left"/>
      </w:pPr>
      <w:r>
        <w:t xml:space="preserve">  </w:t>
      </w:r>
    </w:p>
    <w:p w:rsidR="004B3D78" w:rsidRDefault="0083618A">
      <w:pPr>
        <w:spacing w:after="0" w:line="259" w:lineRule="auto"/>
        <w:ind w:left="14" w:right="0" w:firstLine="0"/>
        <w:jc w:val="left"/>
      </w:pPr>
      <w:r>
        <w:lastRenderedPageBreak/>
        <w:t xml:space="preserve">  </w:t>
      </w:r>
    </w:p>
    <w:p w:rsidR="004B3D78" w:rsidRDefault="0083618A">
      <w:pPr>
        <w:spacing w:after="0"/>
        <w:ind w:left="5" w:right="0"/>
      </w:pPr>
      <w:r>
        <w:t xml:space="preserve">Informácie o počte zamestnancov  </w:t>
      </w:r>
    </w:p>
    <w:tbl>
      <w:tblPr>
        <w:tblStyle w:val="TableGrid"/>
        <w:tblW w:w="9215" w:type="dxa"/>
        <w:tblInd w:w="-84" w:type="dxa"/>
        <w:tblCellMar>
          <w:top w:w="92" w:type="dxa"/>
          <w:left w:w="108" w:type="dxa"/>
          <w:right w:w="132" w:type="dxa"/>
        </w:tblCellMar>
        <w:tblLook w:val="04A0" w:firstRow="1" w:lastRow="0" w:firstColumn="1" w:lastColumn="0" w:noHBand="0" w:noVBand="1"/>
      </w:tblPr>
      <w:tblGrid>
        <w:gridCol w:w="3795"/>
        <w:gridCol w:w="2712"/>
        <w:gridCol w:w="2708"/>
      </w:tblGrid>
      <w:tr w:rsidR="004B3D78">
        <w:trPr>
          <w:trHeight w:val="512"/>
        </w:trPr>
        <w:tc>
          <w:tcPr>
            <w:tcW w:w="3795" w:type="dxa"/>
            <w:tcBorders>
              <w:top w:val="single" w:sz="4" w:space="0" w:color="000000"/>
              <w:left w:val="single" w:sz="8" w:space="0" w:color="000000"/>
              <w:bottom w:val="single" w:sz="12" w:space="0" w:color="000000"/>
              <w:right w:val="single" w:sz="6" w:space="0" w:color="000000"/>
            </w:tcBorders>
            <w:vAlign w:val="center"/>
          </w:tcPr>
          <w:p w:rsidR="004B3D78" w:rsidRDefault="0083618A">
            <w:pPr>
              <w:spacing w:after="0" w:line="259" w:lineRule="auto"/>
              <w:ind w:left="33" w:right="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4B3D78" w:rsidRDefault="0083618A">
            <w:pPr>
              <w:spacing w:after="0" w:line="259" w:lineRule="auto"/>
              <w:ind w:left="26" w:right="0" w:firstLine="0"/>
              <w:jc w:val="center"/>
            </w:pPr>
            <w:r>
              <w:rPr>
                <w:b/>
                <w:sz w:val="16"/>
              </w:rPr>
              <w:t xml:space="preserve">Bežné účtovné obdobie </w:t>
            </w:r>
            <w:r>
              <w:t xml:space="preserve"> </w:t>
            </w:r>
          </w:p>
        </w:tc>
        <w:tc>
          <w:tcPr>
            <w:tcW w:w="2708" w:type="dxa"/>
            <w:tcBorders>
              <w:top w:val="single" w:sz="6" w:space="0" w:color="000000"/>
              <w:left w:val="single" w:sz="4" w:space="0" w:color="000000"/>
              <w:bottom w:val="single" w:sz="12" w:space="0" w:color="000000"/>
              <w:right w:val="single" w:sz="6" w:space="0" w:color="000000"/>
            </w:tcBorders>
          </w:tcPr>
          <w:p w:rsidR="004B3D78" w:rsidRDefault="0083618A">
            <w:pPr>
              <w:spacing w:after="0" w:line="259" w:lineRule="auto"/>
              <w:ind w:left="0" w:right="0" w:firstLine="0"/>
              <w:jc w:val="center"/>
            </w:pPr>
            <w:r>
              <w:rPr>
                <w:b/>
                <w:sz w:val="16"/>
              </w:rPr>
              <w:t xml:space="preserve">Bezprostredne predchádzajúce účtovné obdobie </w:t>
            </w:r>
            <w:r>
              <w:t xml:space="preserve"> </w:t>
            </w:r>
          </w:p>
        </w:tc>
      </w:tr>
      <w:tr w:rsidR="004B3D78">
        <w:trPr>
          <w:trHeight w:val="962"/>
        </w:trPr>
        <w:tc>
          <w:tcPr>
            <w:tcW w:w="3795" w:type="dxa"/>
            <w:tcBorders>
              <w:top w:val="single" w:sz="12" w:space="0" w:color="000000"/>
              <w:left w:val="single" w:sz="8" w:space="0" w:color="000000"/>
              <w:bottom w:val="single" w:sz="6" w:space="0" w:color="000000"/>
              <w:right w:val="single" w:sz="6" w:space="0" w:color="000000"/>
            </w:tcBorders>
            <w:vAlign w:val="center"/>
          </w:tcPr>
          <w:p w:rsidR="004B3D78" w:rsidRDefault="0083618A">
            <w:pPr>
              <w:spacing w:after="0" w:line="259" w:lineRule="auto"/>
              <w:ind w:left="0" w:righ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4B3D78" w:rsidRDefault="00D137DB">
            <w:pPr>
              <w:spacing w:after="0" w:line="259" w:lineRule="auto"/>
              <w:ind w:left="0" w:right="297" w:firstLine="0"/>
              <w:jc w:val="right"/>
            </w:pPr>
            <w:r>
              <w:rPr>
                <w:sz w:val="16"/>
              </w:rPr>
              <w:t>0</w:t>
            </w:r>
          </w:p>
        </w:tc>
        <w:tc>
          <w:tcPr>
            <w:tcW w:w="2708" w:type="dxa"/>
            <w:tcBorders>
              <w:top w:val="single" w:sz="12" w:space="0" w:color="000000"/>
              <w:left w:val="single" w:sz="6" w:space="0" w:color="000000"/>
              <w:bottom w:val="single" w:sz="6" w:space="0" w:color="000000"/>
              <w:right w:val="single" w:sz="6" w:space="0" w:color="000000"/>
            </w:tcBorders>
            <w:vAlign w:val="center"/>
          </w:tcPr>
          <w:p w:rsidR="004B3D78" w:rsidRDefault="00453484">
            <w:pPr>
              <w:spacing w:after="0" w:line="259" w:lineRule="auto"/>
              <w:ind w:left="0" w:right="299" w:firstLine="0"/>
              <w:jc w:val="right"/>
            </w:pPr>
            <w:r>
              <w:rPr>
                <w:sz w:val="16"/>
              </w:rPr>
              <w:t>0</w:t>
            </w:r>
          </w:p>
        </w:tc>
      </w:tr>
    </w:tbl>
    <w:p w:rsidR="004B3D78" w:rsidRDefault="0083618A">
      <w:pPr>
        <w:spacing w:after="176" w:line="259" w:lineRule="auto"/>
        <w:ind w:left="14" w:right="0" w:firstLine="0"/>
        <w:jc w:val="left"/>
      </w:pPr>
      <w:r>
        <w:rPr>
          <w:b/>
        </w:rPr>
        <w:t xml:space="preserve"> </w:t>
      </w:r>
      <w:r>
        <w:t xml:space="preserve"> </w:t>
      </w:r>
    </w:p>
    <w:p w:rsidR="004B3D78" w:rsidRDefault="0083618A">
      <w:pPr>
        <w:spacing w:after="196"/>
        <w:ind w:left="5" w:right="0"/>
      </w:pPr>
      <w:r>
        <w:t xml:space="preserve">Spoločnosť nie je súčasťou žiadneho konsolidovaného celku.  </w:t>
      </w:r>
    </w:p>
    <w:p w:rsidR="004B3D78" w:rsidRDefault="0083618A">
      <w:pPr>
        <w:spacing w:after="271" w:line="259" w:lineRule="auto"/>
        <w:ind w:left="14" w:right="0" w:firstLine="0"/>
        <w:jc w:val="left"/>
      </w:pPr>
      <w:r>
        <w:t xml:space="preserve">  </w:t>
      </w:r>
    </w:p>
    <w:p w:rsidR="004B3D78" w:rsidRDefault="0083618A">
      <w:pPr>
        <w:pStyle w:val="Nadpis1"/>
        <w:tabs>
          <w:tab w:val="center" w:pos="527"/>
          <w:tab w:val="center" w:pos="3401"/>
        </w:tabs>
        <w:spacing w:after="26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rPr>
          <w:u w:val="none"/>
        </w:rPr>
        <w:tab/>
      </w:r>
      <w:r>
        <w:t xml:space="preserve">INFORMÁCIE O ORGÁNOCH ÚČTOVNEJ </w:t>
      </w:r>
      <w:proofErr w:type="spellStart"/>
      <w:r>
        <w:t>JE</w:t>
      </w:r>
      <w:r w:rsidR="00D137DB">
        <w:t>d</w:t>
      </w:r>
      <w:r>
        <w:t>NOTKY</w:t>
      </w:r>
      <w:proofErr w:type="spellEnd"/>
      <w:r>
        <w:rPr>
          <w:u w:val="none"/>
        </w:rPr>
        <w:t xml:space="preserve">  </w:t>
      </w:r>
    </w:p>
    <w:p w:rsidR="004B3D78" w:rsidRDefault="0083618A">
      <w:pPr>
        <w:ind w:left="5" w:right="0"/>
      </w:pPr>
      <w:r>
        <w:t>Členovia štatutárnych organov nepoberali počas roka 202</w:t>
      </w:r>
      <w:r w:rsidR="00453484">
        <w:t>2</w:t>
      </w:r>
      <w:r>
        <w:t xml:space="preserve"> a 202</w:t>
      </w:r>
      <w:r w:rsidR="00453484">
        <w:t>3</w:t>
      </w:r>
      <w:r>
        <w:t xml:space="preserve"> žiadne príjmy ani výhody a neboli im poskytnuté žiadne záruky alebo pôžičky.  </w:t>
      </w:r>
    </w:p>
    <w:p w:rsidR="004B3D78" w:rsidRDefault="0083618A">
      <w:pPr>
        <w:spacing w:after="0"/>
        <w:ind w:left="5" w:right="0"/>
      </w:pPr>
      <w:r>
        <w:t xml:space="preserve">Informácie o príjmoch a výhodách členov štatutárnych orgánov, dozorných orgánov a iných orgánov  </w:t>
      </w:r>
    </w:p>
    <w:tbl>
      <w:tblPr>
        <w:tblStyle w:val="TableGrid"/>
        <w:tblW w:w="9242" w:type="dxa"/>
        <w:tblInd w:w="-91" w:type="dxa"/>
        <w:tblCellMar>
          <w:left w:w="106" w:type="dxa"/>
          <w:bottom w:w="7" w:type="dxa"/>
        </w:tblCellMar>
        <w:tblLook w:val="04A0" w:firstRow="1" w:lastRow="0" w:firstColumn="1" w:lastColumn="0" w:noHBand="0" w:noVBand="1"/>
      </w:tblPr>
      <w:tblGrid>
        <w:gridCol w:w="1932"/>
        <w:gridCol w:w="1291"/>
        <w:gridCol w:w="1178"/>
        <w:gridCol w:w="1131"/>
        <w:gridCol w:w="1294"/>
        <w:gridCol w:w="1176"/>
        <w:gridCol w:w="1128"/>
        <w:gridCol w:w="112"/>
      </w:tblGrid>
      <w:tr w:rsidR="004B3D78">
        <w:trPr>
          <w:trHeight w:val="691"/>
        </w:trPr>
        <w:tc>
          <w:tcPr>
            <w:tcW w:w="1961" w:type="dxa"/>
            <w:vMerge w:val="restart"/>
            <w:tcBorders>
              <w:top w:val="single" w:sz="2" w:space="0" w:color="000000"/>
              <w:left w:val="single" w:sz="2" w:space="0" w:color="000000"/>
              <w:bottom w:val="single" w:sz="12" w:space="0" w:color="000000"/>
              <w:right w:val="single" w:sz="2" w:space="0" w:color="000000"/>
            </w:tcBorders>
            <w:vAlign w:val="bottom"/>
          </w:tcPr>
          <w:p w:rsidR="004B3D78" w:rsidRDefault="0083618A">
            <w:pPr>
              <w:spacing w:after="0" w:line="259" w:lineRule="auto"/>
              <w:ind w:left="24" w:right="0" w:firstLine="0"/>
              <w:jc w:val="left"/>
            </w:pPr>
            <w:r>
              <w:rPr>
                <w:b/>
                <w:sz w:val="18"/>
              </w:rPr>
              <w:t xml:space="preserve">Druh príjmu, výhody </w:t>
            </w:r>
            <w:r>
              <w:t xml:space="preserve"> </w:t>
            </w:r>
          </w:p>
        </w:tc>
        <w:tc>
          <w:tcPr>
            <w:tcW w:w="3630" w:type="dxa"/>
            <w:gridSpan w:val="3"/>
            <w:tcBorders>
              <w:top w:val="single" w:sz="2" w:space="0" w:color="000000"/>
              <w:left w:val="single" w:sz="2" w:space="0" w:color="000000"/>
              <w:bottom w:val="single" w:sz="6" w:space="0" w:color="000000"/>
              <w:right w:val="single" w:sz="2" w:space="0" w:color="000000"/>
            </w:tcBorders>
            <w:vAlign w:val="center"/>
          </w:tcPr>
          <w:p w:rsidR="004B3D78" w:rsidRDefault="0083618A">
            <w:pPr>
              <w:spacing w:after="0" w:line="259" w:lineRule="auto"/>
              <w:ind w:left="1069" w:right="0" w:hanging="855"/>
            </w:pPr>
            <w:r>
              <w:rPr>
                <w:b/>
                <w:sz w:val="18"/>
              </w:rPr>
              <w:t xml:space="preserve">Hodnota príjmu, výhody súčasných členov orgánov </w:t>
            </w:r>
            <w:r>
              <w:t xml:space="preserve"> </w:t>
            </w:r>
          </w:p>
        </w:tc>
        <w:tc>
          <w:tcPr>
            <w:tcW w:w="3627" w:type="dxa"/>
            <w:gridSpan w:val="3"/>
            <w:tcBorders>
              <w:top w:val="single" w:sz="2" w:space="0" w:color="000000"/>
              <w:left w:val="single" w:sz="2" w:space="0" w:color="000000"/>
              <w:bottom w:val="single" w:sz="6" w:space="0" w:color="000000"/>
              <w:right w:val="single" w:sz="2" w:space="0" w:color="000000"/>
            </w:tcBorders>
            <w:vAlign w:val="center"/>
          </w:tcPr>
          <w:p w:rsidR="004B3D78" w:rsidRDefault="0083618A">
            <w:pPr>
              <w:spacing w:after="0" w:line="259" w:lineRule="auto"/>
              <w:ind w:left="1068" w:right="0" w:hanging="775"/>
            </w:pPr>
            <w:r>
              <w:rPr>
                <w:b/>
                <w:sz w:val="18"/>
              </w:rPr>
              <w:t xml:space="preserve">Hodnota príjmu, výhody bývalých členov orgánov </w:t>
            </w:r>
            <w:r>
              <w:t xml:space="preserve"> </w:t>
            </w:r>
          </w:p>
        </w:tc>
        <w:tc>
          <w:tcPr>
            <w:tcW w:w="24" w:type="dxa"/>
            <w:vMerge w:val="restart"/>
            <w:tcBorders>
              <w:top w:val="nil"/>
              <w:left w:val="single" w:sz="2" w:space="0" w:color="000000"/>
              <w:bottom w:val="single" w:sz="12" w:space="0" w:color="000000"/>
              <w:right w:val="single" w:sz="2" w:space="0" w:color="000000"/>
            </w:tcBorders>
          </w:tcPr>
          <w:p w:rsidR="004B3D78" w:rsidRDefault="004B3D78">
            <w:pPr>
              <w:spacing w:after="160" w:line="259" w:lineRule="auto"/>
              <w:ind w:left="0" w:right="0" w:firstLine="0"/>
              <w:jc w:val="left"/>
            </w:pPr>
          </w:p>
        </w:tc>
      </w:tr>
      <w:tr w:rsidR="004B3D78">
        <w:trPr>
          <w:trHeight w:val="703"/>
        </w:trPr>
        <w:tc>
          <w:tcPr>
            <w:tcW w:w="0" w:type="auto"/>
            <w:vMerge/>
            <w:tcBorders>
              <w:top w:val="nil"/>
              <w:left w:val="single" w:sz="2" w:space="0" w:color="000000"/>
              <w:bottom w:val="nil"/>
              <w:right w:val="single" w:sz="2" w:space="0" w:color="000000"/>
            </w:tcBorders>
          </w:tcPr>
          <w:p w:rsidR="004B3D78" w:rsidRDefault="004B3D78">
            <w:pPr>
              <w:spacing w:after="160" w:line="259" w:lineRule="auto"/>
              <w:ind w:left="0" w:righ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4B3D78" w:rsidRDefault="0083618A">
            <w:pPr>
              <w:tabs>
                <w:tab w:val="center" w:pos="2944"/>
              </w:tabs>
              <w:spacing w:after="0" w:line="259" w:lineRule="auto"/>
              <w:ind w:left="0" w:righ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373" name="Group 7373"/>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54" name="Shape 9154"/>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5" name="Shape 9155"/>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373" style="width:0.240005pt;height:34.44pt;mso-position-horizontal-relative:char;mso-position-vertical-relative:line" coordsize="30,4373">
                      <v:shape id="Shape 9156" style="position:absolute;width:91;height:701;left:0;top:0;" coordsize="9144,70104" path="m0,0l9144,0l9144,70104l0,70104l0,0">
                        <v:stroke weight="0pt" endcap="flat" joinstyle="miter" miterlimit="10" on="false" color="#000000" opacity="0"/>
                        <v:fill on="true" color="#000000"/>
                      </v:shape>
                      <v:shape id="Shape 9157"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374" name="Group 7374"/>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58" name="Shape 9158"/>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9" name="Shape 9159"/>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374" style="width:0.23999pt;height:34.44pt;mso-position-horizontal-relative:char;mso-position-vertical-relative:line" coordsize="30,4373">
                      <v:shape id="Shape 9160" style="position:absolute;width:91;height:701;left:0;top:0;" coordsize="9144,70104" path="m0,0l9144,0l9144,70104l0,70104l0,0">
                        <v:stroke weight="0pt" endcap="flat" joinstyle="miter" miterlimit="10" on="false" color="#000000" opacity="0"/>
                        <v:fill on="true" color="#000000"/>
                      </v:shape>
                      <v:shape id="Shape 9161"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4B3D78" w:rsidRDefault="0083618A">
            <w:pPr>
              <w:tabs>
                <w:tab w:val="center" w:pos="2946"/>
              </w:tabs>
              <w:spacing w:after="0" w:line="259" w:lineRule="auto"/>
              <w:ind w:left="0" w:righ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419" name="Group 7419"/>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62" name="Shape 9162"/>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63" name="Shape 9163"/>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419" style="width:0.23999pt;height:34.44pt;mso-position-horizontal-relative:char;mso-position-vertical-relative:line" coordsize="30,4373">
                      <v:shape id="Shape 9164" style="position:absolute;width:91;height:701;left:0;top:0;" coordsize="9144,70104" path="m0,0l9144,0l9144,70104l0,70104l0,0">
                        <v:stroke weight="0pt" endcap="flat" joinstyle="miter" miterlimit="10" on="false" color="#000000" opacity="0"/>
                        <v:fill on="true" color="#000000"/>
                      </v:shape>
                      <v:shape id="Shape 9165"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420" name="Group 7420"/>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66" name="Shape 9166"/>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67" name="Shape 9167"/>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420" style="width:0.23999pt;height:34.44pt;mso-position-horizontal-relative:char;mso-position-vertical-relative:line" coordsize="30,4373">
                      <v:shape id="Shape 9168" style="position:absolute;width:91;height:701;left:0;top:0;" coordsize="9144,70104" path="m0,0l9144,0l9144,70104l0,70104l0,0">
                        <v:stroke weight="0pt" endcap="flat" joinstyle="miter" miterlimit="10" on="false" color="#000000" opacity="0"/>
                        <v:fill on="true" color="#000000"/>
                      </v:shape>
                      <v:shape id="Shape 9169"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0" w:type="auto"/>
            <w:vMerge/>
            <w:tcBorders>
              <w:top w:val="nil"/>
              <w:left w:val="single" w:sz="2" w:space="0" w:color="000000"/>
              <w:bottom w:val="nil"/>
              <w:right w:val="single" w:sz="2" w:space="0" w:color="000000"/>
            </w:tcBorders>
          </w:tcPr>
          <w:p w:rsidR="004B3D78" w:rsidRDefault="004B3D78">
            <w:pPr>
              <w:spacing w:after="160" w:line="259" w:lineRule="auto"/>
              <w:ind w:left="0" w:right="0" w:firstLine="0"/>
              <w:jc w:val="left"/>
            </w:pPr>
          </w:p>
        </w:tc>
      </w:tr>
      <w:tr w:rsidR="004B3D78">
        <w:trPr>
          <w:trHeight w:val="699"/>
        </w:trPr>
        <w:tc>
          <w:tcPr>
            <w:tcW w:w="0" w:type="auto"/>
            <w:vMerge/>
            <w:tcBorders>
              <w:top w:val="nil"/>
              <w:left w:val="single" w:sz="2" w:space="0" w:color="000000"/>
              <w:bottom w:val="nil"/>
              <w:right w:val="single" w:sz="2" w:space="0" w:color="000000"/>
            </w:tcBorders>
          </w:tcPr>
          <w:p w:rsidR="004B3D78" w:rsidRDefault="004B3D78">
            <w:pPr>
              <w:spacing w:after="160" w:line="259" w:lineRule="auto"/>
              <w:ind w:left="0" w:righ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4B3D78" w:rsidRDefault="0083618A">
            <w:pPr>
              <w:spacing w:after="0" w:line="259" w:lineRule="auto"/>
              <w:ind w:left="0" w:right="113" w:firstLine="0"/>
              <w:jc w:val="center"/>
            </w:pPr>
            <w:r>
              <w:rPr>
                <w:sz w:val="18"/>
              </w:rPr>
              <w:t xml:space="preserve">Časť 1 – Bežné účtovné obdobie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4B3D78" w:rsidRDefault="0083618A">
            <w:pPr>
              <w:spacing w:after="0" w:line="259" w:lineRule="auto"/>
              <w:ind w:left="0" w:right="116"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4B3D78" w:rsidRDefault="004B3D78">
            <w:pPr>
              <w:spacing w:after="160" w:line="259" w:lineRule="auto"/>
              <w:ind w:left="0" w:right="0" w:firstLine="0"/>
              <w:jc w:val="left"/>
            </w:pPr>
          </w:p>
        </w:tc>
      </w:tr>
      <w:tr w:rsidR="004B3D78">
        <w:trPr>
          <w:trHeight w:val="718"/>
        </w:trPr>
        <w:tc>
          <w:tcPr>
            <w:tcW w:w="0" w:type="auto"/>
            <w:vMerge/>
            <w:tcBorders>
              <w:top w:val="nil"/>
              <w:left w:val="single" w:sz="2" w:space="0" w:color="000000"/>
              <w:bottom w:val="single" w:sz="12" w:space="0" w:color="000000"/>
              <w:right w:val="single" w:sz="2" w:space="0" w:color="000000"/>
            </w:tcBorders>
          </w:tcPr>
          <w:p w:rsidR="004B3D78" w:rsidRDefault="004B3D78">
            <w:pPr>
              <w:spacing w:after="160" w:line="259" w:lineRule="auto"/>
              <w:ind w:left="0" w:right="0" w:firstLine="0"/>
              <w:jc w:val="left"/>
            </w:pPr>
          </w:p>
        </w:tc>
        <w:tc>
          <w:tcPr>
            <w:tcW w:w="3630" w:type="dxa"/>
            <w:gridSpan w:val="3"/>
            <w:tcBorders>
              <w:top w:val="single" w:sz="6" w:space="0" w:color="000000"/>
              <w:left w:val="single" w:sz="2" w:space="0" w:color="000000"/>
              <w:bottom w:val="single" w:sz="12" w:space="0" w:color="000000"/>
              <w:right w:val="single" w:sz="2" w:space="0" w:color="000000"/>
            </w:tcBorders>
            <w:vAlign w:val="center"/>
          </w:tcPr>
          <w:p w:rsidR="004B3D78" w:rsidRDefault="0083618A">
            <w:pPr>
              <w:spacing w:after="0" w:line="259" w:lineRule="auto"/>
              <w:ind w:left="1074" w:right="0" w:hanging="956"/>
            </w:pPr>
            <w:r>
              <w:rPr>
                <w:sz w:val="18"/>
              </w:rPr>
              <w:t>Časť 2 – Bezprostredne predchádzajúce účtovné obdobie</w:t>
            </w:r>
            <w:r>
              <w:rPr>
                <w:b/>
                <w:sz w:val="18"/>
              </w:rPr>
              <w:t xml:space="preserve"> </w:t>
            </w:r>
            <w:r>
              <w:t xml:space="preserve"> </w:t>
            </w:r>
          </w:p>
        </w:tc>
        <w:tc>
          <w:tcPr>
            <w:tcW w:w="3627" w:type="dxa"/>
            <w:gridSpan w:val="3"/>
            <w:tcBorders>
              <w:top w:val="single" w:sz="6" w:space="0" w:color="000000"/>
              <w:left w:val="single" w:sz="2" w:space="0" w:color="000000"/>
              <w:bottom w:val="single" w:sz="12" w:space="0" w:color="000000"/>
              <w:right w:val="single" w:sz="2" w:space="0" w:color="000000"/>
            </w:tcBorders>
            <w:vAlign w:val="center"/>
          </w:tcPr>
          <w:p w:rsidR="004B3D78" w:rsidRDefault="0083618A">
            <w:pPr>
              <w:spacing w:after="0" w:line="259" w:lineRule="auto"/>
              <w:ind w:left="1073" w:right="0" w:hanging="955"/>
            </w:pPr>
            <w:r>
              <w:rPr>
                <w:sz w:val="18"/>
              </w:rPr>
              <w:t>Časť 2 – Bezprostredne predchádzajúce účtovné obdobie</w:t>
            </w:r>
            <w:r>
              <w:rPr>
                <w:b/>
                <w:sz w:val="18"/>
              </w:rPr>
              <w:t xml:space="preserve"> </w:t>
            </w:r>
            <w:r>
              <w:t xml:space="preserve"> </w:t>
            </w:r>
          </w:p>
        </w:tc>
        <w:tc>
          <w:tcPr>
            <w:tcW w:w="0" w:type="auto"/>
            <w:vMerge/>
            <w:tcBorders>
              <w:top w:val="nil"/>
              <w:left w:val="single" w:sz="2" w:space="0" w:color="000000"/>
              <w:bottom w:val="single" w:sz="12" w:space="0" w:color="000000"/>
              <w:right w:val="single" w:sz="2" w:space="0" w:color="000000"/>
            </w:tcBorders>
          </w:tcPr>
          <w:p w:rsidR="004B3D78" w:rsidRDefault="004B3D78">
            <w:pPr>
              <w:spacing w:after="160" w:line="259" w:lineRule="auto"/>
              <w:ind w:left="0" w:right="0" w:firstLine="0"/>
              <w:jc w:val="left"/>
            </w:pPr>
          </w:p>
        </w:tc>
      </w:tr>
      <w:tr w:rsidR="004B3D78">
        <w:trPr>
          <w:trHeight w:val="838"/>
        </w:trPr>
        <w:tc>
          <w:tcPr>
            <w:tcW w:w="1961"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5" w:right="0" w:firstLine="0"/>
              <w:jc w:val="left"/>
            </w:pPr>
            <w:r>
              <w:rPr>
                <w:b/>
                <w:sz w:val="18"/>
              </w:rPr>
              <w:t xml:space="preserve">Peňažné príjmy </w:t>
            </w:r>
            <w:r>
              <w:t xml:space="preserve"> </w:t>
            </w:r>
          </w:p>
        </w:tc>
        <w:tc>
          <w:tcPr>
            <w:tcW w:w="1299"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22" w:line="259" w:lineRule="auto"/>
              <w:ind w:left="0" w:right="3" w:firstLine="0"/>
              <w:jc w:val="right"/>
            </w:pPr>
            <w:r>
              <w:rPr>
                <w:sz w:val="18"/>
              </w:rPr>
              <w:t xml:space="preserve"> </w:t>
            </w:r>
          </w:p>
          <w:p w:rsidR="004B3D78" w:rsidRDefault="0083618A">
            <w:pPr>
              <w:spacing w:after="0" w:line="259" w:lineRule="auto"/>
              <w:ind w:left="0" w:right="106" w:firstLine="0"/>
              <w:jc w:val="right"/>
            </w:pPr>
            <w:r>
              <w:rPr>
                <w:sz w:val="18"/>
              </w:rPr>
              <w:t xml:space="preserve">0 </w:t>
            </w:r>
            <w:r>
              <w:t xml:space="preserve"> </w:t>
            </w:r>
          </w:p>
        </w:tc>
        <w:tc>
          <w:tcPr>
            <w:tcW w:w="1188"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04" w:firstLine="0"/>
              <w:jc w:val="right"/>
            </w:pPr>
            <w:r>
              <w:rPr>
                <w:sz w:val="18"/>
              </w:rPr>
              <w:t xml:space="preserve">0 </w:t>
            </w:r>
            <w:r>
              <w:t xml:space="preserve"> </w:t>
            </w:r>
          </w:p>
        </w:tc>
        <w:tc>
          <w:tcPr>
            <w:tcW w:w="1143"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13" w:firstLine="0"/>
              <w:jc w:val="right"/>
            </w:pPr>
            <w:r>
              <w:rPr>
                <w:sz w:val="18"/>
              </w:rPr>
              <w:t xml:space="preserve">0 </w:t>
            </w:r>
            <w:r>
              <w:t xml:space="preserve"> </w:t>
            </w:r>
          </w:p>
        </w:tc>
        <w:tc>
          <w:tcPr>
            <w:tcW w:w="1301"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09" w:firstLine="0"/>
              <w:jc w:val="right"/>
            </w:pPr>
            <w:r>
              <w:rPr>
                <w:sz w:val="18"/>
              </w:rPr>
              <w:t xml:space="preserve">0 </w:t>
            </w:r>
            <w:r>
              <w:t xml:space="preserve"> </w:t>
            </w:r>
          </w:p>
        </w:tc>
        <w:tc>
          <w:tcPr>
            <w:tcW w:w="1186"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04" w:firstLine="0"/>
              <w:jc w:val="right"/>
            </w:pPr>
            <w:r>
              <w:rPr>
                <w:sz w:val="18"/>
              </w:rPr>
              <w:t xml:space="preserve">0 </w:t>
            </w:r>
            <w:r>
              <w:t xml:space="preserve"> </w:t>
            </w:r>
          </w:p>
        </w:tc>
        <w:tc>
          <w:tcPr>
            <w:tcW w:w="1140"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09" w:firstLine="0"/>
              <w:jc w:val="right"/>
            </w:pPr>
            <w:r>
              <w:rPr>
                <w:sz w:val="18"/>
              </w:rPr>
              <w:t xml:space="preserve">0 </w:t>
            </w:r>
            <w:r>
              <w:t xml:space="preserve"> </w:t>
            </w:r>
          </w:p>
        </w:tc>
        <w:tc>
          <w:tcPr>
            <w:tcW w:w="24" w:type="dxa"/>
            <w:tcBorders>
              <w:top w:val="single" w:sz="12" w:space="0" w:color="000000"/>
              <w:left w:val="single" w:sz="4" w:space="0" w:color="000000"/>
              <w:bottom w:val="nil"/>
              <w:right w:val="single" w:sz="4" w:space="0" w:color="000000"/>
            </w:tcBorders>
          </w:tcPr>
          <w:p w:rsidR="004B3D78" w:rsidRDefault="004B3D78">
            <w:pPr>
              <w:spacing w:after="160" w:line="259" w:lineRule="auto"/>
              <w:ind w:left="0" w:right="0" w:firstLine="0"/>
              <w:jc w:val="left"/>
            </w:pPr>
          </w:p>
        </w:tc>
      </w:tr>
    </w:tbl>
    <w:p w:rsidR="004B3D78" w:rsidRDefault="0083618A">
      <w:pPr>
        <w:spacing w:after="400" w:line="259" w:lineRule="auto"/>
        <w:ind w:left="14" w:right="0" w:firstLine="0"/>
        <w:jc w:val="left"/>
      </w:pPr>
      <w:r>
        <w:t xml:space="preserve">  </w:t>
      </w:r>
    </w:p>
    <w:p w:rsidR="004B3D78" w:rsidRDefault="0083618A">
      <w:pPr>
        <w:pStyle w:val="Nadpis1"/>
        <w:tabs>
          <w:tab w:val="center" w:pos="527"/>
          <w:tab w:val="center" w:pos="4140"/>
        </w:tabs>
        <w:spacing w:after="23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rPr>
          <w:u w:val="none"/>
        </w:rPr>
        <w:tab/>
      </w:r>
      <w:r>
        <w:t>ZÁKLADNÉ VÝCHODISKÁ PRE ZOSTAVENIE ÚČTOVNEJ ZÁVIERKY</w:t>
      </w:r>
      <w:r>
        <w:rPr>
          <w:u w:val="none"/>
        </w:rPr>
        <w:t xml:space="preserve">  </w:t>
      </w:r>
    </w:p>
    <w:p w:rsidR="004B3D78" w:rsidRDefault="0083618A">
      <w:pPr>
        <w:spacing w:after="367"/>
        <w:ind w:left="5" w:right="0"/>
      </w:pPr>
      <w:r>
        <w:t xml:space="preserve">Účtovná závierka bola zostavená podľa Zákona č. 431/2002 </w:t>
      </w:r>
      <w:proofErr w:type="spellStart"/>
      <w:r>
        <w:t>Z.z</w:t>
      </w:r>
      <w:proofErr w:type="spellEnd"/>
      <w:r>
        <w:t xml:space="preserve">. o účtovníctve v znení neskorších predpisov za predpokladu nepretržitého trvania jej činnosti a je zostavená ako riadna účtovná závierka.   </w:t>
      </w:r>
    </w:p>
    <w:p w:rsidR="004B3D78" w:rsidRDefault="0083618A">
      <w:pPr>
        <w:pStyle w:val="Nadpis1"/>
        <w:tabs>
          <w:tab w:val="center" w:pos="527"/>
          <w:tab w:val="center" w:pos="3034"/>
        </w:tabs>
        <w:spacing w:after="271"/>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rPr>
          <w:u w:val="none"/>
        </w:rPr>
        <w:tab/>
      </w:r>
      <w:r>
        <w:t>VŠEOBECNÉ ÚČTOVNÉ ZÁSADY A METÓDY</w:t>
      </w:r>
      <w:r>
        <w:rPr>
          <w:u w:val="none"/>
        </w:rPr>
        <w:t xml:space="preserve">  </w:t>
      </w:r>
    </w:p>
    <w:p w:rsidR="004B3D78" w:rsidRDefault="0083618A">
      <w:pPr>
        <w:ind w:left="5" w:right="0"/>
      </w:pPr>
      <w:r>
        <w:t>Účtovné zásady a metódy, ktoré spoločnosť používala pri zostavení účtovnej závierky za rok 202</w:t>
      </w:r>
      <w:r w:rsidR="00453484">
        <w:t>3</w:t>
      </w:r>
      <w:r>
        <w:t xml:space="preserve"> a 202</w:t>
      </w:r>
      <w:r w:rsidR="00453484">
        <w:t>2</w:t>
      </w:r>
      <w:r>
        <w:t xml:space="preserve"> sú nasledovné:</w:t>
      </w:r>
      <w:r>
        <w:rPr>
          <w:i/>
        </w:rPr>
        <w:t xml:space="preserve"> </w:t>
      </w:r>
      <w:r>
        <w:t xml:space="preserve"> </w:t>
      </w:r>
    </w:p>
    <w:p w:rsidR="004B3D78" w:rsidRDefault="0083618A">
      <w:pPr>
        <w:pStyle w:val="Nadpis2"/>
        <w:tabs>
          <w:tab w:val="center" w:pos="1719"/>
        </w:tabs>
        <w:ind w:left="-15" w:firstLine="0"/>
      </w:pPr>
      <w:r>
        <w:lastRenderedPageBreak/>
        <w:t xml:space="preserve">a)  </w:t>
      </w:r>
      <w:r>
        <w:tab/>
        <w:t xml:space="preserve">Dlhodobý hmotný majetok  </w:t>
      </w:r>
    </w:p>
    <w:p w:rsidR="004B3D78" w:rsidRDefault="0083618A">
      <w:pPr>
        <w:ind w:left="5" w:right="0"/>
      </w:pPr>
      <w:r>
        <w:t xml:space="preserve">Nakupovaný dlhodobý hmotný majetok sa oceňuje v obstarávacích cenách, ktoré zahŕňajú cenu obstarania, náklady na dopravu, clo a ďalšie náklady súvisiace s obstaraním.  </w:t>
      </w:r>
    </w:p>
    <w:p w:rsidR="004B3D78" w:rsidRDefault="0083618A">
      <w:pPr>
        <w:spacing w:after="219"/>
        <w:ind w:left="5" w:right="0"/>
      </w:pPr>
      <w:r>
        <w:t xml:space="preserve">Dlhodobý hmotný majetok vytvorený vlastnou činnosťou sa oceňuje vlastnými nákladmi, ktoré zahrňujú priame materiálové a mzdové náklady a výrobné režijné náklady.   </w:t>
      </w:r>
    </w:p>
    <w:p w:rsidR="004B3D78" w:rsidRDefault="0083618A">
      <w:pPr>
        <w:spacing w:after="216"/>
        <w:ind w:left="5" w:right="0"/>
      </w:pPr>
      <w:r>
        <w:t xml:space="preserve">Dlhodobý hmotný majetok získaný bezodplatne sa oceňuje reprodukčnou obstarávacou cenou a účtuje sa v prospech účtu ostatných kapitálových fondov..  </w:t>
      </w:r>
    </w:p>
    <w:p w:rsidR="004B3D78" w:rsidRDefault="0083618A">
      <w:pPr>
        <w:spacing w:after="188"/>
        <w:ind w:left="5" w:right="0"/>
      </w:pPr>
      <w:r>
        <w:t xml:space="preserve">Náklady na technické zhodnotenie dlhodobého hmotného majetku zvyšujú jeho obstarávaciu cenu. Opravy a údržba sa účtujú do nákladov.  </w:t>
      </w:r>
    </w:p>
    <w:p w:rsidR="004B3D78" w:rsidRDefault="0083618A">
      <w:pPr>
        <w:pStyle w:val="Nadpis3"/>
      </w:pPr>
      <w:r>
        <w:t xml:space="preserve">Odpisovanie  </w:t>
      </w:r>
    </w:p>
    <w:p w:rsidR="004B3D78" w:rsidRDefault="0083618A">
      <w:pPr>
        <w:spacing w:after="47"/>
        <w:ind w:left="5" w:right="0"/>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p w:rsidR="004B3D78" w:rsidRDefault="0083618A">
      <w:pPr>
        <w:tabs>
          <w:tab w:val="center" w:pos="1666"/>
          <w:tab w:val="center" w:pos="4060"/>
          <w:tab w:val="center" w:pos="5617"/>
          <w:tab w:val="center" w:pos="7177"/>
        </w:tabs>
        <w:spacing w:after="35" w:line="259" w:lineRule="auto"/>
        <w:ind w:left="0" w:right="0" w:firstLine="0"/>
        <w:jc w:val="left"/>
      </w:pPr>
      <w:r>
        <w:rPr>
          <w:rFonts w:ascii="Calibri" w:eastAsia="Calibri" w:hAnsi="Calibri" w:cs="Calibri"/>
          <w:sz w:val="22"/>
        </w:rPr>
        <w:tab/>
      </w:r>
      <w:r>
        <w:rPr>
          <w:b/>
          <w:sz w:val="16"/>
        </w:rPr>
        <w:t xml:space="preserve"> </w:t>
      </w:r>
      <w:r>
        <w:t xml:space="preserve"> </w:t>
      </w:r>
      <w:r>
        <w:tab/>
      </w:r>
      <w:r>
        <w:rPr>
          <w:b/>
          <w:sz w:val="16"/>
        </w:rPr>
        <w:t xml:space="preserve">Predpokladaná </w:t>
      </w:r>
      <w:r>
        <w:rPr>
          <w:b/>
          <w:sz w:val="16"/>
        </w:rPr>
        <w:tab/>
        <w:t xml:space="preserve">Ročná odpisová </w:t>
      </w:r>
      <w:r>
        <w:rPr>
          <w:b/>
          <w:sz w:val="16"/>
        </w:rPr>
        <w:tab/>
        <w:t xml:space="preserve">Metóda </w:t>
      </w:r>
    </w:p>
    <w:tbl>
      <w:tblPr>
        <w:tblStyle w:val="TableGrid"/>
        <w:tblpPr w:vertAnchor="text" w:tblpX="122" w:tblpY="229"/>
        <w:tblOverlap w:val="never"/>
        <w:tblW w:w="7581" w:type="dxa"/>
        <w:tblInd w:w="0" w:type="dxa"/>
        <w:tblCellMar>
          <w:top w:w="25" w:type="dxa"/>
          <w:bottom w:w="7" w:type="dxa"/>
        </w:tblCellMar>
        <w:tblLook w:val="04A0" w:firstRow="1" w:lastRow="0" w:firstColumn="1" w:lastColumn="0" w:noHBand="0" w:noVBand="1"/>
      </w:tblPr>
      <w:tblGrid>
        <w:gridCol w:w="3798"/>
        <w:gridCol w:w="1426"/>
        <w:gridCol w:w="1363"/>
        <w:gridCol w:w="994"/>
      </w:tblGrid>
      <w:tr w:rsidR="004B3D78">
        <w:trPr>
          <w:trHeight w:val="278"/>
        </w:trPr>
        <w:tc>
          <w:tcPr>
            <w:tcW w:w="3797" w:type="dxa"/>
            <w:tcBorders>
              <w:top w:val="nil"/>
              <w:left w:val="nil"/>
              <w:bottom w:val="nil"/>
              <w:right w:val="nil"/>
            </w:tcBorders>
          </w:tcPr>
          <w:p w:rsidR="004B3D78" w:rsidRDefault="0083618A">
            <w:pPr>
              <w:spacing w:after="0" w:line="259" w:lineRule="auto"/>
              <w:ind w:left="0" w:right="0" w:firstLine="0"/>
              <w:jc w:val="left"/>
            </w:pPr>
            <w:r>
              <w:rPr>
                <w:sz w:val="16"/>
              </w:rPr>
              <w:t xml:space="preserve">Dopravné prostriedky </w:t>
            </w:r>
            <w:r>
              <w:t xml:space="preserve"> </w:t>
            </w:r>
          </w:p>
        </w:tc>
        <w:tc>
          <w:tcPr>
            <w:tcW w:w="1426" w:type="dxa"/>
            <w:tcBorders>
              <w:top w:val="nil"/>
              <w:left w:val="nil"/>
              <w:bottom w:val="nil"/>
              <w:right w:val="nil"/>
            </w:tcBorders>
          </w:tcPr>
          <w:p w:rsidR="004B3D78" w:rsidRDefault="0083618A">
            <w:pPr>
              <w:spacing w:after="0" w:line="259" w:lineRule="auto"/>
              <w:ind w:left="94" w:right="0" w:firstLine="0"/>
              <w:jc w:val="left"/>
            </w:pPr>
            <w:r>
              <w:rPr>
                <w:sz w:val="16"/>
              </w:rPr>
              <w:t xml:space="preserve">4 </w:t>
            </w:r>
            <w:r>
              <w:t xml:space="preserve"> </w:t>
            </w:r>
          </w:p>
        </w:tc>
        <w:tc>
          <w:tcPr>
            <w:tcW w:w="1363" w:type="dxa"/>
            <w:tcBorders>
              <w:top w:val="nil"/>
              <w:left w:val="nil"/>
              <w:bottom w:val="nil"/>
              <w:right w:val="nil"/>
            </w:tcBorders>
          </w:tcPr>
          <w:p w:rsidR="004B3D78" w:rsidRDefault="0083618A">
            <w:pPr>
              <w:spacing w:after="0" w:line="259" w:lineRule="auto"/>
              <w:ind w:left="110" w:right="0" w:firstLine="0"/>
              <w:jc w:val="left"/>
            </w:pPr>
            <w:r>
              <w:rPr>
                <w:sz w:val="16"/>
              </w:rPr>
              <w:t xml:space="preserve">25% </w:t>
            </w:r>
            <w:r>
              <w:t xml:space="preserve"> </w:t>
            </w:r>
          </w:p>
        </w:tc>
        <w:tc>
          <w:tcPr>
            <w:tcW w:w="994" w:type="dxa"/>
            <w:tcBorders>
              <w:top w:val="nil"/>
              <w:left w:val="nil"/>
              <w:bottom w:val="nil"/>
              <w:right w:val="nil"/>
            </w:tcBorders>
          </w:tcPr>
          <w:p w:rsidR="004B3D78" w:rsidRDefault="0083618A">
            <w:pPr>
              <w:spacing w:after="0" w:line="259" w:lineRule="auto"/>
              <w:ind w:left="41" w:right="0" w:firstLine="0"/>
            </w:pPr>
            <w:r>
              <w:rPr>
                <w:sz w:val="16"/>
              </w:rPr>
              <w:t xml:space="preserve">rovnomerná </w:t>
            </w:r>
            <w:r>
              <w:t xml:space="preserve"> </w:t>
            </w:r>
          </w:p>
        </w:tc>
      </w:tr>
      <w:tr w:rsidR="004B3D78">
        <w:trPr>
          <w:trHeight w:val="332"/>
        </w:trPr>
        <w:tc>
          <w:tcPr>
            <w:tcW w:w="3797" w:type="dxa"/>
            <w:tcBorders>
              <w:top w:val="nil"/>
              <w:left w:val="nil"/>
              <w:bottom w:val="nil"/>
              <w:right w:val="nil"/>
            </w:tcBorders>
          </w:tcPr>
          <w:p w:rsidR="004B3D78" w:rsidRDefault="0083618A">
            <w:pPr>
              <w:spacing w:after="0" w:line="259" w:lineRule="auto"/>
              <w:ind w:left="0" w:right="0" w:firstLine="0"/>
              <w:jc w:val="left"/>
            </w:pPr>
            <w:r>
              <w:rPr>
                <w:sz w:val="16"/>
              </w:rPr>
              <w:t xml:space="preserve">Inventár </w:t>
            </w:r>
            <w:r>
              <w:t xml:space="preserve"> </w:t>
            </w:r>
          </w:p>
        </w:tc>
        <w:tc>
          <w:tcPr>
            <w:tcW w:w="1426" w:type="dxa"/>
            <w:tcBorders>
              <w:top w:val="nil"/>
              <w:left w:val="nil"/>
              <w:bottom w:val="nil"/>
              <w:right w:val="nil"/>
            </w:tcBorders>
          </w:tcPr>
          <w:p w:rsidR="004B3D78" w:rsidRDefault="0083618A">
            <w:pPr>
              <w:spacing w:after="0" w:line="259" w:lineRule="auto"/>
              <w:ind w:left="94" w:right="0" w:firstLine="0"/>
              <w:jc w:val="left"/>
            </w:pPr>
            <w:r>
              <w:rPr>
                <w:sz w:val="16"/>
              </w:rPr>
              <w:t xml:space="preserve">4 </w:t>
            </w:r>
            <w:r>
              <w:t xml:space="preserve"> </w:t>
            </w:r>
          </w:p>
        </w:tc>
        <w:tc>
          <w:tcPr>
            <w:tcW w:w="1363" w:type="dxa"/>
            <w:tcBorders>
              <w:top w:val="nil"/>
              <w:left w:val="nil"/>
              <w:bottom w:val="nil"/>
              <w:right w:val="nil"/>
            </w:tcBorders>
          </w:tcPr>
          <w:p w:rsidR="004B3D78" w:rsidRDefault="0083618A">
            <w:pPr>
              <w:spacing w:after="0" w:line="259" w:lineRule="auto"/>
              <w:ind w:left="110" w:right="0" w:firstLine="0"/>
              <w:jc w:val="left"/>
            </w:pPr>
            <w:r>
              <w:rPr>
                <w:sz w:val="16"/>
              </w:rPr>
              <w:t xml:space="preserve">25% </w:t>
            </w:r>
            <w:r>
              <w:t xml:space="preserve"> </w:t>
            </w:r>
          </w:p>
        </w:tc>
        <w:tc>
          <w:tcPr>
            <w:tcW w:w="994" w:type="dxa"/>
            <w:tcBorders>
              <w:top w:val="nil"/>
              <w:left w:val="nil"/>
              <w:bottom w:val="nil"/>
              <w:right w:val="nil"/>
            </w:tcBorders>
          </w:tcPr>
          <w:p w:rsidR="004B3D78" w:rsidRDefault="0083618A">
            <w:pPr>
              <w:spacing w:after="0" w:line="259" w:lineRule="auto"/>
              <w:ind w:left="41" w:right="0" w:firstLine="0"/>
            </w:pPr>
            <w:r>
              <w:rPr>
                <w:sz w:val="16"/>
              </w:rPr>
              <w:t xml:space="preserve">rovnomerná </w:t>
            </w:r>
            <w:r>
              <w:t xml:space="preserve"> </w:t>
            </w:r>
          </w:p>
        </w:tc>
      </w:tr>
      <w:tr w:rsidR="004B3D78">
        <w:trPr>
          <w:trHeight w:val="756"/>
        </w:trPr>
        <w:tc>
          <w:tcPr>
            <w:tcW w:w="3797" w:type="dxa"/>
            <w:tcBorders>
              <w:top w:val="nil"/>
              <w:left w:val="nil"/>
              <w:bottom w:val="nil"/>
              <w:right w:val="nil"/>
            </w:tcBorders>
            <w:vAlign w:val="center"/>
          </w:tcPr>
          <w:p w:rsidR="004B3D78" w:rsidRDefault="0083618A">
            <w:pPr>
              <w:spacing w:after="117" w:line="259" w:lineRule="auto"/>
              <w:ind w:left="0" w:right="0" w:firstLine="0"/>
              <w:jc w:val="left"/>
            </w:pPr>
            <w:proofErr w:type="spellStart"/>
            <w:r>
              <w:rPr>
                <w:sz w:val="16"/>
              </w:rPr>
              <w:t>Stroje,prístroje</w:t>
            </w:r>
            <w:proofErr w:type="spellEnd"/>
            <w:r>
              <w:rPr>
                <w:sz w:val="16"/>
              </w:rPr>
              <w:t xml:space="preserve">                                                </w:t>
            </w:r>
            <w:r>
              <w:t xml:space="preserve"> </w:t>
            </w:r>
          </w:p>
          <w:p w:rsidR="004B3D78" w:rsidRDefault="0083618A">
            <w:pPr>
              <w:spacing w:after="0" w:line="259" w:lineRule="auto"/>
              <w:ind w:left="0" w:right="0" w:firstLine="0"/>
              <w:jc w:val="left"/>
            </w:pPr>
            <w:r>
              <w:rPr>
                <w:sz w:val="16"/>
              </w:rPr>
              <w:t xml:space="preserve"> </w:t>
            </w:r>
            <w:r>
              <w:t xml:space="preserve"> </w:t>
            </w:r>
          </w:p>
        </w:tc>
        <w:tc>
          <w:tcPr>
            <w:tcW w:w="1426" w:type="dxa"/>
            <w:tcBorders>
              <w:top w:val="nil"/>
              <w:left w:val="nil"/>
              <w:bottom w:val="nil"/>
              <w:right w:val="nil"/>
            </w:tcBorders>
          </w:tcPr>
          <w:p w:rsidR="004B3D78" w:rsidRDefault="0083618A">
            <w:pPr>
              <w:spacing w:after="117" w:line="259" w:lineRule="auto"/>
              <w:ind w:left="0" w:right="0" w:firstLine="0"/>
              <w:jc w:val="left"/>
            </w:pPr>
            <w:r>
              <w:rPr>
                <w:sz w:val="16"/>
              </w:rPr>
              <w:t xml:space="preserve">6 -8               </w:t>
            </w:r>
            <w:r>
              <w:t xml:space="preserve"> </w:t>
            </w:r>
          </w:p>
          <w:p w:rsidR="004B3D78" w:rsidRDefault="0083618A">
            <w:pPr>
              <w:spacing w:after="0" w:line="259" w:lineRule="auto"/>
              <w:ind w:left="139" w:right="0" w:firstLine="0"/>
              <w:jc w:val="left"/>
            </w:pPr>
            <w:r>
              <w:rPr>
                <w:sz w:val="16"/>
              </w:rPr>
              <w:t xml:space="preserve"> </w:t>
            </w:r>
            <w:r>
              <w:t xml:space="preserve"> </w:t>
            </w:r>
          </w:p>
        </w:tc>
        <w:tc>
          <w:tcPr>
            <w:tcW w:w="1363" w:type="dxa"/>
            <w:tcBorders>
              <w:top w:val="nil"/>
              <w:left w:val="nil"/>
              <w:bottom w:val="nil"/>
              <w:right w:val="nil"/>
            </w:tcBorders>
            <w:vAlign w:val="center"/>
          </w:tcPr>
          <w:p w:rsidR="004B3D78" w:rsidRDefault="0083618A">
            <w:pPr>
              <w:spacing w:after="116" w:line="259" w:lineRule="auto"/>
              <w:ind w:left="60" w:right="0" w:firstLine="0"/>
              <w:jc w:val="left"/>
            </w:pPr>
            <w:r>
              <w:rPr>
                <w:sz w:val="16"/>
              </w:rPr>
              <w:t xml:space="preserve">25 ¨%             </w:t>
            </w:r>
            <w:r>
              <w:t xml:space="preserve"> </w:t>
            </w:r>
          </w:p>
          <w:p w:rsidR="004B3D78" w:rsidRDefault="0083618A">
            <w:pPr>
              <w:spacing w:after="0" w:line="259" w:lineRule="auto"/>
              <w:ind w:left="271" w:right="0" w:firstLine="0"/>
              <w:jc w:val="left"/>
            </w:pPr>
            <w:r>
              <w:rPr>
                <w:sz w:val="16"/>
              </w:rPr>
              <w:t xml:space="preserve"> </w:t>
            </w:r>
            <w:r>
              <w:t xml:space="preserve"> </w:t>
            </w:r>
          </w:p>
        </w:tc>
        <w:tc>
          <w:tcPr>
            <w:tcW w:w="994" w:type="dxa"/>
            <w:tcBorders>
              <w:top w:val="nil"/>
              <w:left w:val="nil"/>
              <w:bottom w:val="nil"/>
              <w:right w:val="nil"/>
            </w:tcBorders>
            <w:vAlign w:val="center"/>
          </w:tcPr>
          <w:p w:rsidR="004B3D78" w:rsidRDefault="0083618A">
            <w:pPr>
              <w:spacing w:after="116" w:line="259" w:lineRule="auto"/>
              <w:ind w:left="41" w:right="0" w:firstLine="0"/>
            </w:pPr>
            <w:r>
              <w:rPr>
                <w:sz w:val="16"/>
              </w:rPr>
              <w:t xml:space="preserve">rovnomerná </w:t>
            </w:r>
            <w:r>
              <w:t xml:space="preserve"> </w:t>
            </w:r>
          </w:p>
          <w:p w:rsidR="004B3D78" w:rsidRDefault="0083618A">
            <w:pPr>
              <w:spacing w:after="0" w:line="259" w:lineRule="auto"/>
              <w:ind w:left="43" w:right="0" w:firstLine="0"/>
              <w:jc w:val="center"/>
            </w:pPr>
            <w:r>
              <w:rPr>
                <w:sz w:val="16"/>
              </w:rPr>
              <w:t xml:space="preserve"> </w:t>
            </w:r>
            <w:r>
              <w:t xml:space="preserve"> </w:t>
            </w:r>
          </w:p>
        </w:tc>
      </w:tr>
      <w:tr w:rsidR="004B3D78">
        <w:trPr>
          <w:trHeight w:val="361"/>
        </w:trPr>
        <w:tc>
          <w:tcPr>
            <w:tcW w:w="3797" w:type="dxa"/>
            <w:tcBorders>
              <w:top w:val="nil"/>
              <w:left w:val="nil"/>
              <w:bottom w:val="nil"/>
              <w:right w:val="nil"/>
            </w:tcBorders>
            <w:vAlign w:val="bottom"/>
          </w:tcPr>
          <w:p w:rsidR="004B3D78" w:rsidRDefault="0083618A">
            <w:pPr>
              <w:spacing w:after="0" w:line="259" w:lineRule="auto"/>
              <w:ind w:left="0" w:right="0" w:firstLine="0"/>
              <w:jc w:val="left"/>
            </w:pPr>
            <w:r>
              <w:rPr>
                <w:sz w:val="16"/>
              </w:rPr>
              <w:t xml:space="preserve">Stavby </w:t>
            </w:r>
            <w:r>
              <w:t xml:space="preserve"> </w:t>
            </w:r>
          </w:p>
        </w:tc>
        <w:tc>
          <w:tcPr>
            <w:tcW w:w="1426" w:type="dxa"/>
            <w:tcBorders>
              <w:top w:val="nil"/>
              <w:left w:val="nil"/>
              <w:bottom w:val="nil"/>
              <w:right w:val="nil"/>
            </w:tcBorders>
            <w:vAlign w:val="bottom"/>
          </w:tcPr>
          <w:p w:rsidR="004B3D78" w:rsidRDefault="0083618A">
            <w:pPr>
              <w:spacing w:after="0" w:line="259" w:lineRule="auto"/>
              <w:ind w:left="50" w:right="0" w:firstLine="0"/>
              <w:jc w:val="left"/>
            </w:pPr>
            <w:r>
              <w:rPr>
                <w:sz w:val="16"/>
              </w:rPr>
              <w:t xml:space="preserve">20                </w:t>
            </w:r>
            <w:r>
              <w:t xml:space="preserve"> </w:t>
            </w:r>
          </w:p>
        </w:tc>
        <w:tc>
          <w:tcPr>
            <w:tcW w:w="1363" w:type="dxa"/>
            <w:tcBorders>
              <w:top w:val="nil"/>
              <w:left w:val="nil"/>
              <w:bottom w:val="nil"/>
              <w:right w:val="nil"/>
            </w:tcBorders>
            <w:vAlign w:val="bottom"/>
          </w:tcPr>
          <w:p w:rsidR="004B3D78" w:rsidRDefault="0083618A">
            <w:pPr>
              <w:spacing w:after="0" w:line="259" w:lineRule="auto"/>
              <w:ind w:left="110" w:right="0" w:firstLine="0"/>
              <w:jc w:val="left"/>
            </w:pPr>
            <w:r>
              <w:rPr>
                <w:sz w:val="16"/>
              </w:rPr>
              <w:t xml:space="preserve">25%              </w:t>
            </w:r>
            <w:r>
              <w:t xml:space="preserve"> </w:t>
            </w:r>
          </w:p>
        </w:tc>
        <w:tc>
          <w:tcPr>
            <w:tcW w:w="994" w:type="dxa"/>
            <w:tcBorders>
              <w:top w:val="nil"/>
              <w:left w:val="nil"/>
              <w:bottom w:val="nil"/>
              <w:right w:val="nil"/>
            </w:tcBorders>
            <w:vAlign w:val="bottom"/>
          </w:tcPr>
          <w:p w:rsidR="004B3D78" w:rsidRDefault="0083618A">
            <w:pPr>
              <w:spacing w:after="0" w:line="259" w:lineRule="auto"/>
              <w:ind w:left="41" w:right="0" w:firstLine="0"/>
            </w:pPr>
            <w:r>
              <w:rPr>
                <w:sz w:val="16"/>
              </w:rPr>
              <w:t xml:space="preserve">rovnomerné </w:t>
            </w:r>
            <w:r>
              <w:t xml:space="preserve"> </w:t>
            </w:r>
          </w:p>
        </w:tc>
      </w:tr>
    </w:tbl>
    <w:p w:rsidR="004B3D78" w:rsidRDefault="0083618A">
      <w:pPr>
        <w:tabs>
          <w:tab w:val="center" w:pos="4060"/>
          <w:tab w:val="center" w:pos="5618"/>
          <w:tab w:val="center" w:pos="7177"/>
        </w:tabs>
        <w:spacing w:after="57"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9144</wp:posOffset>
                </wp:positionH>
                <wp:positionV relativeFrom="paragraph">
                  <wp:posOffset>143791</wp:posOffset>
                </wp:positionV>
                <wp:extent cx="5043805" cy="6096"/>
                <wp:effectExtent l="0" t="0" r="0" b="0"/>
                <wp:wrapSquare wrapText="bothSides"/>
                <wp:docPr id="6497" name="Group 6497"/>
                <wp:cNvGraphicFramePr/>
                <a:graphic xmlns:a="http://schemas.openxmlformats.org/drawingml/2006/main">
                  <a:graphicData uri="http://schemas.microsoft.com/office/word/2010/wordprocessingGroup">
                    <wpg:wgp>
                      <wpg:cNvGrpSpPr/>
                      <wpg:grpSpPr>
                        <a:xfrm>
                          <a:off x="0" y="0"/>
                          <a:ext cx="5043805" cy="6096"/>
                          <a:chOff x="0" y="0"/>
                          <a:chExt cx="5043805" cy="6096"/>
                        </a:xfrm>
                      </wpg:grpSpPr>
                      <wps:wsp>
                        <wps:cNvPr id="9170" name="Shape 9170"/>
                        <wps:cNvSpPr/>
                        <wps:spPr>
                          <a:xfrm>
                            <a:off x="0" y="0"/>
                            <a:ext cx="2168906" cy="9144"/>
                          </a:xfrm>
                          <a:custGeom>
                            <a:avLst/>
                            <a:gdLst/>
                            <a:ahLst/>
                            <a:cxnLst/>
                            <a:rect l="0" t="0" r="0" b="0"/>
                            <a:pathLst>
                              <a:path w="2168906" h="9144">
                                <a:moveTo>
                                  <a:pt x="0" y="0"/>
                                </a:moveTo>
                                <a:lnTo>
                                  <a:pt x="2168906" y="0"/>
                                </a:lnTo>
                                <a:lnTo>
                                  <a:pt x="21689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1" name="Shape 9171"/>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2" name="Shape 9172"/>
                        <wps:cNvSpPr/>
                        <wps:spPr>
                          <a:xfrm>
                            <a:off x="2175078"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3" name="Shape 9173"/>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4" name="Shape 9174"/>
                        <wps:cNvSpPr/>
                        <wps:spPr>
                          <a:xfrm>
                            <a:off x="3168980"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5" name="Shape 9175"/>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6" name="Shape 9176"/>
                        <wps:cNvSpPr/>
                        <wps:spPr>
                          <a:xfrm>
                            <a:off x="425711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497" style="width:397.15pt;height:0.47998pt;position:absolute;mso-position-horizontal-relative:text;mso-position-horizontal:absolute;margin-left:0.719994pt;mso-position-vertical-relative:text;margin-top:11.3221pt;" coordsize="50438,60">
                <v:shape id="Shape 9177" style="position:absolute;width:21689;height:91;left:0;top:0;" coordsize="2168906,9144" path="m0,0l2168906,0l2168906,9144l0,9144l0,0">
                  <v:stroke weight="0pt" endcap="flat" joinstyle="miter" miterlimit="10" on="false" color="#000000" opacity="0"/>
                  <v:fill on="true" color="#000000"/>
                </v:shape>
                <v:shape id="Shape 9178" style="position:absolute;width:91;height:91;left:21689;top:0;" coordsize="9144,9144" path="m0,0l9144,0l9144,9144l0,9144l0,0">
                  <v:stroke weight="0pt" endcap="flat" joinstyle="miter" miterlimit="10" on="false" color="#000000" opacity="0"/>
                  <v:fill on="true" color="#000000"/>
                </v:shape>
                <v:shape id="Shape 9179" style="position:absolute;width:9878;height:91;left:21750;top:0;" coordsize="987857,9144" path="m0,0l987857,0l987857,9144l0,9144l0,0">
                  <v:stroke weight="0pt" endcap="flat" joinstyle="miter" miterlimit="10" on="false" color="#000000" opacity="0"/>
                  <v:fill on="true" color="#000000"/>
                </v:shape>
                <v:shape id="Shape 9180" style="position:absolute;width:91;height:91;left:31628;top:0;" coordsize="9144,9144" path="m0,0l9144,0l9144,9144l0,9144l0,0">
                  <v:stroke weight="0pt" endcap="flat" joinstyle="miter" miterlimit="10" on="false" color="#000000" opacity="0"/>
                  <v:fill on="true" color="#000000"/>
                </v:shape>
                <v:shape id="Shape 9181" style="position:absolute;width:10820;height:91;left:31689;top:0;" coordsize="1082040,9144" path="m0,0l1082040,0l1082040,9144l0,9144l0,0">
                  <v:stroke weight="0pt" endcap="flat" joinstyle="miter" miterlimit="10" on="false" color="#000000" opacity="0"/>
                  <v:fill on="true" color="#000000"/>
                </v:shape>
                <v:shape id="Shape 9182" style="position:absolute;width:91;height:91;left:42510;top:0;" coordsize="9144,9144" path="m0,0l9144,0l9144,9144l0,9144l0,0">
                  <v:stroke weight="0pt" endcap="flat" joinstyle="miter" miterlimit="10" on="false" color="#000000" opacity="0"/>
                  <v:fill on="true" color="#000000"/>
                </v:shape>
                <v:shape id="Shape 9183" style="position:absolute;width:7866;height:91;left:42571;top:0;" coordsize="786689,9144" path="m0,0l786689,0l786689,9144l0,9144l0,0">
                  <v:stroke weight="0pt" endcap="flat" joinstyle="miter" miterlimit="10" on="false" color="#000000" opacity="0"/>
                  <v:fill on="true" color="#000000"/>
                </v:shape>
                <w10:wrap type="square"/>
              </v:group>
            </w:pict>
          </mc:Fallback>
        </mc:AlternateContent>
      </w:r>
      <w:r>
        <w:rPr>
          <w:rFonts w:ascii="Calibri" w:eastAsia="Calibri" w:hAnsi="Calibri" w:cs="Calibri"/>
          <w:sz w:val="22"/>
        </w:rPr>
        <w:tab/>
      </w:r>
      <w:r>
        <w:rPr>
          <w:b/>
          <w:sz w:val="16"/>
        </w:rPr>
        <w:t xml:space="preserve">doba používania </w:t>
      </w:r>
      <w:r>
        <w:t xml:space="preserve"> </w:t>
      </w:r>
      <w:r>
        <w:tab/>
      </w:r>
      <w:r>
        <w:rPr>
          <w:b/>
          <w:sz w:val="16"/>
        </w:rPr>
        <w:t xml:space="preserve">sadzba </w:t>
      </w:r>
      <w:r>
        <w:t xml:space="preserve"> </w:t>
      </w:r>
      <w:r>
        <w:tab/>
      </w:r>
      <w:r>
        <w:rPr>
          <w:b/>
          <w:sz w:val="16"/>
        </w:rPr>
        <w:t xml:space="preserve">odpisovania </w:t>
      </w:r>
      <w:r>
        <w:t xml:space="preserve"> </w:t>
      </w:r>
    </w:p>
    <w:p w:rsidR="004B3D78" w:rsidRDefault="0083618A">
      <w:pPr>
        <w:spacing w:before="11" w:after="5" w:line="259" w:lineRule="auto"/>
        <w:ind w:left="0" w:right="0" w:firstLine="0"/>
        <w:jc w:val="left"/>
      </w:pPr>
      <w:r>
        <w:rPr>
          <w:rFonts w:ascii="Calibri" w:eastAsia="Calibri" w:hAnsi="Calibri" w:cs="Calibri"/>
          <w:noProof/>
          <w:sz w:val="22"/>
        </w:rPr>
        <mc:AlternateContent>
          <mc:Choice Requires="wpg">
            <w:drawing>
              <wp:inline distT="0" distB="0" distL="0" distR="0">
                <wp:extent cx="5052949" cy="6096"/>
                <wp:effectExtent l="0" t="0" r="0" b="0"/>
                <wp:docPr id="6498" name="Group 6498"/>
                <wp:cNvGraphicFramePr/>
                <a:graphic xmlns:a="http://schemas.openxmlformats.org/drawingml/2006/main">
                  <a:graphicData uri="http://schemas.microsoft.com/office/word/2010/wordprocessingGroup">
                    <wpg:wgp>
                      <wpg:cNvGrpSpPr/>
                      <wpg:grpSpPr>
                        <a:xfrm>
                          <a:off x="0" y="0"/>
                          <a:ext cx="5052949" cy="6096"/>
                          <a:chOff x="0" y="0"/>
                          <a:chExt cx="5052949" cy="6096"/>
                        </a:xfrm>
                      </wpg:grpSpPr>
                      <wps:wsp>
                        <wps:cNvPr id="9184" name="Shape 9184"/>
                        <wps:cNvSpPr/>
                        <wps:spPr>
                          <a:xfrm>
                            <a:off x="0" y="0"/>
                            <a:ext cx="2178050" cy="9144"/>
                          </a:xfrm>
                          <a:custGeom>
                            <a:avLst/>
                            <a:gdLst/>
                            <a:ahLst/>
                            <a:cxnLst/>
                            <a:rect l="0" t="0" r="0" b="0"/>
                            <a:pathLst>
                              <a:path w="2178050" h="9144">
                                <a:moveTo>
                                  <a:pt x="0" y="0"/>
                                </a:moveTo>
                                <a:lnTo>
                                  <a:pt x="2178050" y="0"/>
                                </a:lnTo>
                                <a:lnTo>
                                  <a:pt x="2178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5" name="Shape 9185"/>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6" name="Shape 9186"/>
                        <wps:cNvSpPr/>
                        <wps:spPr>
                          <a:xfrm>
                            <a:off x="2175078" y="0"/>
                            <a:ext cx="997001" cy="9144"/>
                          </a:xfrm>
                          <a:custGeom>
                            <a:avLst/>
                            <a:gdLst/>
                            <a:ahLst/>
                            <a:cxnLst/>
                            <a:rect l="0" t="0" r="0" b="0"/>
                            <a:pathLst>
                              <a:path w="997001" h="9144">
                                <a:moveTo>
                                  <a:pt x="0" y="0"/>
                                </a:moveTo>
                                <a:lnTo>
                                  <a:pt x="997001" y="0"/>
                                </a:lnTo>
                                <a:lnTo>
                                  <a:pt x="9970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7" name="Shape 9187"/>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8" name="Shape 9188"/>
                        <wps:cNvSpPr/>
                        <wps:spPr>
                          <a:xfrm>
                            <a:off x="3168980" y="0"/>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9" name="Shape 9189"/>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90" name="Shape 9190"/>
                        <wps:cNvSpPr/>
                        <wps:spPr>
                          <a:xfrm>
                            <a:off x="425711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498" style="width:397.87pt;height:0.47998pt;mso-position-horizontal-relative:char;mso-position-vertical-relative:line" coordsize="50529,60">
                <v:shape id="Shape 9191" style="position:absolute;width:21780;height:91;left:0;top:0;" coordsize="2178050,9144" path="m0,0l2178050,0l2178050,9144l0,9144l0,0">
                  <v:stroke weight="0pt" endcap="flat" joinstyle="miter" miterlimit="10" on="false" color="#000000" opacity="0"/>
                  <v:fill on="true" color="#000000"/>
                </v:shape>
                <v:shape id="Shape 9192" style="position:absolute;width:91;height:91;left:21689;top:0;" coordsize="9144,9144" path="m0,0l9144,0l9144,9144l0,9144l0,0">
                  <v:stroke weight="0pt" endcap="flat" joinstyle="miter" miterlimit="10" on="false" color="#000000" opacity="0"/>
                  <v:fill on="true" color="#000000"/>
                </v:shape>
                <v:shape id="Shape 9193" style="position:absolute;width:9970;height:91;left:21750;top:0;" coordsize="997001,9144" path="m0,0l997001,0l997001,9144l0,9144l0,0">
                  <v:stroke weight="0pt" endcap="flat" joinstyle="miter" miterlimit="10" on="false" color="#000000" opacity="0"/>
                  <v:fill on="true" color="#000000"/>
                </v:shape>
                <v:shape id="Shape 9194" style="position:absolute;width:91;height:91;left:31628;top:0;" coordsize="9144,9144" path="m0,0l9144,0l9144,9144l0,9144l0,0">
                  <v:stroke weight="0pt" endcap="flat" joinstyle="miter" miterlimit="10" on="false" color="#000000" opacity="0"/>
                  <v:fill on="true" color="#000000"/>
                </v:shape>
                <v:shape id="Shape 9195" style="position:absolute;width:10911;height:91;left:31689;top:0;" coordsize="1091184,9144" path="m0,0l1091184,0l1091184,9144l0,9144l0,0">
                  <v:stroke weight="0pt" endcap="flat" joinstyle="miter" miterlimit="10" on="false" color="#000000" opacity="0"/>
                  <v:fill on="true" color="#000000"/>
                </v:shape>
                <v:shape id="Shape 9196" style="position:absolute;width:91;height:91;left:42510;top:0;" coordsize="9144,9144" path="m0,0l9144,0l9144,9144l0,9144l0,0">
                  <v:stroke weight="0pt" endcap="flat" joinstyle="miter" miterlimit="10" on="false" color="#000000" opacity="0"/>
                  <v:fill on="true" color="#000000"/>
                </v:shape>
                <v:shape id="Shape 9197" style="position:absolute;width:7958;height:91;left:42571;top:0;" coordsize="795833,9144" path="m0,0l795833,0l795833,9144l0,9144l0,0">
                  <v:stroke weight="0pt" endcap="flat" joinstyle="miter" miterlimit="10" on="false" color="#000000" opacity="0"/>
                  <v:fill on="true" color="#000000"/>
                </v:shape>
              </v:group>
            </w:pict>
          </mc:Fallback>
        </mc:AlternateContent>
      </w:r>
    </w:p>
    <w:p w:rsidR="004B3D78" w:rsidRDefault="0083618A">
      <w:pPr>
        <w:spacing w:after="51" w:line="259" w:lineRule="auto"/>
        <w:ind w:left="14" w:right="0" w:firstLine="0"/>
        <w:jc w:val="left"/>
      </w:pPr>
      <w:r>
        <w:t xml:space="preserve">  </w:t>
      </w:r>
    </w:p>
    <w:p w:rsidR="004B3D78" w:rsidRDefault="0083618A">
      <w:pPr>
        <w:ind w:left="5" w:right="0"/>
      </w:pPr>
      <w:r>
        <w:t xml:space="preserve">V prípade prechodného zníženia úžitkovej hodnoty dlhodobého hmotného majetku sa tvorí opravná položka vo výške rozdielu jeho zistenej úžitkovej hodnoty a zostatkovej hodnoty.  </w:t>
      </w:r>
    </w:p>
    <w:p w:rsidR="004B3D78" w:rsidRDefault="0083618A">
      <w:pPr>
        <w:pStyle w:val="Nadpis2"/>
        <w:tabs>
          <w:tab w:val="center" w:pos="1311"/>
        </w:tabs>
        <w:ind w:left="-15" w:firstLine="0"/>
      </w:pPr>
      <w:r>
        <w:t xml:space="preserve">b)  </w:t>
      </w:r>
      <w:r>
        <w:tab/>
        <w:t xml:space="preserve">Finančný majetok  </w:t>
      </w:r>
    </w:p>
    <w:p w:rsidR="004B3D78" w:rsidRDefault="0083618A">
      <w:pPr>
        <w:ind w:left="5" w:right="0"/>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p>
    <w:p w:rsidR="004B3D78" w:rsidRDefault="0083618A">
      <w:pPr>
        <w:pStyle w:val="Nadpis2"/>
        <w:tabs>
          <w:tab w:val="center" w:pos="1036"/>
        </w:tabs>
        <w:ind w:left="-15" w:firstLine="0"/>
      </w:pPr>
      <w:r>
        <w:t xml:space="preserve">c)  </w:t>
      </w:r>
      <w:r>
        <w:tab/>
        <w:t xml:space="preserve">Pohľadávky  </w:t>
      </w:r>
    </w:p>
    <w:p w:rsidR="004B3D78" w:rsidRDefault="0083618A">
      <w:pPr>
        <w:ind w:left="5" w:right="0"/>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4B3D78" w:rsidRDefault="0083618A">
      <w:pPr>
        <w:pStyle w:val="Nadpis2"/>
        <w:spacing w:after="236"/>
        <w:ind w:left="-5"/>
      </w:pPr>
      <w:r>
        <w:lastRenderedPageBreak/>
        <w:t xml:space="preserve">d)  Náklady budúcich období a príjmy budúcich období  </w:t>
      </w:r>
    </w:p>
    <w:p w:rsidR="004B3D78" w:rsidRDefault="0083618A">
      <w:pPr>
        <w:spacing w:after="243" w:line="287" w:lineRule="auto"/>
        <w:ind w:left="5" w:right="0" w:hanging="20"/>
        <w:jc w:val="left"/>
      </w:pPr>
      <w:r>
        <w:t xml:space="preserve">Náklady budúcich období a príjmy budúcich období sa oceňujú ich menovitou hodnotou, pričom sa vykazujú vo výške, ktorá je potrebná na dodržanie zásady vecnej a časovej súvislosti s účtovným obdobím.  </w:t>
      </w:r>
    </w:p>
    <w:p w:rsidR="004B3D78" w:rsidRDefault="0083618A">
      <w:pPr>
        <w:pStyle w:val="Nadpis2"/>
        <w:tabs>
          <w:tab w:val="center" w:pos="859"/>
        </w:tabs>
        <w:ind w:left="-15" w:firstLine="0"/>
      </w:pPr>
      <w:r>
        <w:t xml:space="preserve">e)  </w:t>
      </w:r>
      <w:r>
        <w:tab/>
        <w:t xml:space="preserve">Záväzky   </w:t>
      </w:r>
    </w:p>
    <w:p w:rsidR="004B3D78" w:rsidRDefault="0083618A">
      <w:pPr>
        <w:spacing w:after="187"/>
        <w:ind w:left="5" w:right="0"/>
      </w:pPr>
      <w:r>
        <w:t xml:space="preserve">Dlhodobé i krátkodobé záväzky sa vykazujú v menovitých hodnotách. V položke iné záväzky sa vykazujú taktiež  hodnoty zistené pri ocenení finančných derivátov reálnou hodnotou.  </w:t>
      </w:r>
    </w:p>
    <w:p w:rsidR="004B3D78" w:rsidRDefault="0083618A">
      <w:pPr>
        <w:ind w:left="5" w:right="0"/>
      </w:pPr>
      <w:r>
        <w:t xml:space="preserve">Dlhodobé, krátkodobé úvery sa vykazujú v menovitej hodnote. Za krátkodobý úver sa považuje aj časť dlhodobých úverov, ktorá je splatná do jedného roka od súvahového dňa.  </w:t>
      </w:r>
    </w:p>
    <w:p w:rsidR="004B3D78" w:rsidRDefault="0083618A">
      <w:pPr>
        <w:pStyle w:val="Nadpis2"/>
        <w:tabs>
          <w:tab w:val="center" w:pos="854"/>
        </w:tabs>
        <w:ind w:left="-15" w:firstLine="0"/>
      </w:pPr>
      <w:r>
        <w:t xml:space="preserve">f)  </w:t>
      </w:r>
      <w:r>
        <w:tab/>
        <w:t xml:space="preserve">Rezervy   </w:t>
      </w:r>
    </w:p>
    <w:p w:rsidR="004B3D78" w:rsidRDefault="0083618A">
      <w:pPr>
        <w:ind w:left="5" w:right="0"/>
      </w:pPr>
      <w:r>
        <w:t xml:space="preserve">Rezervy sú záväzky s neurčitým časovým vymedzením alebo výškou, tvoria sa na krytie  známych rizík alebo strát z podnikania. Oceňujú sa v očakávanej výške záväzku.  </w:t>
      </w:r>
    </w:p>
    <w:p w:rsidR="004B3D78" w:rsidRDefault="0083618A">
      <w:pPr>
        <w:pStyle w:val="Nadpis2"/>
        <w:ind w:left="-5"/>
      </w:pPr>
      <w:r>
        <w:t xml:space="preserve">g)  Výdavky budúcich období a výnosy budúcich období  </w:t>
      </w:r>
    </w:p>
    <w:p w:rsidR="004B3D78" w:rsidRDefault="0083618A">
      <w:pPr>
        <w:spacing w:after="243" w:line="287" w:lineRule="auto"/>
        <w:ind w:left="5" w:right="0" w:hanging="20"/>
        <w:jc w:val="left"/>
      </w:pPr>
      <w:r>
        <w:t xml:space="preserve">Výdavky budúcich období a výnosy budúcich období sa oceňujú ich menovitou hodnotou, pričom sa vykazujú vo výške, ktorá je potrebná na dodržanie zásady vecnej a časovej súvislosti s účtovným obdobím.  </w:t>
      </w:r>
    </w:p>
    <w:p w:rsidR="004B3D78" w:rsidRDefault="0083618A">
      <w:pPr>
        <w:pStyle w:val="Nadpis2"/>
        <w:tabs>
          <w:tab w:val="center" w:pos="1167"/>
        </w:tabs>
        <w:ind w:left="-15" w:firstLine="0"/>
      </w:pPr>
      <w:r>
        <w:t xml:space="preserve">h)  </w:t>
      </w:r>
      <w:r>
        <w:tab/>
        <w:t xml:space="preserve">Vlastné imanie  </w:t>
      </w:r>
    </w:p>
    <w:p w:rsidR="004B3D78" w:rsidRDefault="0083618A">
      <w:pPr>
        <w:spacing w:after="216"/>
        <w:ind w:left="5" w:right="0"/>
      </w:pPr>
      <w:r>
        <w:t xml:space="preserve">Vlastné imanie sa skladá zo základného imania, zákonného rezervného fondu a výsledku hospodárenia v schvaľovacom konaní.   </w:t>
      </w:r>
    </w:p>
    <w:p w:rsidR="004B3D78" w:rsidRDefault="0083618A">
      <w:pPr>
        <w:ind w:left="5" w:right="0"/>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4B3D78" w:rsidRDefault="0083618A">
      <w:pPr>
        <w:pStyle w:val="Nadpis2"/>
        <w:tabs>
          <w:tab w:val="center" w:pos="1878"/>
        </w:tabs>
        <w:ind w:left="-15" w:firstLine="0"/>
      </w:pPr>
      <w:r>
        <w:t xml:space="preserve">i)  </w:t>
      </w:r>
      <w:r>
        <w:tab/>
        <w:t xml:space="preserve">Transakcie v cudzích menách  </w:t>
      </w:r>
    </w:p>
    <w:p w:rsidR="004B3D78" w:rsidRDefault="0083618A">
      <w:pPr>
        <w:spacing w:after="191"/>
        <w:ind w:left="5" w:right="0"/>
      </w:pPr>
      <w:r>
        <w:t xml:space="preserve">Transakcie v cudzej mene sa prepočítavajú na eurá referenčným výmenným kurzom určeným a vyhláseným Európskou centrálnou bankou v deň predchádzajúci dňu uskutočnenia účtovného prípadu.  </w:t>
      </w:r>
    </w:p>
    <w:p w:rsidR="004B3D78" w:rsidRDefault="0083618A">
      <w:pPr>
        <w:spacing w:after="76" w:line="426" w:lineRule="auto"/>
        <w:ind w:left="5" w:right="0"/>
      </w:pPr>
      <w:r>
        <w:t xml:space="preserve">Peňažné aktíva a pasíva vyjadrené v cudzej mene sa prepočítavajú kurzom platným ku dňu zostavenia účtovnej závierky. Vzniknuté kurzové rozdiely sa vykazujú vo výkaze ziskov a strát. Kúpa a predaj cudzej meny sa prepočítava na euro kurzom, za ktorý boli tieto hodnoty nakúpené alebo predané.    </w:t>
      </w:r>
      <w:r>
        <w:rPr>
          <w:b/>
        </w:rPr>
        <w:t xml:space="preserve">j)  Výnosy  </w:t>
      </w:r>
    </w:p>
    <w:p w:rsidR="004B3D78" w:rsidRDefault="0083618A">
      <w:pPr>
        <w:spacing w:after="102"/>
        <w:ind w:left="5" w:right="0"/>
      </w:pPr>
      <w:r>
        <w:t xml:space="preserve">Tržby za vlastné výkony a tovar neobsahujú daň z pridanej hodnoty. Sú tiež znížené o zľavy a zrážky </w:t>
      </w:r>
    </w:p>
    <w:p w:rsidR="004B3D78" w:rsidRDefault="0083618A">
      <w:pPr>
        <w:spacing w:after="109" w:line="425" w:lineRule="auto"/>
        <w:ind w:left="5" w:right="0"/>
      </w:pPr>
      <w:r>
        <w:t xml:space="preserve">(rabaty, bonusy, skontá, dobropisy a pod.). Tržby sú účtované ku dňu splnenia dodávky alebo služby.  </w:t>
      </w:r>
      <w:r>
        <w:rPr>
          <w:b/>
        </w:rPr>
        <w:t xml:space="preserve">k)  </w:t>
      </w:r>
      <w:r>
        <w:rPr>
          <w:b/>
        </w:rPr>
        <w:tab/>
        <w:t xml:space="preserve">Daň z príjmu </w:t>
      </w:r>
      <w:r>
        <w:t xml:space="preserve"> </w:t>
      </w:r>
    </w:p>
    <w:p w:rsidR="004B3D78" w:rsidRDefault="0083618A">
      <w:pPr>
        <w:ind w:left="5" w:right="0"/>
      </w:pPr>
      <w:r>
        <w:lastRenderedPageBreak/>
        <w:t xml:space="preserve">Náklad na daň z príjmov sa počíta pomocou platnej daňovej sadzby z účtovného zisku upraveného o trvalé alebo dočasne daňovo neuznateľné náklady a nezdaňované výnosy.  </w:t>
      </w:r>
    </w:p>
    <w:p w:rsidR="004B3D78" w:rsidRDefault="0083618A">
      <w:pPr>
        <w:spacing w:after="135" w:line="259" w:lineRule="auto"/>
        <w:ind w:left="14" w:right="0" w:firstLine="0"/>
        <w:jc w:val="left"/>
      </w:pPr>
      <w:r>
        <w:rPr>
          <w:rFonts w:ascii="Times New Roman" w:eastAsia="Times New Roman" w:hAnsi="Times New Roman" w:cs="Times New Roman"/>
          <w:sz w:val="24"/>
        </w:rPr>
        <w:t xml:space="preserve">  </w:t>
      </w:r>
      <w:r>
        <w:t xml:space="preserve"> </w:t>
      </w:r>
    </w:p>
    <w:p w:rsidR="004B3D78" w:rsidRDefault="0083618A">
      <w:pPr>
        <w:numPr>
          <w:ilvl w:val="0"/>
          <w:numId w:val="1"/>
        </w:numPr>
        <w:spacing w:after="302" w:line="259" w:lineRule="auto"/>
        <w:ind w:right="0" w:hanging="454"/>
        <w:jc w:val="left"/>
      </w:pPr>
      <w:r>
        <w:rPr>
          <w:b/>
          <w:u w:val="single" w:color="000000"/>
        </w:rPr>
        <w:t>GOODWILL</w:t>
      </w:r>
      <w:r>
        <w:rPr>
          <w:b/>
        </w:rPr>
        <w:t xml:space="preserve"> </w:t>
      </w:r>
      <w:r>
        <w:t xml:space="preserve"> </w:t>
      </w:r>
    </w:p>
    <w:p w:rsidR="004B3D78" w:rsidRDefault="0083618A">
      <w:pPr>
        <w:ind w:left="5" w:right="0"/>
      </w:pPr>
      <w:r>
        <w:t xml:space="preserve">Spoločnosť neeviduje žiadny </w:t>
      </w:r>
      <w:proofErr w:type="spellStart"/>
      <w:r>
        <w:t>goodwill</w:t>
      </w:r>
      <w:proofErr w:type="spellEnd"/>
      <w:r>
        <w:t xml:space="preserve"> resp. záporný </w:t>
      </w:r>
      <w:proofErr w:type="spellStart"/>
      <w:r>
        <w:t>goodwill</w:t>
      </w:r>
      <w:proofErr w:type="spellEnd"/>
      <w:r>
        <w:t xml:space="preserve">.  </w:t>
      </w:r>
    </w:p>
    <w:p w:rsidR="004B3D78" w:rsidRDefault="0083618A">
      <w:pPr>
        <w:numPr>
          <w:ilvl w:val="0"/>
          <w:numId w:val="1"/>
        </w:numPr>
        <w:spacing w:after="302" w:line="259" w:lineRule="auto"/>
        <w:ind w:right="0" w:hanging="454"/>
        <w:jc w:val="left"/>
      </w:pPr>
      <w:r>
        <w:rPr>
          <w:b/>
          <w:u w:val="single" w:color="000000"/>
        </w:rPr>
        <w:t>DERIVÁTY, MAJETOK A ZÁVÄZKY ZABEZPEČENÉ DERIVÁTMI</w:t>
      </w:r>
      <w:r>
        <w:rPr>
          <w:b/>
        </w:rPr>
        <w:t xml:space="preserve"> </w:t>
      </w:r>
      <w:r>
        <w:t xml:space="preserve"> </w:t>
      </w:r>
    </w:p>
    <w:p w:rsidR="004B3D78" w:rsidRDefault="0083618A">
      <w:pPr>
        <w:spacing w:after="221"/>
        <w:ind w:left="5" w:right="0"/>
      </w:pPr>
      <w:r>
        <w:t xml:space="preserve">Spoločnosť neeviduje žiadne deriváty ani majetok a záväzky zabezpečené derivátmi.  </w:t>
      </w:r>
    </w:p>
    <w:p w:rsidR="004B3D78" w:rsidRDefault="0083618A">
      <w:pPr>
        <w:spacing w:after="0" w:line="259" w:lineRule="auto"/>
        <w:ind w:left="14" w:right="0" w:firstLine="0"/>
        <w:jc w:val="left"/>
      </w:pPr>
      <w:r>
        <w:rPr>
          <w:rFonts w:ascii="Times New Roman" w:eastAsia="Times New Roman" w:hAnsi="Times New Roman" w:cs="Times New Roman"/>
        </w:rPr>
        <w:t xml:space="preserve"> </w:t>
      </w:r>
      <w:r>
        <w:t xml:space="preserve"> </w:t>
      </w:r>
    </w:p>
    <w:p w:rsidR="004B3D78" w:rsidRDefault="0083618A">
      <w:pPr>
        <w:pStyle w:val="Nadpis1"/>
        <w:tabs>
          <w:tab w:val="center" w:pos="527"/>
          <w:tab w:val="center" w:pos="1366"/>
        </w:tabs>
        <w:spacing w:after="205"/>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rPr>
          <w:u w:val="none"/>
        </w:rPr>
        <w:tab/>
      </w:r>
      <w:r>
        <w:t>ZÁVÄZKY</w:t>
      </w:r>
      <w:r>
        <w:rPr>
          <w:u w:val="none"/>
        </w:rPr>
        <w:t xml:space="preserve">  </w:t>
      </w:r>
    </w:p>
    <w:p w:rsidR="004B3D78" w:rsidRDefault="0083618A">
      <w:pPr>
        <w:ind w:left="5" w:right="0"/>
      </w:pPr>
      <w:r>
        <w:t xml:space="preserve">Spoločnosť neeviduje žiadne záväzky so zostatkovou dobou splatnosti dlhšou ako 5 rokov ani žiadne zabezpečené záväzky.     </w:t>
      </w:r>
    </w:p>
    <w:p w:rsidR="004B3D78" w:rsidRDefault="0083618A">
      <w:pPr>
        <w:numPr>
          <w:ilvl w:val="0"/>
          <w:numId w:val="2"/>
        </w:numPr>
        <w:spacing w:after="302" w:line="259" w:lineRule="auto"/>
        <w:ind w:right="0" w:hanging="454"/>
        <w:jc w:val="left"/>
      </w:pPr>
      <w:r>
        <w:rPr>
          <w:b/>
          <w:u w:val="single" w:color="000000"/>
        </w:rPr>
        <w:t>VLASTNÉ AKCIE</w:t>
      </w:r>
      <w:r>
        <w:rPr>
          <w:b/>
        </w:rPr>
        <w:t xml:space="preserve"> </w:t>
      </w:r>
      <w:r>
        <w:t xml:space="preserve"> </w:t>
      </w:r>
    </w:p>
    <w:p w:rsidR="004B3D78" w:rsidRDefault="0083618A">
      <w:pPr>
        <w:spacing w:after="373"/>
        <w:ind w:left="5" w:right="0"/>
      </w:pPr>
      <w:r>
        <w:t>Spoločnosť počas roku 202</w:t>
      </w:r>
      <w:r w:rsidR="00453484">
        <w:t>2</w:t>
      </w:r>
      <w:r>
        <w:t xml:space="preserve"> a 202</w:t>
      </w:r>
      <w:r w:rsidR="00453484">
        <w:t>3</w:t>
      </w:r>
      <w:r>
        <w:t xml:space="preserve"> nenadobúdala vlastné akcie  </w:t>
      </w:r>
    </w:p>
    <w:p w:rsidR="004B3D78" w:rsidRDefault="0083618A">
      <w:pPr>
        <w:numPr>
          <w:ilvl w:val="0"/>
          <w:numId w:val="2"/>
        </w:numPr>
        <w:spacing w:after="302" w:line="259" w:lineRule="auto"/>
        <w:ind w:right="0" w:hanging="454"/>
        <w:jc w:val="left"/>
      </w:pPr>
      <w:r>
        <w:rPr>
          <w:b/>
          <w:u w:val="single" w:color="000000"/>
        </w:rPr>
        <w:t>INÉ AKTÍVA A PASÍVA</w:t>
      </w:r>
      <w:r>
        <w:rPr>
          <w:b/>
        </w:rPr>
        <w:t xml:space="preserve"> </w:t>
      </w:r>
      <w:r>
        <w:t xml:space="preserve"> </w:t>
      </w:r>
    </w:p>
    <w:p w:rsidR="004B3D78" w:rsidRDefault="0083618A">
      <w:pPr>
        <w:spacing w:after="364"/>
        <w:ind w:left="5" w:right="0"/>
      </w:pPr>
      <w:r>
        <w:t>Spoločnosť neeviduje žiadny podmienený majetok ani žiadne podmienené záväzky.</w:t>
      </w:r>
      <w:r>
        <w:rPr>
          <w:rFonts w:ascii="Times New Roman" w:eastAsia="Times New Roman" w:hAnsi="Times New Roman" w:cs="Times New Roman"/>
        </w:rPr>
        <w:t xml:space="preserve"> </w:t>
      </w:r>
      <w:r>
        <w:t xml:space="preserve"> </w:t>
      </w:r>
    </w:p>
    <w:p w:rsidR="004B3D78" w:rsidRDefault="0083618A">
      <w:pPr>
        <w:pStyle w:val="Nadpis1"/>
        <w:spacing w:after="228"/>
        <w:ind w:left="437"/>
      </w:pPr>
      <w:r>
        <w:rPr>
          <w:u w:val="none"/>
        </w:rPr>
        <w:t xml:space="preserve">10. </w:t>
      </w:r>
      <w:r>
        <w:t>FINANČNÉ POVINNOSTI ÚČTOVNEJ JEDNOTKY</w:t>
      </w:r>
      <w:r>
        <w:rPr>
          <w:u w:val="none"/>
        </w:rPr>
        <w:t xml:space="preserve">  </w:t>
      </w:r>
    </w:p>
    <w:p w:rsidR="004B3D78" w:rsidRDefault="0083618A">
      <w:pPr>
        <w:spacing w:after="21" w:line="259" w:lineRule="auto"/>
        <w:ind w:left="14" w:right="0" w:firstLine="0"/>
        <w:jc w:val="left"/>
      </w:pPr>
      <w:r>
        <w:t xml:space="preserve">  </w:t>
      </w:r>
    </w:p>
    <w:p w:rsidR="004B3D78" w:rsidRDefault="0083618A">
      <w:pPr>
        <w:spacing w:after="8"/>
        <w:ind w:left="5" w:right="0"/>
      </w:pPr>
      <w:r>
        <w:t xml:space="preserve">Spoločnosť nemá žiadne významné finančné povinnosti, ktoré sa nevykazujú v súvahe ani žiadne významné podmienené záväzky.  </w:t>
      </w:r>
    </w:p>
    <w:p w:rsidR="004B3D78" w:rsidRDefault="0083618A">
      <w:pPr>
        <w:spacing w:after="405" w:line="259" w:lineRule="auto"/>
        <w:ind w:left="14" w:right="0" w:firstLine="0"/>
        <w:jc w:val="left"/>
      </w:pPr>
      <w:r>
        <w:t xml:space="preserve">  </w:t>
      </w:r>
    </w:p>
    <w:p w:rsidR="004B3D78" w:rsidRDefault="0083618A">
      <w:pPr>
        <w:pStyle w:val="Nadpis1"/>
        <w:ind w:left="453"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rsidR="004B3D78" w:rsidRDefault="0083618A">
      <w:pPr>
        <w:spacing w:after="12"/>
        <w:ind w:left="5" w:right="0"/>
      </w:pPr>
      <w:r>
        <w:t>Po 31. decembri 202</w:t>
      </w:r>
      <w:r w:rsidR="00453484">
        <w:t>3</w:t>
      </w:r>
      <w:bookmarkStart w:id="0" w:name="_GoBack"/>
      <w:bookmarkEnd w:id="0"/>
      <w:r>
        <w:t xml:space="preserve"> nenastali také udalosti, ktoré majú významný vplyv na verné zobrazenie </w:t>
      </w:r>
    </w:p>
    <w:p w:rsidR="004B3D78" w:rsidRDefault="0083618A">
      <w:pPr>
        <w:spacing w:after="0"/>
        <w:ind w:left="5" w:right="0"/>
      </w:pPr>
      <w:r>
        <w:t xml:space="preserve">skutočností uvádzaných v tejto účtovnej závierke.  </w:t>
      </w:r>
    </w:p>
    <w:p w:rsidR="004B3D78" w:rsidRDefault="0083618A">
      <w:pPr>
        <w:spacing w:after="0" w:line="259" w:lineRule="auto"/>
        <w:ind w:left="14" w:right="0" w:firstLine="0"/>
        <w:jc w:val="left"/>
      </w:pPr>
      <w:r>
        <w:t xml:space="preserve">  </w:t>
      </w:r>
    </w:p>
    <w:sectPr w:rsidR="004B3D78">
      <w:headerReference w:type="even" r:id="rId7"/>
      <w:headerReference w:type="default" r:id="rId8"/>
      <w:footerReference w:type="even" r:id="rId9"/>
      <w:footerReference w:type="default" r:id="rId10"/>
      <w:headerReference w:type="first" r:id="rId11"/>
      <w:footerReference w:type="first" r:id="rId12"/>
      <w:pgSz w:w="11906" w:h="16841"/>
      <w:pgMar w:top="2129" w:right="1128" w:bottom="1636" w:left="1688" w:header="1142" w:footer="585"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6DE4" w:rsidRDefault="00B06DE4">
      <w:pPr>
        <w:spacing w:after="0" w:line="240" w:lineRule="auto"/>
      </w:pPr>
      <w:r>
        <w:separator/>
      </w:r>
    </w:p>
  </w:endnote>
  <w:endnote w:type="continuationSeparator" w:id="0">
    <w:p w:rsidR="00B06DE4" w:rsidRDefault="00B06D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spacing w:after="103" w:line="259" w:lineRule="auto"/>
      <w:ind w:left="155" w:right="0" w:firstLine="0"/>
      <w:jc w:val="center"/>
    </w:pPr>
    <w:r>
      <w:rPr>
        <w:rFonts w:ascii="Times New Roman" w:eastAsia="Times New Roman" w:hAnsi="Times New Roman" w:cs="Times New Roman"/>
        <w:sz w:val="18"/>
      </w:rPr>
      <w:t xml:space="preserve"> </w:t>
    </w:r>
    <w:r>
      <w:t xml:space="preserve"> </w:t>
    </w:r>
  </w:p>
  <w:p w:rsidR="004B3D78" w:rsidRDefault="0083618A">
    <w:pPr>
      <w:spacing w:after="165" w:line="259" w:lineRule="auto"/>
      <w:ind w:right="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4B3D78" w:rsidRDefault="0083618A">
    <w:pPr>
      <w:spacing w:after="0" w:line="259" w:lineRule="auto"/>
      <w:ind w:left="1" w:right="0"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spacing w:after="103" w:line="259" w:lineRule="auto"/>
      <w:ind w:left="155" w:right="0" w:firstLine="0"/>
      <w:jc w:val="center"/>
    </w:pPr>
    <w:r>
      <w:rPr>
        <w:rFonts w:ascii="Times New Roman" w:eastAsia="Times New Roman" w:hAnsi="Times New Roman" w:cs="Times New Roman"/>
        <w:sz w:val="18"/>
      </w:rPr>
      <w:t xml:space="preserve"> </w:t>
    </w:r>
    <w:r>
      <w:t xml:space="preserve"> </w:t>
    </w:r>
  </w:p>
  <w:p w:rsidR="004B3D78" w:rsidRDefault="0083618A">
    <w:pPr>
      <w:spacing w:after="165" w:line="259" w:lineRule="auto"/>
      <w:ind w:right="0" w:firstLine="0"/>
      <w:jc w:val="center"/>
    </w:pPr>
    <w:r>
      <w:fldChar w:fldCharType="begin"/>
    </w:r>
    <w:r>
      <w:instrText xml:space="preserve"> PAGE   \* MERGEFORMAT </w:instrText>
    </w:r>
    <w:r>
      <w:fldChar w:fldCharType="separate"/>
    </w:r>
    <w:r w:rsidR="00453484" w:rsidRPr="00453484">
      <w:rPr>
        <w:noProof/>
        <w:sz w:val="18"/>
      </w:rPr>
      <w:t>5</w:t>
    </w:r>
    <w:r>
      <w:rPr>
        <w:sz w:val="18"/>
      </w:rPr>
      <w:fldChar w:fldCharType="end"/>
    </w:r>
    <w:r>
      <w:rPr>
        <w:sz w:val="18"/>
      </w:rPr>
      <w:t xml:space="preserve"> </w:t>
    </w:r>
    <w:r>
      <w:t xml:space="preserve"> </w:t>
    </w:r>
  </w:p>
  <w:p w:rsidR="004B3D78" w:rsidRDefault="0083618A">
    <w:pPr>
      <w:spacing w:after="0" w:line="259" w:lineRule="auto"/>
      <w:ind w:left="1" w:right="0"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spacing w:after="103" w:line="259" w:lineRule="auto"/>
      <w:ind w:left="155" w:right="0" w:firstLine="0"/>
      <w:jc w:val="center"/>
    </w:pPr>
    <w:r>
      <w:rPr>
        <w:rFonts w:ascii="Times New Roman" w:eastAsia="Times New Roman" w:hAnsi="Times New Roman" w:cs="Times New Roman"/>
        <w:sz w:val="18"/>
      </w:rPr>
      <w:t xml:space="preserve"> </w:t>
    </w:r>
    <w:r>
      <w:t xml:space="preserve"> </w:t>
    </w:r>
  </w:p>
  <w:p w:rsidR="004B3D78" w:rsidRDefault="0083618A">
    <w:pPr>
      <w:spacing w:after="165" w:line="259" w:lineRule="auto"/>
      <w:ind w:right="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4B3D78" w:rsidRDefault="0083618A">
    <w:pPr>
      <w:spacing w:after="0" w:line="259" w:lineRule="auto"/>
      <w:ind w:left="1" w:right="0"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6DE4" w:rsidRDefault="00B06DE4">
      <w:pPr>
        <w:spacing w:after="0" w:line="240" w:lineRule="auto"/>
      </w:pPr>
      <w:r>
        <w:separator/>
      </w:r>
    </w:p>
  </w:footnote>
  <w:footnote w:type="continuationSeparator" w:id="0">
    <w:p w:rsidR="00B06DE4" w:rsidRDefault="00B06D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tabs>
        <w:tab w:val="center" w:pos="3560"/>
        <w:tab w:val="center" w:pos="4268"/>
        <w:tab w:val="center" w:pos="5729"/>
        <w:tab w:val="center" w:pos="7972"/>
      </w:tabs>
      <w:spacing w:after="2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1040892</wp:posOffset>
              </wp:positionV>
              <wp:extent cx="5798820" cy="9144"/>
              <wp:effectExtent l="0" t="0" r="0" b="0"/>
              <wp:wrapSquare wrapText="bothSides"/>
              <wp:docPr id="8544" name="Group 8544"/>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202" name="Shape 9202"/>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44" style="width:456.6pt;height:0.720032pt;position:absolute;mso-position-horizontal-relative:page;mso-position-horizontal:absolute;margin-left:83.64pt;mso-position-vertical-relative:page;margin-top:81.96pt;" coordsize="57988,91">
              <v:shape id="Shape 9203"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48036081  </w:t>
    </w:r>
    <w:r>
      <w:rPr>
        <w:sz w:val="22"/>
      </w:rPr>
      <w:tab/>
      <w:t xml:space="preserve">DIČ: 2120007065 </w:t>
    </w:r>
    <w:r>
      <w:t xml:space="preserve"> </w:t>
    </w:r>
  </w:p>
  <w:p w:rsidR="004B3D78" w:rsidRDefault="0083618A">
    <w:pPr>
      <w:spacing w:after="0" w:line="259" w:lineRule="auto"/>
      <w:ind w:left="14" w:right="0" w:firstLine="0"/>
      <w:jc w:val="left"/>
    </w:pPr>
    <w:r>
      <w:rPr>
        <w:sz w:val="22"/>
      </w:rPr>
      <w:t xml:space="preserve">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tabs>
        <w:tab w:val="center" w:pos="3560"/>
        <w:tab w:val="center" w:pos="4268"/>
        <w:tab w:val="center" w:pos="5729"/>
        <w:tab w:val="center" w:pos="7972"/>
      </w:tabs>
      <w:spacing w:after="2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1040892</wp:posOffset>
              </wp:positionV>
              <wp:extent cx="5798820" cy="9144"/>
              <wp:effectExtent l="0" t="0" r="0" b="0"/>
              <wp:wrapSquare wrapText="bothSides"/>
              <wp:docPr id="8500" name="Group 8500"/>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200" name="Shape 9200"/>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00" style="width:456.6pt;height:0.720032pt;position:absolute;mso-position-horizontal-relative:page;mso-position-horizontal:absolute;margin-left:83.64pt;mso-position-vertical-relative:page;margin-top:81.96pt;" coordsize="57988,91">
              <v:shape id="Shape 9201"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48036081  </w:t>
    </w:r>
    <w:r>
      <w:rPr>
        <w:sz w:val="22"/>
      </w:rPr>
      <w:tab/>
      <w:t xml:space="preserve">DIČ: 2120007065 </w:t>
    </w:r>
    <w:r>
      <w:t xml:space="preserve"> </w:t>
    </w:r>
  </w:p>
  <w:p w:rsidR="004B3D78" w:rsidRDefault="0083618A">
    <w:pPr>
      <w:spacing w:after="0" w:line="259" w:lineRule="auto"/>
      <w:ind w:left="14" w:right="0" w:firstLine="0"/>
      <w:jc w:val="left"/>
    </w:pPr>
    <w:r>
      <w:rPr>
        <w:sz w:val="22"/>
      </w:rPr>
      <w:t xml:space="preserve">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tabs>
        <w:tab w:val="center" w:pos="3560"/>
        <w:tab w:val="center" w:pos="4268"/>
        <w:tab w:val="center" w:pos="5729"/>
        <w:tab w:val="center" w:pos="7972"/>
      </w:tabs>
      <w:spacing w:after="2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1040892</wp:posOffset>
              </wp:positionV>
              <wp:extent cx="5798820" cy="9144"/>
              <wp:effectExtent l="0" t="0" r="0" b="0"/>
              <wp:wrapSquare wrapText="bothSides"/>
              <wp:docPr id="8456" name="Group 8456"/>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98" name="Shape 9198"/>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456" style="width:456.6pt;height:0.720032pt;position:absolute;mso-position-horizontal-relative:page;mso-position-horizontal:absolute;margin-left:83.64pt;mso-position-vertical-relative:page;margin-top:81.96pt;" coordsize="57988,91">
              <v:shape id="Shape 9199"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48036081  </w:t>
    </w:r>
    <w:r>
      <w:rPr>
        <w:sz w:val="22"/>
      </w:rPr>
      <w:tab/>
      <w:t xml:space="preserve">DIČ: 2120007065 </w:t>
    </w:r>
    <w:r>
      <w:t xml:space="preserve"> </w:t>
    </w:r>
  </w:p>
  <w:p w:rsidR="004B3D78" w:rsidRDefault="0083618A">
    <w:pPr>
      <w:spacing w:after="0" w:line="259" w:lineRule="auto"/>
      <w:ind w:left="14" w:right="0" w:firstLine="0"/>
      <w:jc w:val="left"/>
    </w:pPr>
    <w:r>
      <w:rPr>
        <w:sz w:val="22"/>
      </w:rPr>
      <w:t xml:space="preserve">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BD4567"/>
    <w:multiLevelType w:val="hybridMultilevel"/>
    <w:tmpl w:val="6AEC6D08"/>
    <w:lvl w:ilvl="0" w:tplc="28A2379A">
      <w:start w:val="8"/>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D860FDE">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09B4966E">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8574338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F3606D68">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B39E68FA">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FF8E3DA">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24C36B8">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C1D47FEC">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460A378D"/>
    <w:multiLevelType w:val="hybridMultilevel"/>
    <w:tmpl w:val="A61C290C"/>
    <w:lvl w:ilvl="0" w:tplc="0DFE2790">
      <w:start w:val="5"/>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2370C3CA">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D59EBBBC">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A5B8161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CAE2B7A">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2EE0B884">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42505024">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CE6201E4">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CD327E00">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D78"/>
    <w:rsid w:val="00453484"/>
    <w:rsid w:val="004B3D78"/>
    <w:rsid w:val="0083618A"/>
    <w:rsid w:val="00B06DE4"/>
    <w:rsid w:val="00D137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05FC68"/>
  <w15:docId w15:val="{72A9C8B6-F4C1-4603-9EE9-9CA35559D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45" w:line="298" w:lineRule="auto"/>
      <w:ind w:left="10" w:right="5"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02"/>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72"/>
      <w:ind w:left="10" w:hanging="10"/>
      <w:outlineLvl w:val="1"/>
    </w:pPr>
    <w:rPr>
      <w:rFonts w:ascii="Arial" w:eastAsia="Arial" w:hAnsi="Arial" w:cs="Arial"/>
      <w:b/>
      <w:color w:val="000000"/>
      <w:sz w:val="20"/>
    </w:rPr>
  </w:style>
  <w:style w:type="paragraph" w:styleId="Nadpis3">
    <w:name w:val="heading 3"/>
    <w:next w:val="Normlny"/>
    <w:link w:val="Nadpis3Char"/>
    <w:uiPriority w:val="9"/>
    <w:unhideWhenUsed/>
    <w:qFormat/>
    <w:pPr>
      <w:keepNext/>
      <w:keepLines/>
      <w:spacing w:after="252"/>
      <w:ind w:left="14"/>
      <w:outlineLvl w:val="2"/>
    </w:pPr>
    <w:rPr>
      <w:rFonts w:ascii="Arial" w:eastAsia="Arial" w:hAnsi="Arial" w:cs="Arial"/>
      <w:b/>
      <w:i/>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character" w:customStyle="1" w:styleId="Nadpis3Char">
    <w:name w:val="Nadpis 3 Char"/>
    <w:link w:val="Nadpis3"/>
    <w:rPr>
      <w:rFonts w:ascii="Arial" w:eastAsia="Arial" w:hAnsi="Arial" w:cs="Arial"/>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1319</Words>
  <Characters>7522</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8824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2024-06-24T14:32:00Z</dcterms:created>
  <dcterms:modified xsi:type="dcterms:W3CDTF">2024-06-24T14:32:00Z</dcterms:modified>
</cp:coreProperties>
</file>