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733532C">
      <w:pPr>
        <w:pStyle w:val="13"/>
      </w:pPr>
    </w:p>
    <w:p w14:paraId="470A8A4A">
      <w:pPr>
        <w:pStyle w:val="13"/>
        <w:rPr>
          <w:sz w:val="22"/>
          <w:szCs w:val="22"/>
        </w:rPr>
      </w:pPr>
      <w:r>
        <w:t xml:space="preserve"> </w:t>
      </w:r>
      <w:r>
        <w:rPr>
          <w:sz w:val="22"/>
          <w:szCs w:val="22"/>
        </w:rPr>
        <w:t xml:space="preserve">Poznámky Úč MÚJ 3 - 01                      IČO: 53725662                          DIČ:2121475191 </w:t>
      </w:r>
    </w:p>
    <w:p w14:paraId="030B12C2">
      <w:pPr>
        <w:pStyle w:val="13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 </w:t>
      </w:r>
    </w:p>
    <w:p w14:paraId="3C97B3A1">
      <w:pPr>
        <w:pStyle w:val="13"/>
        <w:rPr>
          <w:color w:val="auto"/>
          <w:sz w:val="22"/>
          <w:szCs w:val="22"/>
        </w:rPr>
      </w:pPr>
    </w:p>
    <w:p w14:paraId="5ADB4875">
      <w:pPr>
        <w:pStyle w:val="13"/>
        <w:rPr>
          <w:b/>
          <w:bCs/>
          <w:color w:val="auto"/>
          <w:sz w:val="22"/>
          <w:szCs w:val="22"/>
        </w:rPr>
      </w:pPr>
      <w:r>
        <w:rPr>
          <w:b/>
          <w:bCs/>
          <w:color w:val="auto"/>
          <w:sz w:val="22"/>
          <w:szCs w:val="22"/>
        </w:rPr>
        <w:t xml:space="preserve">Všeobecné údaje </w:t>
      </w:r>
    </w:p>
    <w:p w14:paraId="2977A240">
      <w:pPr>
        <w:pStyle w:val="13"/>
        <w:rPr>
          <w:color w:val="auto"/>
          <w:sz w:val="22"/>
          <w:szCs w:val="22"/>
        </w:rPr>
      </w:pPr>
    </w:p>
    <w:p w14:paraId="770A583B">
      <w:pPr>
        <w:pStyle w:val="13"/>
        <w:rPr>
          <w:b/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Názov účtovnej jednotky: </w:t>
      </w:r>
      <w:r>
        <w:rPr>
          <w:b/>
          <w:color w:val="auto"/>
          <w:sz w:val="28"/>
          <w:szCs w:val="28"/>
        </w:rPr>
        <w:t>Inoui, s.r.o.</w:t>
      </w:r>
    </w:p>
    <w:p w14:paraId="6D983163">
      <w:pPr>
        <w:pStyle w:val="13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 </w:t>
      </w:r>
    </w:p>
    <w:p w14:paraId="2F388DA2">
      <w:pPr>
        <w:pStyle w:val="13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Zapísaná do Obchodného registra  Okresného súdu Bratislava I, oddiel s.r.o., vložka číslo 151978/B,  </w:t>
      </w:r>
    </w:p>
    <w:p w14:paraId="02AB8F64">
      <w:pPr>
        <w:pStyle w:val="13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dňa 12.04.2021</w:t>
      </w:r>
    </w:p>
    <w:p w14:paraId="01891561">
      <w:pPr>
        <w:pStyle w:val="13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Štatutárny orgán: Lilla Franek, vznik funkcie od 21.04.2021</w:t>
      </w:r>
    </w:p>
    <w:p w14:paraId="13ADF8D9">
      <w:pPr>
        <w:pStyle w:val="13"/>
        <w:rPr>
          <w:color w:val="auto"/>
          <w:sz w:val="22"/>
          <w:szCs w:val="22"/>
        </w:rPr>
      </w:pPr>
    </w:p>
    <w:p w14:paraId="0305CECC">
      <w:pPr>
        <w:pStyle w:val="13"/>
        <w:spacing w:after="27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Účtovná jednotka nemá zamestnancov. </w:t>
      </w:r>
    </w:p>
    <w:p w14:paraId="10DB24E9">
      <w:pPr>
        <w:pStyle w:val="13"/>
        <w:rPr>
          <w:color w:val="auto"/>
          <w:sz w:val="22"/>
          <w:szCs w:val="22"/>
        </w:rPr>
      </w:pPr>
    </w:p>
    <w:p w14:paraId="12FB2FD8">
      <w:pPr>
        <w:pStyle w:val="13"/>
        <w:rPr>
          <w:color w:val="auto"/>
          <w:sz w:val="22"/>
          <w:szCs w:val="22"/>
        </w:rPr>
      </w:pPr>
    </w:p>
    <w:p w14:paraId="4223AA94">
      <w:pPr>
        <w:pStyle w:val="13"/>
        <w:rPr>
          <w:b/>
          <w:bCs/>
          <w:color w:val="auto"/>
          <w:sz w:val="22"/>
          <w:szCs w:val="22"/>
        </w:rPr>
      </w:pPr>
      <w:r>
        <w:rPr>
          <w:b/>
          <w:bCs/>
          <w:color w:val="auto"/>
          <w:sz w:val="22"/>
          <w:szCs w:val="22"/>
        </w:rPr>
        <w:t xml:space="preserve">Informácie o prijatých postupoch </w:t>
      </w:r>
    </w:p>
    <w:p w14:paraId="6D53CAF3">
      <w:pPr>
        <w:pStyle w:val="13"/>
        <w:rPr>
          <w:color w:val="auto"/>
          <w:sz w:val="22"/>
          <w:szCs w:val="22"/>
        </w:rPr>
      </w:pPr>
    </w:p>
    <w:p w14:paraId="429DCEA7">
      <w:pPr>
        <w:pStyle w:val="13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Účtovná závierka je zostavená  k 31.12.202</w:t>
      </w:r>
      <w:r>
        <w:rPr>
          <w:rFonts w:hint="default"/>
          <w:color w:val="auto"/>
          <w:sz w:val="22"/>
          <w:szCs w:val="22"/>
          <w:lang w:val="sk-SK"/>
        </w:rPr>
        <w:t>3</w:t>
      </w:r>
      <w:r>
        <w:rPr>
          <w:color w:val="auto"/>
          <w:sz w:val="22"/>
          <w:szCs w:val="22"/>
        </w:rPr>
        <w:t xml:space="preserve"> za účtovné obdobie rok 202</w:t>
      </w:r>
      <w:r>
        <w:rPr>
          <w:rFonts w:hint="default"/>
          <w:color w:val="auto"/>
          <w:sz w:val="22"/>
          <w:szCs w:val="22"/>
          <w:lang w:val="sk-SK"/>
        </w:rPr>
        <w:t>3</w:t>
      </w:r>
      <w:r>
        <w:rPr>
          <w:color w:val="auto"/>
          <w:sz w:val="22"/>
          <w:szCs w:val="22"/>
        </w:rPr>
        <w:t xml:space="preserve"> a ÚJ bude nepretržite pokračovať vo svojej činnosti.</w:t>
      </w:r>
    </w:p>
    <w:p w14:paraId="2399F073">
      <w:pPr>
        <w:pStyle w:val="13"/>
        <w:rPr>
          <w:color w:val="auto"/>
          <w:sz w:val="22"/>
          <w:szCs w:val="22"/>
        </w:rPr>
      </w:pPr>
    </w:p>
    <w:p w14:paraId="106F72EF">
      <w:pPr>
        <w:pStyle w:val="13"/>
        <w:rPr>
          <w:color w:val="auto"/>
          <w:sz w:val="22"/>
          <w:szCs w:val="22"/>
        </w:rPr>
      </w:pPr>
      <w:r>
        <w:rPr>
          <w:sz w:val="22"/>
          <w:szCs w:val="22"/>
        </w:rPr>
        <w:t>Účtovná jednotka vedie účtovníctvo v sústave podvojného účtovníctva a zostavuje účtovnú závierku v mene euro. Účtovná jednotka účtuje a vykazuje účtovné prípady v období, s ktorým časovo a vecne súvisia. Účtovné metódy a zásady boli aplikované v rámci platného zákona o účtovníctve.</w:t>
      </w:r>
    </w:p>
    <w:p w14:paraId="317717FE">
      <w:pPr>
        <w:pStyle w:val="13"/>
        <w:rPr>
          <w:color w:val="auto"/>
          <w:sz w:val="22"/>
          <w:szCs w:val="22"/>
        </w:rPr>
      </w:pPr>
    </w:p>
    <w:p w14:paraId="466D7924">
      <w:pPr>
        <w:pStyle w:val="13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Účtovná jednotka v roku 202</w:t>
      </w:r>
      <w:r>
        <w:rPr>
          <w:rFonts w:hint="default"/>
          <w:color w:val="auto"/>
          <w:sz w:val="22"/>
          <w:szCs w:val="22"/>
          <w:lang w:val="sk-SK"/>
        </w:rPr>
        <w:t>3</w:t>
      </w:r>
      <w:r>
        <w:rPr>
          <w:color w:val="auto"/>
          <w:sz w:val="22"/>
          <w:szCs w:val="22"/>
        </w:rPr>
        <w:t xml:space="preserve"> účtovala o dlhodobom hmotnom majetku. </w:t>
      </w:r>
      <w:r>
        <w:rPr>
          <w:sz w:val="22"/>
          <w:szCs w:val="22"/>
        </w:rPr>
        <w:t>Dlhodobý hmotný majetok nakupovaný oceňovala účtovná jednotka obstarávacou cenou v zložení: obstarávacia cena, vrátane nákladov súvisiacich s obstaraním</w:t>
      </w:r>
    </w:p>
    <w:p w14:paraId="3B0DB89B">
      <w:pPr>
        <w:pStyle w:val="13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Účtovná jednotka zakúpila v roku 2022 osobné motorové vozidlo VW Touareg, r.v.2008 v hodnote 1500,00 eur</w:t>
      </w:r>
    </w:p>
    <w:p w14:paraId="16A03EDC">
      <w:pPr>
        <w:pStyle w:val="13"/>
        <w:rPr>
          <w:color w:val="auto"/>
          <w:sz w:val="22"/>
          <w:szCs w:val="22"/>
        </w:rPr>
      </w:pPr>
      <w:r>
        <w:rPr>
          <w:sz w:val="22"/>
          <w:szCs w:val="22"/>
        </w:rPr>
        <w:t>Odpisový plán účtovných odpisov hmotného majetku sa zostavil tak, že za základ vzal metódy používané pri vyčísľovaní daňových odpisov. Odpisové sadzby pre účtovné a daňové odpisy sa rovnajú.</w:t>
      </w:r>
    </w:p>
    <w:p w14:paraId="186FE748">
      <w:pPr>
        <w:pStyle w:val="13"/>
        <w:rPr>
          <w:color w:val="auto"/>
          <w:sz w:val="22"/>
          <w:szCs w:val="22"/>
        </w:rPr>
      </w:pPr>
    </w:p>
    <w:p w14:paraId="180867E3">
      <w:pPr>
        <w:pStyle w:val="13"/>
        <w:spacing w:after="27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Spôsob oceňovania jednotlivých položiek pohľadávok a záväzkov, a to </w:t>
      </w:r>
    </w:p>
    <w:p w14:paraId="158621D2">
      <w:pPr>
        <w:pStyle w:val="13"/>
        <w:spacing w:after="27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a) pohľadávok - </w:t>
      </w:r>
      <w:r>
        <w:rPr>
          <w:sz w:val="22"/>
          <w:szCs w:val="22"/>
        </w:rPr>
        <w:t>ku dňu uskutočnenia účtovného prípadu sa</w:t>
      </w:r>
      <w:r>
        <w:rPr>
          <w:color w:val="auto"/>
          <w:sz w:val="22"/>
          <w:szCs w:val="22"/>
        </w:rPr>
        <w:t xml:space="preserve"> pohľadávky oceňujú menovitou hodnotou</w:t>
      </w:r>
    </w:p>
    <w:p w14:paraId="1B9AE6D8">
      <w:pPr>
        <w:pStyle w:val="13"/>
        <w:spacing w:after="27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b) záväzkov vrátane rezerv - </w:t>
      </w:r>
      <w:r>
        <w:rPr>
          <w:sz w:val="22"/>
          <w:szCs w:val="22"/>
        </w:rPr>
        <w:t>ku dňu uskutočnenia účtovného prípadu sa</w:t>
      </w:r>
      <w:r>
        <w:rPr>
          <w:color w:val="auto"/>
          <w:sz w:val="22"/>
          <w:szCs w:val="22"/>
        </w:rPr>
        <w:t xml:space="preserve"> záväzky oceňujú menovitou  </w:t>
      </w:r>
    </w:p>
    <w:p w14:paraId="55CC2B29">
      <w:pPr>
        <w:pStyle w:val="13"/>
        <w:spacing w:after="27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   hodnotou</w:t>
      </w:r>
    </w:p>
    <w:p w14:paraId="39DC58C4">
      <w:pPr>
        <w:pStyle w:val="13"/>
        <w:spacing w:after="27"/>
        <w:rPr>
          <w:color w:val="auto"/>
          <w:sz w:val="22"/>
          <w:szCs w:val="22"/>
        </w:rPr>
      </w:pPr>
    </w:p>
    <w:p w14:paraId="645B406F">
      <w:pPr>
        <w:pStyle w:val="13"/>
        <w:spacing w:after="27"/>
        <w:rPr>
          <w:sz w:val="22"/>
          <w:szCs w:val="22"/>
        </w:rPr>
      </w:pPr>
      <w:r>
        <w:rPr>
          <w:sz w:val="22"/>
          <w:szCs w:val="22"/>
        </w:rPr>
        <w:t xml:space="preserve"> Zásoby obstarané kúpou: </w:t>
      </w:r>
    </w:p>
    <w:p w14:paraId="5ADCF21B">
      <w:pPr>
        <w:pStyle w:val="13"/>
        <w:spacing w:after="27"/>
        <w:rPr>
          <w:sz w:val="22"/>
          <w:szCs w:val="22"/>
        </w:rPr>
      </w:pPr>
      <w:r>
        <w:rPr>
          <w:sz w:val="22"/>
          <w:szCs w:val="22"/>
        </w:rPr>
        <w:t xml:space="preserve">a) do zásob patrí skladovaný materiál a skladovaný tovar </w:t>
      </w:r>
    </w:p>
    <w:p w14:paraId="55E77ADB">
      <w:pPr>
        <w:pStyle w:val="13"/>
        <w:spacing w:after="27"/>
        <w:rPr>
          <w:sz w:val="22"/>
          <w:szCs w:val="22"/>
        </w:rPr>
      </w:pPr>
      <w:r>
        <w:rPr>
          <w:sz w:val="22"/>
          <w:szCs w:val="22"/>
        </w:rPr>
        <w:t xml:space="preserve">b) materiál a tovar sa prvotne oceňujú obstarávacou cenou, ktorú tvorí cena obstarania a náklady súvisiace s obstaraním (prepravné, poistné, provízie, skonto). </w:t>
      </w:r>
    </w:p>
    <w:p w14:paraId="7FC8F0B1">
      <w:pPr>
        <w:pStyle w:val="13"/>
        <w:spacing w:after="27"/>
        <w:rPr>
          <w:sz w:val="22"/>
          <w:szCs w:val="22"/>
        </w:rPr>
      </w:pPr>
      <w:r>
        <w:rPr>
          <w:sz w:val="22"/>
          <w:szCs w:val="22"/>
        </w:rPr>
        <w:t>c) nakupované zásoby sa vyskladňujú v obstarávacej cene</w:t>
      </w:r>
    </w:p>
    <w:p w14:paraId="5F25DC7F">
      <w:pPr>
        <w:pStyle w:val="13"/>
        <w:spacing w:after="27"/>
        <w:rPr>
          <w:sz w:val="22"/>
          <w:szCs w:val="22"/>
        </w:rPr>
      </w:pPr>
    </w:p>
    <w:p w14:paraId="7F035E85">
      <w:pPr>
        <w:pStyle w:val="13"/>
        <w:rPr>
          <w:color w:val="auto"/>
          <w:sz w:val="22"/>
          <w:szCs w:val="22"/>
        </w:rPr>
      </w:pPr>
    </w:p>
    <w:p w14:paraId="3F4DFF77">
      <w:pPr>
        <w:pStyle w:val="13"/>
        <w:rPr>
          <w:b/>
          <w:bCs/>
          <w:color w:val="auto"/>
          <w:sz w:val="22"/>
          <w:szCs w:val="22"/>
        </w:rPr>
      </w:pPr>
      <w:r>
        <w:rPr>
          <w:b/>
          <w:bCs/>
          <w:color w:val="auto"/>
          <w:sz w:val="22"/>
          <w:szCs w:val="22"/>
        </w:rPr>
        <w:t xml:space="preserve">Informácie, ktoré vysvetľujú a dopĺňajú súvahu a výkaz ziskov a strát </w:t>
      </w:r>
    </w:p>
    <w:p w14:paraId="2E4E487B">
      <w:pPr>
        <w:pStyle w:val="13"/>
        <w:rPr>
          <w:color w:val="auto"/>
          <w:sz w:val="22"/>
          <w:szCs w:val="22"/>
        </w:rPr>
      </w:pPr>
    </w:p>
    <w:p w14:paraId="0C3F5EC5">
      <w:pPr>
        <w:pStyle w:val="13"/>
        <w:rPr>
          <w:color w:val="auto"/>
          <w:sz w:val="22"/>
          <w:szCs w:val="22"/>
          <w:u w:val="single"/>
        </w:rPr>
      </w:pPr>
      <w:r>
        <w:rPr>
          <w:color w:val="auto"/>
          <w:sz w:val="22"/>
          <w:szCs w:val="22"/>
          <w:u w:val="single"/>
        </w:rPr>
        <w:t>Informácie o peňažných prostriedkoch:</w:t>
      </w:r>
    </w:p>
    <w:p w14:paraId="2823423E">
      <w:pPr>
        <w:pStyle w:val="13"/>
        <w:numPr>
          <w:ilvl w:val="0"/>
          <w:numId w:val="1"/>
        </w:numPr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pokladna EUR – 34,15 eur</w:t>
      </w:r>
    </w:p>
    <w:p w14:paraId="76235500">
      <w:pPr>
        <w:pStyle w:val="13"/>
        <w:numPr>
          <w:ilvl w:val="0"/>
          <w:numId w:val="1"/>
        </w:numPr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pokladňa registračná – 400,96 eur</w:t>
      </w:r>
    </w:p>
    <w:p w14:paraId="4480CBFF">
      <w:pPr>
        <w:pStyle w:val="13"/>
        <w:numPr>
          <w:ilvl w:val="0"/>
          <w:numId w:val="1"/>
        </w:numPr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bankový účet Slovenská sporiteľňa –</w:t>
      </w:r>
      <w:r>
        <w:rPr>
          <w:rFonts w:hint="default"/>
          <w:color w:val="auto"/>
          <w:sz w:val="22"/>
          <w:szCs w:val="22"/>
          <w:lang w:val="sk-SK"/>
        </w:rPr>
        <w:t>1972,61</w:t>
      </w:r>
      <w:r>
        <w:rPr>
          <w:color w:val="auto"/>
          <w:sz w:val="22"/>
          <w:szCs w:val="22"/>
        </w:rPr>
        <w:t xml:space="preserve"> eur</w:t>
      </w:r>
    </w:p>
    <w:p w14:paraId="1C1EDE2A">
      <w:pPr>
        <w:pStyle w:val="13"/>
        <w:rPr>
          <w:color w:val="auto"/>
          <w:sz w:val="22"/>
          <w:szCs w:val="22"/>
        </w:rPr>
      </w:pPr>
    </w:p>
    <w:p w14:paraId="673DB3A4">
      <w:pPr>
        <w:pStyle w:val="13"/>
        <w:spacing w:after="27"/>
        <w:rPr>
          <w:color w:val="auto"/>
          <w:sz w:val="22"/>
          <w:szCs w:val="22"/>
          <w:u w:val="single"/>
        </w:rPr>
      </w:pPr>
      <w:r>
        <w:rPr>
          <w:color w:val="auto"/>
          <w:sz w:val="22"/>
          <w:szCs w:val="22"/>
          <w:u w:val="single"/>
        </w:rPr>
        <w:t xml:space="preserve">Informácie o záväzkoch, a to </w:t>
      </w:r>
    </w:p>
    <w:p w14:paraId="4521983C">
      <w:pPr>
        <w:pStyle w:val="13"/>
        <w:numPr>
          <w:ilvl w:val="0"/>
          <w:numId w:val="2"/>
        </w:numPr>
        <w:spacing w:after="27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celkovej sume záväzkov z obchodného styku so zostatkovou dobou splatnosti kratšou ako 1 rok – 0 eur</w:t>
      </w:r>
    </w:p>
    <w:p w14:paraId="34DA00BA">
      <w:pPr>
        <w:pStyle w:val="13"/>
        <w:numPr>
          <w:ilvl w:val="0"/>
          <w:numId w:val="2"/>
        </w:numPr>
        <w:spacing w:after="27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celkovej sume daňových záväzkov – 0 eur </w:t>
      </w:r>
    </w:p>
    <w:p w14:paraId="2F682D31">
      <w:pPr>
        <w:pStyle w:val="13"/>
        <w:spacing w:after="27"/>
        <w:rPr>
          <w:color w:val="auto"/>
          <w:sz w:val="22"/>
          <w:szCs w:val="22"/>
        </w:rPr>
      </w:pPr>
    </w:p>
    <w:p w14:paraId="7376DA9C">
      <w:pPr>
        <w:pStyle w:val="13"/>
        <w:spacing w:after="27"/>
        <w:rPr>
          <w:color w:val="auto"/>
          <w:sz w:val="22"/>
          <w:szCs w:val="22"/>
        </w:rPr>
      </w:pPr>
      <w:r>
        <w:rPr>
          <w:color w:val="auto"/>
          <w:sz w:val="22"/>
          <w:szCs w:val="22"/>
          <w:u w:val="single"/>
        </w:rPr>
        <w:t>Informácie o základnom ímaní</w:t>
      </w:r>
      <w:r>
        <w:rPr>
          <w:color w:val="auto"/>
          <w:sz w:val="22"/>
          <w:szCs w:val="22"/>
        </w:rPr>
        <w:t>: Vklad: 5000 eur</w:t>
      </w:r>
    </w:p>
    <w:p w14:paraId="31AD896F">
      <w:pPr>
        <w:pStyle w:val="13"/>
        <w:spacing w:after="27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ab/>
      </w:r>
      <w:r>
        <w:rPr>
          <w:color w:val="auto"/>
          <w:sz w:val="22"/>
          <w:szCs w:val="22"/>
        </w:rPr>
        <w:tab/>
      </w:r>
      <w:r>
        <w:rPr>
          <w:color w:val="auto"/>
          <w:sz w:val="22"/>
          <w:szCs w:val="22"/>
        </w:rPr>
        <w:tab/>
      </w:r>
      <w:r>
        <w:rPr>
          <w:color w:val="auto"/>
          <w:sz w:val="22"/>
          <w:szCs w:val="22"/>
        </w:rPr>
        <w:tab/>
      </w:r>
      <w:r>
        <w:rPr>
          <w:color w:val="auto"/>
          <w:sz w:val="22"/>
          <w:szCs w:val="22"/>
        </w:rPr>
        <w:t xml:space="preserve">Splatené: 5000 eur </w:t>
      </w:r>
    </w:p>
    <w:p w14:paraId="697E3D6A">
      <w:pPr>
        <w:pStyle w:val="13"/>
        <w:spacing w:after="27"/>
        <w:rPr>
          <w:color w:val="auto"/>
          <w:sz w:val="22"/>
          <w:szCs w:val="22"/>
        </w:rPr>
      </w:pPr>
    </w:p>
    <w:p w14:paraId="36EA3094">
      <w:pPr>
        <w:pStyle w:val="13"/>
        <w:spacing w:after="27"/>
        <w:rPr>
          <w:color w:val="auto"/>
          <w:sz w:val="22"/>
          <w:szCs w:val="22"/>
          <w:u w:val="single"/>
        </w:rPr>
      </w:pPr>
      <w:r>
        <w:rPr>
          <w:color w:val="auto"/>
          <w:sz w:val="22"/>
          <w:szCs w:val="22"/>
          <w:u w:val="single"/>
        </w:rPr>
        <w:t xml:space="preserve">Informácie  o zásobách: kvety </w:t>
      </w:r>
      <w:r>
        <w:rPr>
          <w:rFonts w:hint="default"/>
          <w:color w:val="auto"/>
          <w:sz w:val="22"/>
          <w:szCs w:val="22"/>
          <w:u w:val="single"/>
          <w:lang w:val="sk-SK"/>
        </w:rPr>
        <w:t>284,53</w:t>
      </w:r>
      <w:r>
        <w:rPr>
          <w:color w:val="auto"/>
          <w:sz w:val="22"/>
          <w:szCs w:val="22"/>
          <w:u w:val="single"/>
        </w:rPr>
        <w:t xml:space="preserve"> eur</w:t>
      </w:r>
    </w:p>
    <w:p w14:paraId="3C7E3DC7">
      <w:pPr>
        <w:pStyle w:val="13"/>
        <w:spacing w:after="27"/>
        <w:rPr>
          <w:color w:val="auto"/>
          <w:sz w:val="22"/>
          <w:szCs w:val="22"/>
          <w:u w:val="single"/>
        </w:rPr>
      </w:pPr>
    </w:p>
    <w:p w14:paraId="6F10FA81">
      <w:pPr>
        <w:pStyle w:val="13"/>
        <w:spacing w:after="27"/>
        <w:rPr>
          <w:color w:val="auto"/>
          <w:sz w:val="22"/>
          <w:szCs w:val="22"/>
          <w:u w:val="single"/>
        </w:rPr>
      </w:pPr>
      <w:r>
        <w:rPr>
          <w:color w:val="auto"/>
          <w:sz w:val="22"/>
          <w:szCs w:val="22"/>
          <w:u w:val="single"/>
        </w:rPr>
        <w:t xml:space="preserve">Informácie k účtovaníu časového rozlíšenia nákladov a výnosov </w:t>
      </w:r>
    </w:p>
    <w:p w14:paraId="057D7CCD">
      <w:pPr>
        <w:pStyle w:val="13"/>
        <w:spacing w:after="27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ab/>
      </w:r>
      <w:r>
        <w:rPr>
          <w:color w:val="auto"/>
          <w:sz w:val="22"/>
          <w:szCs w:val="22"/>
        </w:rPr>
        <w:t xml:space="preserve">náklady budúcich období – </w:t>
      </w:r>
      <w:r>
        <w:rPr>
          <w:rFonts w:hint="default"/>
          <w:color w:val="auto"/>
          <w:sz w:val="22"/>
          <w:szCs w:val="22"/>
          <w:lang w:val="sk-SK"/>
        </w:rPr>
        <w:t>poistenie auta</w:t>
      </w:r>
      <w:r>
        <w:rPr>
          <w:color w:val="auto"/>
          <w:sz w:val="22"/>
          <w:szCs w:val="22"/>
        </w:rPr>
        <w:t xml:space="preserve"> – </w:t>
      </w:r>
      <w:r>
        <w:rPr>
          <w:rFonts w:hint="default"/>
          <w:color w:val="auto"/>
          <w:sz w:val="22"/>
          <w:szCs w:val="22"/>
          <w:lang w:val="sk-SK"/>
        </w:rPr>
        <w:t>259,93</w:t>
      </w:r>
      <w:r>
        <w:rPr>
          <w:color w:val="auto"/>
          <w:sz w:val="22"/>
          <w:szCs w:val="22"/>
        </w:rPr>
        <w:t xml:space="preserve"> eur</w:t>
      </w:r>
    </w:p>
    <w:p w14:paraId="27CF310C">
      <w:pPr>
        <w:pStyle w:val="13"/>
        <w:spacing w:after="27"/>
        <w:rPr>
          <w:color w:val="auto"/>
          <w:sz w:val="22"/>
          <w:szCs w:val="22"/>
        </w:rPr>
      </w:pPr>
    </w:p>
    <w:p w14:paraId="6418FADF">
      <w:pPr>
        <w:pStyle w:val="13"/>
        <w:spacing w:after="27"/>
        <w:rPr>
          <w:color w:val="auto"/>
          <w:sz w:val="22"/>
          <w:szCs w:val="22"/>
          <w:u w:val="single"/>
        </w:rPr>
      </w:pPr>
      <w:r>
        <w:rPr>
          <w:color w:val="auto"/>
          <w:sz w:val="22"/>
          <w:szCs w:val="22"/>
          <w:u w:val="single"/>
        </w:rPr>
        <w:t>Informácie o účtovaní hospodárskeho výsledku</w:t>
      </w:r>
    </w:p>
    <w:p w14:paraId="3639EF08">
      <w:pPr>
        <w:pStyle w:val="13"/>
        <w:spacing w:after="27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        účtovná jednotnotka účtovala o účtovnej strate z roku 202</w:t>
      </w:r>
      <w:r>
        <w:rPr>
          <w:rFonts w:hint="default"/>
          <w:color w:val="auto"/>
          <w:sz w:val="22"/>
          <w:szCs w:val="22"/>
          <w:lang w:val="sk-SK"/>
        </w:rPr>
        <w:t>2</w:t>
      </w:r>
      <w:r>
        <w:rPr>
          <w:color w:val="auto"/>
          <w:sz w:val="22"/>
          <w:szCs w:val="22"/>
        </w:rPr>
        <w:t xml:space="preserve"> v prospech úctu neuhradená strata minulých</w:t>
      </w:r>
    </w:p>
    <w:p w14:paraId="31F6E82D">
      <w:pPr>
        <w:pStyle w:val="13"/>
        <w:spacing w:after="27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 rokov vo výške </w:t>
      </w:r>
      <w:r>
        <w:rPr>
          <w:rFonts w:hint="default"/>
          <w:color w:val="auto"/>
          <w:sz w:val="22"/>
          <w:szCs w:val="22"/>
          <w:lang w:val="sk-SK"/>
        </w:rPr>
        <w:t>2095,16</w:t>
      </w:r>
      <w:r>
        <w:rPr>
          <w:color w:val="auto"/>
          <w:sz w:val="22"/>
          <w:szCs w:val="22"/>
        </w:rPr>
        <w:t xml:space="preserve"> eur  </w:t>
      </w:r>
    </w:p>
    <w:p w14:paraId="1D57B5B3">
      <w:pPr>
        <w:pStyle w:val="13"/>
        <w:spacing w:after="27"/>
        <w:rPr>
          <w:color w:val="auto"/>
          <w:sz w:val="22"/>
          <w:szCs w:val="22"/>
        </w:rPr>
      </w:pPr>
    </w:p>
    <w:p w14:paraId="47E907D0">
      <w:pPr>
        <w:pStyle w:val="13"/>
        <w:spacing w:after="27"/>
        <w:rPr>
          <w:color w:val="auto"/>
          <w:sz w:val="22"/>
          <w:szCs w:val="22"/>
        </w:rPr>
      </w:pPr>
    </w:p>
    <w:p w14:paraId="3CB7488E">
      <w:pPr>
        <w:pStyle w:val="13"/>
        <w:spacing w:after="27"/>
        <w:rPr>
          <w:color w:val="auto"/>
          <w:sz w:val="22"/>
          <w:szCs w:val="22"/>
        </w:rPr>
      </w:pPr>
    </w:p>
    <w:p w14:paraId="48E24DF2">
      <w:pPr>
        <w:pStyle w:val="13"/>
        <w:spacing w:after="27"/>
        <w:rPr>
          <w:color w:val="auto"/>
          <w:sz w:val="22"/>
          <w:szCs w:val="22"/>
          <w:u w:val="single"/>
        </w:rPr>
      </w:pPr>
      <w:r>
        <w:rPr>
          <w:color w:val="auto"/>
          <w:sz w:val="22"/>
          <w:szCs w:val="22"/>
          <w:u w:val="single"/>
        </w:rPr>
        <w:t>Informácie  o nákladoch:</w:t>
      </w:r>
    </w:p>
    <w:p w14:paraId="2CD5266A">
      <w:pPr>
        <w:pStyle w:val="13"/>
        <w:spacing w:after="27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ab/>
      </w:r>
      <w:r>
        <w:rPr>
          <w:color w:val="auto"/>
          <w:sz w:val="22"/>
          <w:szCs w:val="22"/>
        </w:rPr>
        <w:t>Najvýznamnejšie položky:</w:t>
      </w:r>
      <w:r>
        <w:rPr>
          <w:color w:val="auto"/>
          <w:sz w:val="22"/>
          <w:szCs w:val="22"/>
        </w:rPr>
        <w:tab/>
      </w:r>
      <w:r>
        <w:rPr>
          <w:rFonts w:hint="default"/>
          <w:color w:val="auto"/>
          <w:sz w:val="22"/>
          <w:szCs w:val="22"/>
          <w:lang w:val="sk-SK"/>
        </w:rPr>
        <w:t>Spotreba m</w:t>
      </w:r>
      <w:r>
        <w:rPr>
          <w:color w:val="auto"/>
          <w:sz w:val="22"/>
          <w:szCs w:val="22"/>
        </w:rPr>
        <w:t xml:space="preserve">ateriál-desing  – </w:t>
      </w:r>
      <w:r>
        <w:rPr>
          <w:rFonts w:hint="default"/>
          <w:color w:val="auto"/>
          <w:sz w:val="22"/>
          <w:szCs w:val="22"/>
          <w:lang w:val="sk-SK"/>
        </w:rPr>
        <w:t>59,60</w:t>
      </w:r>
      <w:r>
        <w:rPr>
          <w:color w:val="auto"/>
          <w:sz w:val="22"/>
          <w:szCs w:val="22"/>
        </w:rPr>
        <w:t xml:space="preserve"> eur</w:t>
      </w:r>
    </w:p>
    <w:p w14:paraId="082F80C2">
      <w:pPr>
        <w:pStyle w:val="13"/>
        <w:spacing w:after="27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ab/>
      </w:r>
      <w:r>
        <w:rPr>
          <w:color w:val="auto"/>
          <w:sz w:val="22"/>
          <w:szCs w:val="22"/>
        </w:rPr>
        <w:tab/>
      </w:r>
      <w:r>
        <w:rPr>
          <w:color w:val="auto"/>
          <w:sz w:val="22"/>
          <w:szCs w:val="22"/>
        </w:rPr>
        <w:tab/>
      </w:r>
      <w:r>
        <w:rPr>
          <w:color w:val="auto"/>
          <w:sz w:val="22"/>
          <w:szCs w:val="22"/>
        </w:rPr>
        <w:tab/>
      </w:r>
      <w:r>
        <w:rPr>
          <w:color w:val="auto"/>
          <w:sz w:val="22"/>
          <w:szCs w:val="22"/>
        </w:rPr>
        <w:tab/>
      </w:r>
      <w:r>
        <w:rPr>
          <w:color w:val="auto"/>
          <w:sz w:val="22"/>
          <w:szCs w:val="22"/>
        </w:rPr>
        <w:t xml:space="preserve">Predaný tovar – </w:t>
      </w:r>
      <w:r>
        <w:rPr>
          <w:rFonts w:hint="default"/>
          <w:color w:val="auto"/>
          <w:sz w:val="22"/>
          <w:szCs w:val="22"/>
          <w:lang w:val="sk-SK"/>
        </w:rPr>
        <w:t>492,20</w:t>
      </w:r>
      <w:r>
        <w:rPr>
          <w:color w:val="auto"/>
          <w:sz w:val="22"/>
          <w:szCs w:val="22"/>
        </w:rPr>
        <w:t xml:space="preserve"> eur</w:t>
      </w:r>
    </w:p>
    <w:p w14:paraId="216B5A8F">
      <w:pPr>
        <w:pStyle w:val="13"/>
        <w:spacing w:after="27"/>
        <w:ind w:left="2832" w:firstLine="708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Služby–web stranky</w:t>
      </w:r>
      <w:r>
        <w:rPr>
          <w:rFonts w:hint="default"/>
          <w:color w:val="auto"/>
          <w:sz w:val="22"/>
          <w:szCs w:val="22"/>
          <w:lang w:val="sk-SK"/>
        </w:rPr>
        <w:t xml:space="preserve"> </w:t>
      </w:r>
      <w:r>
        <w:rPr>
          <w:color w:val="auto"/>
          <w:sz w:val="22"/>
          <w:szCs w:val="22"/>
        </w:rPr>
        <w:t xml:space="preserve">- </w:t>
      </w:r>
      <w:r>
        <w:rPr>
          <w:rFonts w:hint="default"/>
          <w:color w:val="auto"/>
          <w:sz w:val="22"/>
          <w:szCs w:val="22"/>
          <w:lang w:val="sk-SK"/>
        </w:rPr>
        <w:t>413,95</w:t>
      </w:r>
      <w:r>
        <w:rPr>
          <w:color w:val="auto"/>
          <w:sz w:val="22"/>
          <w:szCs w:val="22"/>
        </w:rPr>
        <w:t xml:space="preserve"> eur</w:t>
      </w:r>
    </w:p>
    <w:p w14:paraId="7B033812">
      <w:pPr>
        <w:pStyle w:val="13"/>
        <w:spacing w:after="27"/>
        <w:ind w:left="2832" w:firstLine="708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Ostatné služby – </w:t>
      </w:r>
      <w:r>
        <w:rPr>
          <w:rFonts w:hint="default"/>
          <w:color w:val="auto"/>
          <w:sz w:val="22"/>
          <w:szCs w:val="22"/>
          <w:lang w:val="sk-SK"/>
        </w:rPr>
        <w:t>186</w:t>
      </w:r>
      <w:r>
        <w:rPr>
          <w:color w:val="auto"/>
          <w:sz w:val="22"/>
          <w:szCs w:val="22"/>
        </w:rPr>
        <w:t>,</w:t>
      </w:r>
      <w:r>
        <w:rPr>
          <w:rFonts w:hint="default"/>
          <w:color w:val="auto"/>
          <w:sz w:val="22"/>
          <w:szCs w:val="22"/>
          <w:lang w:val="sk-SK"/>
        </w:rPr>
        <w:t>00</w:t>
      </w:r>
      <w:r>
        <w:rPr>
          <w:color w:val="auto"/>
          <w:sz w:val="22"/>
          <w:szCs w:val="22"/>
        </w:rPr>
        <w:t xml:space="preserve"> eur</w:t>
      </w:r>
    </w:p>
    <w:p w14:paraId="021C0B78">
      <w:pPr>
        <w:pStyle w:val="13"/>
        <w:spacing w:after="27"/>
        <w:ind w:left="2832" w:firstLine="708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Poistenie majetku – </w:t>
      </w:r>
      <w:r>
        <w:rPr>
          <w:rFonts w:hint="default"/>
          <w:color w:val="auto"/>
          <w:sz w:val="22"/>
          <w:szCs w:val="22"/>
          <w:lang w:val="sk-SK"/>
        </w:rPr>
        <w:t>19,52</w:t>
      </w:r>
      <w:r>
        <w:rPr>
          <w:color w:val="auto"/>
          <w:sz w:val="22"/>
          <w:szCs w:val="22"/>
        </w:rPr>
        <w:t xml:space="preserve"> eur</w:t>
      </w:r>
    </w:p>
    <w:p w14:paraId="65AE80C3">
      <w:pPr>
        <w:pStyle w:val="13"/>
        <w:spacing w:after="27"/>
        <w:ind w:left="2832" w:firstLine="708"/>
        <w:rPr>
          <w:rFonts w:hint="default"/>
          <w:color w:val="auto"/>
          <w:sz w:val="22"/>
          <w:szCs w:val="22"/>
          <w:lang w:val="sk-SK"/>
        </w:rPr>
      </w:pPr>
      <w:r>
        <w:rPr>
          <w:rFonts w:hint="default"/>
          <w:color w:val="auto"/>
          <w:sz w:val="22"/>
          <w:szCs w:val="22"/>
          <w:lang w:val="sk-SK"/>
        </w:rPr>
        <w:t>Bankové poplatky - 97,50 eur</w:t>
      </w:r>
    </w:p>
    <w:p w14:paraId="7ACB2F05">
      <w:pPr>
        <w:pStyle w:val="13"/>
        <w:spacing w:after="27"/>
        <w:ind w:left="2832" w:firstLine="708"/>
        <w:rPr>
          <w:rFonts w:hint="default"/>
          <w:color w:val="auto"/>
          <w:sz w:val="22"/>
          <w:szCs w:val="22"/>
          <w:lang w:val="sk-SK"/>
        </w:rPr>
      </w:pPr>
      <w:r>
        <w:rPr>
          <w:rFonts w:hint="default"/>
          <w:color w:val="auto"/>
          <w:sz w:val="22"/>
          <w:szCs w:val="22"/>
          <w:lang w:val="sk-SK"/>
        </w:rPr>
        <w:t>Spotreba PHM - 232,81 eur</w:t>
      </w:r>
    </w:p>
    <w:p w14:paraId="62E1B452">
      <w:pPr>
        <w:pStyle w:val="13"/>
        <w:spacing w:after="27"/>
        <w:ind w:left="2832" w:firstLine="708"/>
        <w:rPr>
          <w:rFonts w:hint="default"/>
          <w:color w:val="auto"/>
          <w:sz w:val="22"/>
          <w:szCs w:val="22"/>
          <w:lang w:val="sk-SK"/>
        </w:rPr>
      </w:pPr>
      <w:r>
        <w:rPr>
          <w:rFonts w:hint="default"/>
          <w:color w:val="auto"/>
          <w:sz w:val="22"/>
          <w:szCs w:val="22"/>
          <w:lang w:val="sk-SK"/>
        </w:rPr>
        <w:t>Spotreba nedaňová - 72,10 eur</w:t>
      </w:r>
    </w:p>
    <w:p w14:paraId="2D7C7FC7">
      <w:pPr>
        <w:pStyle w:val="13"/>
        <w:spacing w:after="27"/>
        <w:ind w:left="2832" w:firstLine="708"/>
        <w:rPr>
          <w:rFonts w:hint="default"/>
          <w:color w:val="auto"/>
          <w:sz w:val="22"/>
          <w:szCs w:val="22"/>
          <w:lang w:val="sk-SK"/>
        </w:rPr>
      </w:pPr>
      <w:r>
        <w:rPr>
          <w:rFonts w:hint="default"/>
          <w:color w:val="auto"/>
          <w:sz w:val="22"/>
          <w:szCs w:val="22"/>
          <w:lang w:val="sk-SK"/>
        </w:rPr>
        <w:t>Odpisy auto - 375,00 eur</w:t>
      </w:r>
    </w:p>
    <w:p w14:paraId="44076E54">
      <w:pPr>
        <w:pStyle w:val="13"/>
        <w:spacing w:after="27"/>
        <w:ind w:left="2832" w:firstLine="708"/>
        <w:rPr>
          <w:rFonts w:hint="default"/>
          <w:color w:val="auto"/>
          <w:sz w:val="22"/>
          <w:szCs w:val="22"/>
          <w:lang w:val="sk-SK"/>
        </w:rPr>
      </w:pPr>
      <w:r>
        <w:rPr>
          <w:rFonts w:hint="default"/>
          <w:color w:val="auto"/>
          <w:sz w:val="22"/>
          <w:szCs w:val="22"/>
          <w:lang w:val="sk-SK"/>
        </w:rPr>
        <w:t>Daň z motorových vozidiel - 254,40 eur</w:t>
      </w:r>
      <w:bookmarkStart w:id="0" w:name="_GoBack"/>
      <w:bookmarkEnd w:id="0"/>
    </w:p>
    <w:p w14:paraId="30635D63">
      <w:pPr>
        <w:pStyle w:val="13"/>
        <w:spacing w:after="27"/>
        <w:ind w:left="2832" w:firstLine="708"/>
        <w:rPr>
          <w:color w:val="auto"/>
          <w:sz w:val="22"/>
          <w:szCs w:val="22"/>
        </w:rPr>
      </w:pPr>
    </w:p>
    <w:p w14:paraId="6F026120">
      <w:pPr>
        <w:pStyle w:val="13"/>
        <w:spacing w:after="27"/>
        <w:rPr>
          <w:color w:val="auto"/>
          <w:sz w:val="22"/>
          <w:szCs w:val="22"/>
        </w:rPr>
      </w:pPr>
      <w:r>
        <w:rPr>
          <w:color w:val="auto"/>
          <w:sz w:val="22"/>
          <w:szCs w:val="22"/>
          <w:u w:val="single"/>
        </w:rPr>
        <w:t xml:space="preserve">Informácie o výnosoch:  </w:t>
      </w:r>
      <w:r>
        <w:rPr>
          <w:color w:val="auto"/>
          <w:sz w:val="22"/>
          <w:szCs w:val="22"/>
        </w:rPr>
        <w:t xml:space="preserve">Tržby za kvety, dekoracie, desing tovar : </w:t>
      </w:r>
      <w:r>
        <w:rPr>
          <w:rFonts w:hint="default"/>
          <w:color w:val="auto"/>
          <w:sz w:val="22"/>
          <w:szCs w:val="22"/>
          <w:lang w:val="sk-SK"/>
        </w:rPr>
        <w:t xml:space="preserve">514,20 </w:t>
      </w:r>
      <w:r>
        <w:rPr>
          <w:color w:val="auto"/>
          <w:sz w:val="22"/>
          <w:szCs w:val="22"/>
        </w:rPr>
        <w:t>eur</w:t>
      </w:r>
    </w:p>
    <w:p w14:paraId="769AF291">
      <w:pPr>
        <w:pStyle w:val="13"/>
        <w:spacing w:after="27"/>
        <w:rPr>
          <w:sz w:val="22"/>
          <w:szCs w:val="22"/>
        </w:rPr>
      </w:pPr>
      <w:r>
        <w:rPr>
          <w:color w:val="auto"/>
          <w:sz w:val="22"/>
          <w:szCs w:val="22"/>
        </w:rPr>
        <w:tab/>
      </w:r>
      <w:r>
        <w:rPr>
          <w:color w:val="auto"/>
          <w:sz w:val="22"/>
          <w:szCs w:val="22"/>
        </w:rPr>
        <w:tab/>
      </w:r>
      <w:r>
        <w:rPr>
          <w:color w:val="auto"/>
          <w:sz w:val="22"/>
          <w:szCs w:val="22"/>
        </w:rPr>
        <w:tab/>
      </w:r>
      <w:r>
        <w:rPr>
          <w:color w:val="auto"/>
          <w:sz w:val="22"/>
          <w:szCs w:val="22"/>
        </w:rPr>
        <w:t xml:space="preserve">    </w:t>
      </w:r>
    </w:p>
    <w:sectPr>
      <w:pgSz w:w="11906" w:h="17340"/>
      <w:pgMar w:top="426" w:right="843" w:bottom="505" w:left="791" w:header="708" w:footer="708" w:gutter="0"/>
      <w:cols w:space="708" w:num="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default"/>
    <w:sig w:usb0="E0002EFF" w:usb1="C000785B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等线">
    <w:altName w:val="Microsoft YaHei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Calibri">
    <w:panose1 w:val="020F0502020204030204"/>
    <w:charset w:val="EE"/>
    <w:family w:val="swiss"/>
    <w:pitch w:val="default"/>
    <w:sig w:usb0="E4002EFF" w:usb1="C200247B" w:usb2="00000009" w:usb3="00000000" w:csb0="200001FF" w:csb1="00000000"/>
  </w:font>
  <w:font w:name="Consolas">
    <w:panose1 w:val="020B0609020204030204"/>
    <w:charset w:val="EE"/>
    <w:family w:val="modern"/>
    <w:pitch w:val="default"/>
    <w:sig w:usb0="E00006FF" w:usb1="0000FCFF" w:usb2="00000001" w:usb3="00000000" w:csb0="6000019F" w:csb1="DFD70000"/>
  </w:font>
  <w:font w:name="Tahoma">
    <w:panose1 w:val="020B0604030504040204"/>
    <w:charset w:val="EE"/>
    <w:family w:val="swiss"/>
    <w:pitch w:val="default"/>
    <w:sig w:usb0="E1002EFF" w:usb1="C000605B" w:usb2="00000029" w:usb3="00000000" w:csb0="200101FF" w:csb1="2028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76" w:lineRule="auto"/>
      </w:pPr>
      <w:r>
        <w:separator/>
      </w:r>
    </w:p>
  </w:footnote>
  <w:footnote w:type="continuationSeparator" w:id="1">
    <w:p>
      <w:pPr>
        <w:spacing w:before="0" w:after="0" w:line="276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202032B0"/>
    <w:multiLevelType w:val="multilevel"/>
    <w:tmpl w:val="202032B0"/>
    <w:lvl w:ilvl="0" w:tentative="0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5AE3870"/>
    <w:multiLevelType w:val="multilevel"/>
    <w:tmpl w:val="25AE3870"/>
    <w:lvl w:ilvl="0" w:tentative="0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cumentProtection w:enforcement="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A214E"/>
    <w:rsid w:val="0006487D"/>
    <w:rsid w:val="000E1735"/>
    <w:rsid w:val="00120607"/>
    <w:rsid w:val="00126C8E"/>
    <w:rsid w:val="00192E71"/>
    <w:rsid w:val="001A51E6"/>
    <w:rsid w:val="001E7D72"/>
    <w:rsid w:val="003E7FBD"/>
    <w:rsid w:val="004109C8"/>
    <w:rsid w:val="00443FA8"/>
    <w:rsid w:val="00460E41"/>
    <w:rsid w:val="004A214E"/>
    <w:rsid w:val="004A277A"/>
    <w:rsid w:val="004F6018"/>
    <w:rsid w:val="00565B1F"/>
    <w:rsid w:val="00595149"/>
    <w:rsid w:val="005B4028"/>
    <w:rsid w:val="0070475C"/>
    <w:rsid w:val="0077046C"/>
    <w:rsid w:val="00851CCE"/>
    <w:rsid w:val="008846E2"/>
    <w:rsid w:val="00900034"/>
    <w:rsid w:val="00930047"/>
    <w:rsid w:val="009B31AF"/>
    <w:rsid w:val="009D0A1D"/>
    <w:rsid w:val="00A25A77"/>
    <w:rsid w:val="00A25DD3"/>
    <w:rsid w:val="00A35832"/>
    <w:rsid w:val="00A83334"/>
    <w:rsid w:val="00BB3D6F"/>
    <w:rsid w:val="00BE78B6"/>
    <w:rsid w:val="00CB74B5"/>
    <w:rsid w:val="00CD017C"/>
    <w:rsid w:val="00D01967"/>
    <w:rsid w:val="00DC6D6B"/>
    <w:rsid w:val="00FA5C45"/>
    <w:rsid w:val="00FD015C"/>
    <w:rsid w:val="00FE1324"/>
    <w:rsid w:val="05C200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200" w:line="276" w:lineRule="auto"/>
    </w:pPr>
    <w:rPr>
      <w:rFonts w:asciiTheme="minorHAnsi" w:hAnsiTheme="minorHAnsi" w:eastAsiaTheme="minorEastAsia" w:cstheme="minorBidi"/>
      <w:sz w:val="22"/>
      <w:szCs w:val="22"/>
      <w:lang w:val="sk-SK" w:eastAsia="sk-SK" w:bidi="ar-SA"/>
    </w:rPr>
  </w:style>
  <w:style w:type="character" w:default="1" w:styleId="2">
    <w:name w:val="Default Paragraph Font"/>
    <w:semiHidden/>
    <w:unhideWhenUsed/>
    <w:uiPriority w:val="1"/>
  </w:style>
  <w:style w:type="table" w:default="1" w:styleId="3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Balloon Text"/>
    <w:basedOn w:val="1"/>
    <w:link w:val="12"/>
    <w:semiHidden/>
    <w:unhideWhenUsed/>
    <w:uiPriority w:val="9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styleId="5">
    <w:name w:val="annotation reference"/>
    <w:basedOn w:val="2"/>
    <w:semiHidden/>
    <w:unhideWhenUsed/>
    <w:uiPriority w:val="99"/>
    <w:rPr>
      <w:sz w:val="16"/>
      <w:szCs w:val="16"/>
    </w:rPr>
  </w:style>
  <w:style w:type="paragraph" w:styleId="6">
    <w:name w:val="annotation text"/>
    <w:basedOn w:val="1"/>
    <w:link w:val="10"/>
    <w:semiHidden/>
    <w:unhideWhenUsed/>
    <w:uiPriority w:val="99"/>
    <w:pPr>
      <w:spacing w:line="240" w:lineRule="auto"/>
    </w:pPr>
    <w:rPr>
      <w:sz w:val="20"/>
      <w:szCs w:val="20"/>
    </w:rPr>
  </w:style>
  <w:style w:type="paragraph" w:styleId="7">
    <w:name w:val="annotation subject"/>
    <w:basedOn w:val="6"/>
    <w:next w:val="6"/>
    <w:link w:val="11"/>
    <w:semiHidden/>
    <w:unhideWhenUsed/>
    <w:uiPriority w:val="99"/>
    <w:rPr>
      <w:b/>
      <w:bCs/>
    </w:rPr>
  </w:style>
  <w:style w:type="paragraph" w:styleId="8">
    <w:name w:val="Plain Text"/>
    <w:basedOn w:val="1"/>
    <w:link w:val="9"/>
    <w:semiHidden/>
    <w:unhideWhenUsed/>
    <w:uiPriority w:val="99"/>
    <w:pPr>
      <w:spacing w:after="0" w:line="240" w:lineRule="auto"/>
    </w:pPr>
    <w:rPr>
      <w:rFonts w:ascii="Consolas" w:hAnsi="Consolas"/>
      <w:sz w:val="21"/>
      <w:szCs w:val="21"/>
    </w:rPr>
  </w:style>
  <w:style w:type="character" w:customStyle="1" w:styleId="9">
    <w:name w:val="Obyčajný text Char"/>
    <w:basedOn w:val="2"/>
    <w:link w:val="8"/>
    <w:semiHidden/>
    <w:uiPriority w:val="99"/>
    <w:rPr>
      <w:rFonts w:ascii="Consolas" w:hAnsi="Consolas"/>
      <w:sz w:val="21"/>
      <w:szCs w:val="21"/>
    </w:rPr>
  </w:style>
  <w:style w:type="character" w:customStyle="1" w:styleId="10">
    <w:name w:val="Text komentára Char"/>
    <w:basedOn w:val="2"/>
    <w:link w:val="6"/>
    <w:semiHidden/>
    <w:uiPriority w:val="99"/>
    <w:rPr>
      <w:sz w:val="20"/>
      <w:szCs w:val="20"/>
    </w:rPr>
  </w:style>
  <w:style w:type="character" w:customStyle="1" w:styleId="11">
    <w:name w:val="Predmet komentára Char"/>
    <w:basedOn w:val="10"/>
    <w:link w:val="7"/>
    <w:semiHidden/>
    <w:uiPriority w:val="99"/>
    <w:rPr>
      <w:b/>
      <w:bCs/>
      <w:sz w:val="20"/>
      <w:szCs w:val="20"/>
    </w:rPr>
  </w:style>
  <w:style w:type="character" w:customStyle="1" w:styleId="12">
    <w:name w:val="Text bubliny Char"/>
    <w:basedOn w:val="2"/>
    <w:link w:val="4"/>
    <w:semiHidden/>
    <w:uiPriority w:val="99"/>
    <w:rPr>
      <w:rFonts w:ascii="Tahoma" w:hAnsi="Tahoma" w:cs="Tahoma"/>
      <w:sz w:val="16"/>
      <w:szCs w:val="16"/>
    </w:rPr>
  </w:style>
  <w:style w:type="paragraph" w:customStyle="1" w:styleId="13">
    <w:name w:val="Default"/>
    <w:uiPriority w:val="0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 w:eastAsiaTheme="minorEastAsia"/>
      <w:color w:val="000000"/>
      <w:sz w:val="24"/>
      <w:szCs w:val="24"/>
      <w:lang w:val="sk-SK" w:eastAsia="sk-SK" w:bidi="ar-SA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Hewlett-Packard Company</Company>
  <Pages>2</Pages>
  <Words>474</Words>
  <Characters>2706</Characters>
  <Lines>22</Lines>
  <Paragraphs>6</Paragraphs>
  <TotalTime>242</TotalTime>
  <ScaleCrop>false</ScaleCrop>
  <LinksUpToDate>false</LinksUpToDate>
  <CharactersWithSpaces>3174</CharactersWithSpaces>
  <Application>WPS Office_12.2.0.17119_F1E327BC-269C-435d-A152-05C5408002CA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2018-06-27T14:10:00Z</dcterms:created>
  <dc:creator>cechova</dc:creator>
  <cp:lastModifiedBy>mfols</cp:lastModifiedBy>
  <cp:lastPrinted>2018-06-27T14:12:00Z</cp:lastPrinted>
  <dcterms:modified xsi:type="dcterms:W3CDTF">2024-06-14T08:05:44Z</dcterms:modified>
  <cp:revision>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1033-12.2.0.17119</vt:lpwstr>
  </property>
  <property fmtid="{D5CDD505-2E9C-101B-9397-08002B2CF9AE}" pid="3" name="ICV">
    <vt:lpwstr>86F91A4B2F834AE3835E073994991B76_13</vt:lpwstr>
  </property>
</Properties>
</file>