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20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spacing w:lineRule="exact" w:line="140" w:before="2" w:after="20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Poznámky k účtovnej závierke za rok 202</w:t>
      </w:r>
      <w:r>
        <w:rPr>
          <w:rFonts w:ascii="Times New Roman" w:hAnsi="Times New Roman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>
        <w:rPr>
          <w:rFonts w:ascii="Times New Roman" w:hAnsi="Times New Roman"/>
          <w:b/>
          <w:sz w:val="20"/>
        </w:rPr>
        <w:t>malé účtovné jednotky</w:t>
      </w:r>
      <w:r>
        <w:rPr>
          <w:rFonts w:ascii="Times New Roman" w:hAnsi="Times New Roman"/>
          <w:sz w:val="20"/>
        </w:rPr>
        <w:t xml:space="preserve"> v znení neskorších predpisov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(ostatná novela č.MF/19927/2015-74)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7741" w:type="dxa"/>
        <w:jc w:val="left"/>
        <w:tblInd w:w="90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139"/>
        <w:gridCol w:w="3601"/>
      </w:tblGrid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EEDANE s.r.o.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Hurbanova1745 Púchov 02001</w:t>
            </w:r>
          </w:p>
        </w:tc>
      </w:tr>
      <w:tr>
        <w:trPr>
          <w:trHeight w:val="170" w:hRule="atLeast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6663" w:leader="none"/>
              </w:tabs>
              <w:snapToGrid w:val="false"/>
              <w:spacing w:lineRule="auto" w:line="240" w:before="0" w:after="0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Učtovnícke a auditorské činnosti</w:t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31.12.202</w:t>
      </w:r>
      <w:r>
        <w:rPr>
          <w:rFonts w:ascii="Times New Roman" w:hAnsi="Times New Roman"/>
          <w:b/>
          <w:bCs/>
          <w:sz w:val="20"/>
        </w:rPr>
        <w:t>2</w:t>
      </w:r>
      <w:r>
        <w:rPr>
          <w:rFonts w:ascii="Times New Roman" w:hAnsi="Times New Roman"/>
          <w:b/>
          <w:bCs/>
          <w:sz w:val="20"/>
        </w:rPr>
        <w:t xml:space="preserve"> bola schválená dňa 2</w:t>
      </w:r>
      <w:r>
        <w:rPr>
          <w:rFonts w:ascii="Times New Roman" w:hAnsi="Times New Roman"/>
          <w:b/>
          <w:bCs/>
          <w:sz w:val="20"/>
        </w:rPr>
        <w:t>8</w:t>
      </w:r>
      <w:r>
        <w:rPr>
          <w:rFonts w:ascii="Times New Roman" w:hAnsi="Times New Roman"/>
          <w:b/>
          <w:bCs/>
          <w:sz w:val="20"/>
        </w:rPr>
        <w:t>. 06. 202</w:t>
      </w:r>
      <w:r>
        <w:rPr>
          <w:rFonts w:ascii="Times New Roman" w:hAnsi="Times New Roman"/>
          <w:b/>
          <w:bCs/>
          <w:sz w:val="20"/>
        </w:rPr>
        <w:t>3</w:t>
      </w:r>
      <w:r>
        <w:rPr>
          <w:rFonts w:ascii="Times New Roman" w:hAnsi="Times New Roman"/>
          <w:b/>
          <w:bCs/>
          <w:sz w:val="20"/>
        </w:rPr>
        <w:t>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Právny dôvod na zostavenie účtovnej závierky.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  <w:r>
        <w:rPr>
          <w:rFonts w:ascii="Times New Roman" w:hAnsi="Times New Roman"/>
          <w:b/>
          <w:bCs/>
          <w:color w:val="FF0000"/>
          <w:sz w:val="18"/>
          <w:szCs w:val="20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sz w:val="20"/>
        </w:rPr>
        <w:t>Účtovná závierka Spoločnosti k 31.12.2021 je zostavená ako riadna účtovná závierka podľa § 17  ods. 6 zákona č. 431/2002 Z. z. o účtovníctve za účtovné obdobie od 01.01. 202</w:t>
      </w:r>
      <w:r>
        <w:rPr>
          <w:rFonts w:ascii="Times New Roman" w:hAnsi="Times New Roman"/>
          <w:b/>
          <w:sz w:val="20"/>
        </w:rPr>
        <w:t>3</w:t>
      </w:r>
      <w:r>
        <w:rPr>
          <w:rFonts w:ascii="Times New Roman" w:hAnsi="Times New Roman"/>
          <w:b/>
          <w:sz w:val="20"/>
        </w:rPr>
        <w:t xml:space="preserve"> do 31.12. 202</w:t>
      </w:r>
      <w:r>
        <w:rPr>
          <w:rFonts w:ascii="Times New Roman" w:hAnsi="Times New Roman"/>
          <w:b/>
          <w:sz w:val="20"/>
        </w:rPr>
        <w:t>3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Normal"/>
        <w:keepNext w:val="true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keepNext w:val="true"/>
        <w:numPr>
          <w:ilvl w:val="0"/>
          <w:numId w:val="4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648"/>
        <w:gridCol w:w="2075"/>
        <w:gridCol w:w="2804"/>
      </w:tblGrid>
      <w:tr>
        <w:trPr/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>
        <w:trPr/>
        <w:tc>
          <w:tcPr>
            <w:tcW w:w="3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 o orgánoch spoločnosti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Informácie o orgánoch účtovnej jednotky, a to: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"/>
        <w:spacing w:lineRule="auto" w:line="240" w:before="0" w:after="0"/>
        <w:ind w:left="1065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>
      <w:pPr>
        <w:pStyle w:val="Normal"/>
        <w:spacing w:lineRule="auto" w:line="240" w:before="0" w:after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 o prijatých postupoch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tabs>
          <w:tab w:val="clear" w:pos="708"/>
          <w:tab w:val="left" w:pos="7560" w:leader="none"/>
        </w:tabs>
        <w:suppressAutoHyphens w:val="true"/>
        <w:spacing w:lineRule="auto" w:line="240" w:before="0" w:after="0"/>
        <w:ind w:left="360" w:hanging="0"/>
        <w:jc w:val="both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Účtovná závierka za rok 2018 bola spracovaná za predpokladu nepretržitého pokračovania činnosti.</w:t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  <w:r>
        <w:rPr>
          <w:rFonts w:ascii="Times New Roman" w:hAnsi="Times New Roman"/>
          <w:sz w:val="20"/>
          <w:szCs w:val="20"/>
          <w:highlight w:val="yellow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>
        <w:rPr>
          <w:rFonts w:ascii="Times New Roman" w:hAnsi="Times New Roman"/>
          <w:color w:val="FF0000"/>
          <w:sz w:val="20"/>
          <w:szCs w:val="20"/>
        </w:rPr>
        <w:t xml:space="preserve"> 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určenie odhadu zníženia hodnoty majetku a tvorba opravnej položky k majetku,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určenie ocenenia záväzkov, stanovenie odhadu ocenenia rezerv,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Normal"/>
        <w:numPr>
          <w:ilvl w:val="0"/>
          <w:numId w:val="14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Normal"/>
        <w:numPr>
          <w:ilvl w:val="0"/>
          <w:numId w:val="14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Normal"/>
        <w:numPr>
          <w:ilvl w:val="0"/>
          <w:numId w:val="15"/>
        </w:numPr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>
      <w:pPr>
        <w:pStyle w:val="Normal"/>
        <w:spacing w:lineRule="auto" w:line="240" w:before="0" w:after="0"/>
        <w:ind w:left="1418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tbl>
      <w:tblPr>
        <w:tblW w:w="7796" w:type="dxa"/>
        <w:jc w:val="left"/>
        <w:tblInd w:w="98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76"/>
        <w:gridCol w:w="4219"/>
      </w:tblGrid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Spôsob oceňovania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hmotný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hmotný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fin</w:t>
            </w:r>
            <w:r>
              <w:rPr>
                <w:spacing w:val="-2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n</w:t>
            </w:r>
            <w:r>
              <w:rPr>
                <w:spacing w:val="-1"/>
                <w:sz w:val="20"/>
                <w:szCs w:val="22"/>
              </w:rPr>
              <w:t>č</w:t>
            </w:r>
            <w:r>
              <w:rPr>
                <w:sz w:val="20"/>
                <w:szCs w:val="22"/>
              </w:rPr>
              <w:t>ný ma</w:t>
            </w:r>
            <w:r>
              <w:rPr>
                <w:spacing w:val="2"/>
                <w:sz w:val="20"/>
                <w:szCs w:val="22"/>
              </w:rPr>
              <w:t>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Zásoby obst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r</w:t>
            </w:r>
            <w:r>
              <w:rPr>
                <w:spacing w:val="-2"/>
                <w:sz w:val="20"/>
                <w:szCs w:val="22"/>
              </w:rPr>
              <w:t>a</w:t>
            </w:r>
            <w:r>
              <w:rPr>
                <w:spacing w:val="4"/>
                <w:sz w:val="20"/>
                <w:szCs w:val="22"/>
              </w:rPr>
              <w:t xml:space="preserve">né </w:t>
            </w:r>
            <w:r>
              <w:rPr>
                <w:sz w:val="20"/>
                <w:szCs w:val="22"/>
              </w:rPr>
              <w:t>kúpo</w:t>
            </w:r>
            <w:r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 xml:space="preserve">soby </w:t>
            </w:r>
            <w:r>
              <w:rPr>
                <w:spacing w:val="2"/>
                <w:sz w:val="20"/>
                <w:szCs w:val="22"/>
              </w:rPr>
              <w:t>v</w:t>
            </w:r>
            <w:r>
              <w:rPr>
                <w:spacing w:val="-5"/>
                <w:sz w:val="20"/>
                <w:szCs w:val="22"/>
              </w:rPr>
              <w:t>y</w:t>
            </w:r>
            <w:r>
              <w:rPr>
                <w:sz w:val="20"/>
                <w:szCs w:val="22"/>
              </w:rPr>
              <w:t>tvor</w:t>
            </w:r>
            <w:r>
              <w:rPr>
                <w:spacing w:val="-2"/>
                <w:sz w:val="20"/>
                <w:szCs w:val="22"/>
              </w:rPr>
              <w:t>e</w:t>
            </w:r>
            <w:r>
              <w:rPr>
                <w:spacing w:val="4"/>
                <w:sz w:val="20"/>
                <w:szCs w:val="22"/>
              </w:rPr>
              <w:t xml:space="preserve">né </w:t>
            </w:r>
            <w:r>
              <w:rPr>
                <w:sz w:val="20"/>
                <w:szCs w:val="22"/>
              </w:rPr>
              <w:t>vlastnou činnosťou: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Vlastné pohľ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vky: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Kúpené pohľ</w:t>
            </w:r>
            <w:r>
              <w:rPr>
                <w:spacing w:val="-1"/>
                <w:sz w:val="20"/>
                <w:szCs w:val="22"/>
              </w:rPr>
              <w:t>a</w:t>
            </w: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vky: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</w:t>
            </w:r>
            <w:r>
              <w:rPr>
                <w:spacing w:val="-1"/>
                <w:sz w:val="20"/>
                <w:szCs w:val="22"/>
              </w:rPr>
              <w:t>rá</w:t>
            </w:r>
            <w:r>
              <w:rPr>
                <w:sz w:val="20"/>
                <w:szCs w:val="22"/>
              </w:rPr>
              <w:t xml:space="preserve">tkodobý </w:t>
            </w:r>
            <w:r>
              <w:rPr>
                <w:spacing w:val="-2"/>
                <w:sz w:val="20"/>
                <w:szCs w:val="22"/>
              </w:rPr>
              <w:t>f</w:t>
            </w:r>
            <w:r>
              <w:rPr>
                <w:sz w:val="20"/>
                <w:szCs w:val="22"/>
              </w:rPr>
              <w:t>ina</w:t>
            </w:r>
            <w:r>
              <w:rPr>
                <w:spacing w:val="1"/>
                <w:sz w:val="20"/>
                <w:szCs w:val="22"/>
              </w:rPr>
              <w:t>n</w:t>
            </w:r>
            <w:r>
              <w:rPr>
                <w:spacing w:val="-1"/>
                <w:sz w:val="20"/>
                <w:szCs w:val="22"/>
              </w:rPr>
              <w:t>č</w:t>
            </w:r>
            <w:r>
              <w:rPr>
                <w:sz w:val="20"/>
                <w:szCs w:val="22"/>
              </w:rPr>
              <w:t>ný maj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tok: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cena/Menovitá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pacing w:val="-1"/>
                <w:sz w:val="20"/>
                <w:szCs w:val="22"/>
              </w:rPr>
              <w:t>Zá</w:t>
            </w:r>
            <w:r>
              <w:rPr>
                <w:sz w:val="20"/>
                <w:szCs w:val="22"/>
              </w:rPr>
              <w:t>v</w:t>
            </w:r>
            <w:r>
              <w:rPr>
                <w:spacing w:val="-1"/>
                <w:sz w:val="20"/>
                <w:szCs w:val="22"/>
              </w:rPr>
              <w:t>ä</w:t>
            </w: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z w:val="20"/>
                <w:szCs w:val="22"/>
              </w:rPr>
              <w:t>ky v</w:t>
            </w:r>
            <w:r>
              <w:rPr>
                <w:spacing w:val="-1"/>
                <w:sz w:val="20"/>
                <w:szCs w:val="22"/>
              </w:rPr>
              <w:t>rá</w:t>
            </w:r>
            <w:r>
              <w:rPr>
                <w:sz w:val="20"/>
                <w:szCs w:val="22"/>
              </w:rPr>
              <w:t>tane</w:t>
            </w:r>
            <w:r>
              <w:rPr>
                <w:spacing w:val="-2"/>
                <w:sz w:val="20"/>
                <w:szCs w:val="22"/>
              </w:rPr>
              <w:t xml:space="preserve"> </w:t>
            </w:r>
            <w:r>
              <w:rPr>
                <w:spacing w:val="1"/>
                <w:sz w:val="20"/>
                <w:szCs w:val="22"/>
              </w:rPr>
              <w:t>r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pacing w:val="1"/>
                <w:sz w:val="20"/>
                <w:szCs w:val="22"/>
              </w:rPr>
              <w:t>z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rv: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Dlhopisy: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Pô</w:t>
            </w:r>
            <w:r>
              <w:rPr>
                <w:spacing w:val="1"/>
                <w:sz w:val="20"/>
                <w:szCs w:val="22"/>
              </w:rPr>
              <w:t>ž</w:t>
            </w:r>
            <w:r>
              <w:rPr>
                <w:sz w:val="20"/>
                <w:szCs w:val="22"/>
              </w:rPr>
              <w:t>ičky a</w:t>
            </w:r>
            <w:r>
              <w:rPr>
                <w:spacing w:val="1"/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úv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ry: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</w:t>
            </w:r>
            <w:r>
              <w:rPr>
                <w:spacing w:val="-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riv</w:t>
            </w:r>
            <w:r>
              <w:rPr>
                <w:spacing w:val="-2"/>
                <w:sz w:val="20"/>
                <w:szCs w:val="22"/>
              </w:rPr>
              <w:t>á</w:t>
            </w:r>
            <w:r>
              <w:rPr>
                <w:sz w:val="20"/>
                <w:szCs w:val="22"/>
              </w:rPr>
              <w:t>to</w:t>
            </w:r>
            <w:r>
              <w:rPr>
                <w:spacing w:val="5"/>
                <w:sz w:val="20"/>
                <w:szCs w:val="22"/>
              </w:rPr>
              <w:t xml:space="preserve">vé </w:t>
            </w:r>
            <w:r>
              <w:rPr>
                <w:sz w:val="20"/>
                <w:szCs w:val="22"/>
              </w:rPr>
              <w:t>op</w:t>
            </w:r>
            <w:r>
              <w:rPr>
                <w:spacing w:val="1"/>
                <w:sz w:val="20"/>
                <w:szCs w:val="22"/>
              </w:rPr>
              <w:t>e</w:t>
            </w:r>
            <w:r>
              <w:rPr>
                <w:sz w:val="20"/>
                <w:szCs w:val="22"/>
              </w:rPr>
              <w:t>rá</w:t>
            </w:r>
            <w:r>
              <w:rPr>
                <w:spacing w:val="-1"/>
                <w:sz w:val="20"/>
                <w:szCs w:val="22"/>
              </w:rPr>
              <w:t>c</w:t>
            </w:r>
            <w:r>
              <w:rPr>
                <w:sz w:val="20"/>
                <w:szCs w:val="22"/>
              </w:rPr>
              <w:t>ie:</w:t>
            </w:r>
          </w:p>
        </w:tc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stanovenie metódy vlastného imania,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Cs/>
          <w:kern w:val="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/>
      </w:pPr>
      <w:r>
        <w:rPr/>
      </w:r>
    </w:p>
    <w:tbl>
      <w:tblPr>
        <w:tblW w:w="8211" w:type="dxa"/>
        <w:jc w:val="left"/>
        <w:tblInd w:w="57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965"/>
        <w:gridCol w:w="1702"/>
        <w:gridCol w:w="1700"/>
        <w:gridCol w:w="1843"/>
      </w:tblGrid>
      <w:tr>
        <w:trPr>
          <w:trHeight w:val="417" w:hRule="atLeast"/>
        </w:trPr>
        <w:tc>
          <w:tcPr>
            <w:tcW w:w="2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>
        <w:trPr/>
        <w:tc>
          <w:tcPr>
            <w:tcW w:w="29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3"/>
              <w:widowControl w:val="false"/>
              <w:tabs>
                <w:tab w:val="clear" w:pos="708"/>
                <w:tab w:val="left" w:pos="11340" w:leader="none"/>
                <w:tab w:val="left" w:pos="13919" w:leader="none"/>
                <w:tab w:val="left" w:pos="16187" w:leader="none"/>
              </w:tabs>
              <w:snapToGrid w:val="false"/>
              <w:spacing w:lineRule="auto" w:line="254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3"/>
              <w:widowControl w:val="false"/>
              <w:tabs>
                <w:tab w:val="clear" w:pos="708"/>
                <w:tab w:val="left" w:pos="11340" w:leader="none"/>
                <w:tab w:val="left" w:pos="13919" w:leader="none"/>
                <w:tab w:val="left" w:pos="16187" w:leader="none"/>
              </w:tabs>
              <w:snapToGrid w:val="false"/>
              <w:spacing w:lineRule="auto" w:line="254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>
        <w:trPr/>
        <w:tc>
          <w:tcPr>
            <w:tcW w:w="29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>
        <w:trPr/>
        <w:tc>
          <w:tcPr>
            <w:tcW w:w="296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40" w:before="0" w:after="0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dpis2"/>
              <w:widowControl w:val="false"/>
              <w:tabs>
                <w:tab w:val="clear" w:pos="708"/>
                <w:tab w:val="left" w:pos="11340" w:leader="none"/>
              </w:tabs>
              <w:snapToGrid w:val="false"/>
              <w:spacing w:lineRule="auto" w:line="254" w:before="0" w:after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V poznámkach sa uvádza informácia o </w:t>
      </w:r>
      <w:r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>
      <w:pPr>
        <w:pStyle w:val="ListParagraph"/>
        <w:spacing w:lineRule="auto" w:line="240" w:before="0" w:after="0"/>
        <w:ind w:left="502" w:hanging="0"/>
        <w:contextualSpacing/>
        <w:jc w:val="both"/>
        <w:rPr>
          <w:b/>
        </w:rPr>
      </w:pPr>
      <w:r>
        <w:rPr>
          <w:b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>
      <w:pPr>
        <w:pStyle w:val="Normal"/>
        <w:spacing w:lineRule="auto" w:line="240" w:before="0" w:after="0"/>
        <w:ind w:left="720" w:hanging="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color w:val="000000"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>
      <w:pPr>
        <w:pStyle w:val="Normal"/>
        <w:spacing w:lineRule="auto" w:line="240" w:before="0" w:after="0"/>
        <w:ind w:left="502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502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Normal"/>
        <w:spacing w:lineRule="auto" w:line="240" w:before="0" w:after="0"/>
        <w:ind w:left="641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Normal"/>
        <w:spacing w:lineRule="auto" w:line="240" w:before="0" w:after="0"/>
        <w:ind w:left="1077" w:hanging="0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107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>
      <w:pPr>
        <w:pStyle w:val="Normal"/>
        <w:spacing w:lineRule="auto" w:line="240" w:before="0" w:after="0"/>
        <w:ind w:left="357" w:hanging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>
      <w:pPr>
        <w:pStyle w:val="Normal"/>
        <w:spacing w:lineRule="auto" w:line="240" w:before="0" w:after="0"/>
        <w:ind w:right="-468" w:hanging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ind w:right="-468" w:hanging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>
        <w:rPr>
          <w:rFonts w:ascii="Times New Roman" w:hAnsi="Times New Roman"/>
          <w:b/>
          <w:sz w:val="20"/>
          <w:lang w:val="cs-CZ"/>
        </w:rPr>
        <w:t>Do dňa zostavenia účtovnej závierky nenastali po 31. decembri 202</w:t>
      </w:r>
      <w:r>
        <w:rPr>
          <w:rFonts w:ascii="Times New Roman" w:hAnsi="Times New Roman"/>
          <w:b/>
          <w:sz w:val="20"/>
          <w:lang w:val="cs-CZ"/>
        </w:rPr>
        <w:t>3</w:t>
      </w:r>
      <w:r>
        <w:rPr>
          <w:rFonts w:ascii="Times New Roman" w:hAnsi="Times New Roman"/>
          <w:b/>
          <w:sz w:val="20"/>
          <w:lang w:val="cs-CZ"/>
        </w:rPr>
        <w:t xml:space="preserve"> žiadne také udalosti, ktoré by významým spôsobom ovplyvnili majetok, vlastné imanie a záväzky, náklady a výnosy spoločnosti.</w:t>
      </w:r>
    </w:p>
    <w:p>
      <w:pPr>
        <w:pStyle w:val="Normal"/>
        <w:spacing w:lineRule="auto" w:line="240" w:before="0" w:after="0"/>
        <w:ind w:right="-468" w:hanging="0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  <w:r>
        <w:rPr>
          <w:rFonts w:ascii="Times New Roman" w:hAnsi="Times New Roman"/>
          <w:b/>
          <w:bCs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ind w:right="-468" w:hanging="0"/>
        <w:jc w:val="center"/>
        <w:rPr>
          <w:rFonts w:ascii="Times New Roman" w:hAnsi="Times New Roman"/>
          <w:b/>
          <w:bCs/>
          <w:szCs w:val="20"/>
          <w:lang w:eastAsia="sk-SK"/>
        </w:rPr>
      </w:pPr>
      <w:r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>
      <w:pPr>
        <w:pStyle w:val="Normal"/>
        <w:spacing w:lineRule="auto" w:line="240" w:before="0" w:after="0"/>
        <w:ind w:right="-468" w:hanging="0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rFonts w:ascii="Times New Roman" w:hAnsi="Times New Roman"/>
          <w:bCs/>
          <w:sz w:val="20"/>
          <w:szCs w:val="20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ind w:left="357" w:hanging="357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všetkých formách prijatej náhrady,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všetkých druhoch činností účtovnej jednotky.</w:t>
      </w:r>
    </w:p>
    <w:p>
      <w:pPr>
        <w:pStyle w:val="Normal"/>
        <w:spacing w:lineRule="auto" w:line="240" w:before="0" w:after="0"/>
        <w:ind w:left="1440" w:hanging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rtlGutter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708"/>
        <w:tab w:val="left" w:pos="2990" w:leader="none"/>
        <w:tab w:val="left" w:pos="6348" w:leader="none"/>
      </w:tabs>
      <w:ind w:left="-397" w:hanging="0"/>
      <w:jc w:val="center"/>
      <w:rPr>
        <w:szCs w:val="22"/>
      </w:rPr>
    </w:pPr>
    <w:r>
      <w:rPr>
        <w:szCs w:val="22"/>
        <w:bdr w:val="single" w:sz="4" w:space="0" w:color="000000"/>
      </w:rPr>
      <w:t>Po</w:t>
    </w:r>
    <w:r>
      <w:rPr>
        <w:spacing w:val="1"/>
        <w:szCs w:val="22"/>
        <w:bdr w:val="single" w:sz="4" w:space="0" w:color="000000"/>
      </w:rPr>
      <w:t>z</w:t>
    </w:r>
    <w:r>
      <w:rPr>
        <w:szCs w:val="22"/>
        <w:bdr w:val="single" w:sz="4" w:space="0" w:color="000000"/>
      </w:rPr>
      <w:t>n</w:t>
    </w:r>
    <w:r>
      <w:rPr>
        <w:spacing w:val="-1"/>
        <w:szCs w:val="22"/>
        <w:bdr w:val="single" w:sz="4" w:space="0" w:color="000000"/>
      </w:rPr>
      <w:t>á</w:t>
    </w:r>
    <w:r>
      <w:rPr>
        <w:szCs w:val="22"/>
        <w:bdr w:val="single" w:sz="4" w:space="0" w:color="000000"/>
      </w:rPr>
      <w:t>m</w:t>
    </w:r>
    <w:r>
      <w:rPr>
        <w:spacing w:val="2"/>
        <w:szCs w:val="22"/>
        <w:bdr w:val="single" w:sz="4" w:space="0" w:color="000000"/>
      </w:rPr>
      <w:t>k</w:t>
    </w:r>
    <w:r>
      <w:rPr>
        <w:szCs w:val="22"/>
        <w:bdr w:val="single" w:sz="4" w:space="0" w:color="000000"/>
      </w:rPr>
      <w:t>y</w:t>
    </w:r>
    <w:r>
      <w:rPr>
        <w:spacing w:val="-8"/>
        <w:szCs w:val="22"/>
        <w:bdr w:val="single" w:sz="4" w:space="0" w:color="000000"/>
      </w:rPr>
      <w:t xml:space="preserve"> </w:t>
    </w:r>
    <w:r>
      <w:rPr>
        <w:spacing w:val="1"/>
        <w:szCs w:val="22"/>
        <w:bdr w:val="single" w:sz="4" w:space="0" w:color="000000"/>
      </w:rPr>
      <w:t>Ú</w:t>
    </w:r>
    <w:r>
      <w:rPr>
        <w:szCs w:val="22"/>
        <w:bdr w:val="single" w:sz="4" w:space="0" w:color="000000"/>
      </w:rPr>
      <w:t>č POD 3 –</w:t>
    </w:r>
    <w:r>
      <w:rPr>
        <w:spacing w:val="-1"/>
        <w:szCs w:val="22"/>
        <w:bdr w:val="single" w:sz="4" w:space="0" w:color="000000"/>
      </w:rPr>
      <w:t xml:space="preserve"> </w:t>
    </w:r>
    <w:r>
      <w:rPr>
        <w:szCs w:val="22"/>
        <w:bdr w:val="single" w:sz="4" w:space="0" w:color="000000"/>
      </w:rPr>
      <w:t>01</w:t>
    </w:r>
    <w:r>
      <w:rPr>
        <w:szCs w:val="22"/>
      </w:rPr>
      <w:t xml:space="preserve">                          </w:t>
    </w:r>
    <w:r>
      <w:rPr>
        <w:szCs w:val="22"/>
        <w:bdr w:val="single" w:sz="4" w:space="0" w:color="000000"/>
      </w:rPr>
      <w:t xml:space="preserve"> </w:t>
    </w:r>
    <w:r>
      <w:rPr>
        <w:spacing w:val="-6"/>
        <w:szCs w:val="22"/>
        <w:bdr w:val="single" w:sz="4" w:space="0" w:color="000000"/>
      </w:rPr>
      <w:t>I</w:t>
    </w:r>
    <w:r>
      <w:rPr>
        <w:szCs w:val="22"/>
        <w:bdr w:val="single" w:sz="4" w:space="0" w:color="000000"/>
      </w:rPr>
      <w:t>ČO:46932551</w:t>
    </w:r>
    <w:r>
      <w:rPr>
        <w:color w:val="FF0000"/>
        <w:szCs w:val="22"/>
        <w:bdr w:val="single" w:sz="4" w:space="0" w:color="000000"/>
      </w:rPr>
      <w:t xml:space="preserve"> </w:t>
    </w:r>
    <w:r>
      <w:rPr>
        <w:szCs w:val="22"/>
      </w:rPr>
      <w:t xml:space="preserve"> </w:t>
    </w:r>
    <w:r>
      <w:rPr>
        <w:szCs w:val="22"/>
        <w:bdr w:val="single" w:sz="4" w:space="0" w:color="000000"/>
      </w:rPr>
      <w:t xml:space="preserve"> </w:t>
    </w:r>
    <w:r>
      <w:rPr>
        <w:spacing w:val="1"/>
        <w:szCs w:val="22"/>
        <w:bdr w:val="single" w:sz="4" w:space="0" w:color="000000"/>
      </w:rPr>
      <w:t>D</w:t>
    </w:r>
    <w:r>
      <w:rPr>
        <w:spacing w:val="-6"/>
        <w:szCs w:val="22"/>
        <w:bdr w:val="single" w:sz="4" w:space="0" w:color="000000"/>
      </w:rPr>
      <w:t>I</w:t>
    </w:r>
    <w:r>
      <w:rPr>
        <w:szCs w:val="22"/>
        <w:bdr w:val="single" w:sz="4" w:space="0" w:color="000000"/>
      </w:rPr>
      <w:t xml:space="preserve">Č:2023664357     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359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31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503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75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47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719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91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63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0"/>
        <w:b w:val="false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50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  <w:rPr>
        <w:rFonts w:cs="Times New Roman"/>
      </w:r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>
        <w:rFonts w:cs="Times New Roman"/>
      </w:r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0"/>
        <w:b w:val="false"/>
        <w:szCs w:val="20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8"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  <w:rPr>
        <w:rFonts w:cs="Times New Roman"/>
      </w:r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>
        <w:rFonts w:cs="Times New Roman"/>
      </w:rPr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1065" w:hanging="70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1211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16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7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19"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0"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0"/>
        <w:szCs w:val="20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820c4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sk-SK" w:bidi="ar-SA"/>
    </w:rPr>
  </w:style>
  <w:style w:type="paragraph" w:styleId="Nadpis2">
    <w:name w:val="Heading 2"/>
    <w:basedOn w:val="Normal"/>
    <w:next w:val="Normal"/>
    <w:link w:val="Nadpis2Char"/>
    <w:uiPriority w:val="99"/>
    <w:qFormat/>
    <w:rsid w:val="000256db"/>
    <w:pPr>
      <w:keepNext w:val="true"/>
      <w:suppressAutoHyphens w:val="true"/>
      <w:spacing w:lineRule="auto" w:line="240" w:before="120" w:after="0"/>
      <w:jc w:val="both"/>
      <w:outlineLvl w:val="1"/>
    </w:pPr>
    <w:rPr>
      <w:rFonts w:ascii="Times New Roman" w:hAnsi="Times New Roman" w:eastAsia="Times New Roman"/>
      <w:sz w:val="24"/>
      <w:szCs w:val="20"/>
      <w:lang w:val="cs-CZ" w:eastAsia="ar-SA"/>
    </w:rPr>
  </w:style>
  <w:style w:type="paragraph" w:styleId="Nadpis3">
    <w:name w:val="Heading 3"/>
    <w:basedOn w:val="Normal"/>
    <w:next w:val="Normal"/>
    <w:link w:val="Nadpis3Char"/>
    <w:uiPriority w:val="99"/>
    <w:qFormat/>
    <w:rsid w:val="000256db"/>
    <w:pPr>
      <w:keepNext w:val="true"/>
      <w:suppressAutoHyphens w:val="true"/>
      <w:spacing w:lineRule="auto" w:line="240" w:before="0" w:after="0"/>
      <w:ind w:left="3119" w:hanging="3119"/>
      <w:jc w:val="both"/>
      <w:outlineLvl w:val="2"/>
    </w:pPr>
    <w:rPr>
      <w:rFonts w:ascii="Times New Roman" w:hAnsi="Times New Roman" w:eastAsia="Times New Roman"/>
      <w:sz w:val="24"/>
      <w:szCs w:val="20"/>
      <w:lang w:val="cs-CZ" w:eastAsia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2Char" w:customStyle="1">
    <w:name w:val="Nadpis 2 Char"/>
    <w:uiPriority w:val="99"/>
    <w:qFormat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styleId="Nadpis3Char" w:customStyle="1">
    <w:name w:val="Nadpis 3 Char"/>
    <w:uiPriority w:val="99"/>
    <w:qFormat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styleId="OdsekzoznamuChar" w:customStyle="1">
    <w:name w:val="Odsek zoznamu Char"/>
    <w:link w:val="ListParagraph"/>
    <w:uiPriority w:val="99"/>
    <w:qFormat/>
    <w:locked/>
    <w:rsid w:val="000820c4"/>
    <w:rPr>
      <w:rFonts w:ascii="Times New Roman" w:hAnsi="Times New Roman"/>
    </w:rPr>
  </w:style>
  <w:style w:type="character" w:styleId="TextpoznmkypodiarouChar" w:customStyle="1">
    <w:name w:val="Text poznámky pod čiarou Char"/>
    <w:uiPriority w:val="99"/>
    <w:semiHidden/>
    <w:qFormat/>
    <w:locked/>
    <w:rsid w:val="000820c4"/>
    <w:rPr>
      <w:rFonts w:ascii="Times New Roman" w:hAnsi="Times New Roman" w:cs="Times New Roman"/>
      <w:sz w:val="20"/>
      <w:szCs w:val="20"/>
    </w:rPr>
  </w:style>
  <w:style w:type="character" w:styleId="Znakyprepoznmkupodiarou">
    <w:name w:val="Znaky pre poznámku pod čiarou"/>
    <w:uiPriority w:val="99"/>
    <w:semiHidden/>
    <w:qFormat/>
    <w:rsid w:val="000820c4"/>
    <w:rPr>
      <w:rFonts w:cs="Times New Roman"/>
      <w:vertAlign w:val="superscript"/>
    </w:rPr>
  </w:style>
  <w:style w:type="character" w:styleId="Ukotveniepoznmkypodiarou">
    <w:name w:val="Footnote Reference"/>
    <w:rPr>
      <w:rFonts w:cs="Times New Roman"/>
      <w:vertAlign w:val="superscript"/>
    </w:rPr>
  </w:style>
  <w:style w:type="character" w:styleId="HlavikaChar" w:customStyle="1">
    <w:name w:val="Hlavička Char"/>
    <w:uiPriority w:val="99"/>
    <w:qFormat/>
    <w:locked/>
    <w:rsid w:val="008e5eec"/>
    <w:rPr>
      <w:rFonts w:ascii="Calibri" w:hAnsi="Calibri" w:cs="Times New Roman"/>
    </w:rPr>
  </w:style>
  <w:style w:type="character" w:styleId="PtaChar" w:customStyle="1">
    <w:name w:val="Päta Char"/>
    <w:uiPriority w:val="99"/>
    <w:qFormat/>
    <w:locked/>
    <w:rsid w:val="008e5eec"/>
    <w:rPr>
      <w:rFonts w:ascii="Calibri" w:hAnsi="Calibri" w:cs="Times New Roman"/>
    </w:rPr>
  </w:style>
  <w:style w:type="character" w:styleId="ZkladntextChar" w:customStyle="1">
    <w:name w:val="Základný text Char"/>
    <w:uiPriority w:val="99"/>
    <w:qFormat/>
    <w:locked/>
    <w:rsid w:val="008e5eec"/>
    <w:rPr>
      <w:rFonts w:ascii="Times New Roman" w:hAnsi="Times New Roman" w:cs="Times New Roman"/>
      <w:sz w:val="24"/>
      <w:szCs w:val="24"/>
    </w:rPr>
  </w:style>
  <w:style w:type="character" w:styleId="Ra" w:customStyle="1">
    <w:name w:val="ra"/>
    <w:uiPriority w:val="99"/>
    <w:qFormat/>
    <w:rsid w:val="004f635d"/>
    <w:rPr>
      <w:rFonts w:cs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8e5eec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link w:val="OdsekzoznamuChar"/>
    <w:uiPriority w:val="99"/>
    <w:qFormat/>
    <w:rsid w:val="000820c4"/>
    <w:pPr>
      <w:spacing w:before="0" w:after="200"/>
      <w:ind w:left="720" w:hanging="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Poznmkapodiarou">
    <w:name w:val="Footnote Text"/>
    <w:basedOn w:val="Normal"/>
    <w:link w:val="TextpoznmkypodiarouChar"/>
    <w:uiPriority w:val="99"/>
    <w:semiHidden/>
    <w:rsid w:val="000820c4"/>
    <w:pPr>
      <w:spacing w:lineRule="auto" w:line="240" w:before="0" w:after="0"/>
    </w:pPr>
    <w:rPr>
      <w:rFonts w:ascii="Times New Roman" w:hAnsi="Times New Roman" w:eastAsia="Times New Roman"/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rsid w:val="008e5e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rsid w:val="008e5e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opHeader" w:customStyle="1">
    <w:name w:val="Top Header"/>
    <w:basedOn w:val="Normal"/>
    <w:uiPriority w:val="99"/>
    <w:qFormat/>
    <w:rsid w:val="00d842bf"/>
    <w:pPr>
      <w:spacing w:lineRule="auto" w:line="240" w:before="0" w:after="0"/>
      <w:jc w:val="center"/>
    </w:pPr>
    <w:rPr>
      <w:rFonts w:ascii="Arial Narrow" w:hAnsi="Arial Narrow" w:eastAsia="Times New Roman"/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LibreOffice/7.5.1.2$Windows_X86_64 LibreOffice_project/fcbaee479e84c6cd81291587d2ee68cba099e129</Application>
  <AppVersion>15.0000</AppVersion>
  <Pages>5</Pages>
  <Words>2083</Words>
  <Characters>12767</Characters>
  <CharactersWithSpaces>14748</CharactersWithSpaces>
  <Paragraphs>164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2022-06-20T08:08:00Z</dcterms:created>
  <dc:creator>Uzivatel</dc:creator>
  <dc:description/>
  <dc:language>sk-SK</dc:language>
  <cp:lastModifiedBy/>
  <dcterms:modified xsi:type="dcterms:W3CDTF">2024-06-26T18:07:59Z</dcterms:modified>
  <cp:revision>3</cp:revision>
  <dc:subject/>
  <dc:title>Poznámky k účtovnej závierke za rok 2016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