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numPr>
          <w:ilvl w:val="0"/>
          <w:numId w:val="1"/>
        </w:num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07.Informácie o 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čtovnej jednotke: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</w:r>
    </w:p>
    <w:p>
      <w:pPr>
        <w:numPr>
          <w:ilvl w:val="0"/>
          <w:numId w:val="3"/>
        </w:numPr>
        <w:spacing w:before="0" w:after="0" w:line="240"/>
        <w:ind w:right="0" w:left="1440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čnosť Balmod s.r.o., bola založen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v obchodnom registri zakladate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ľskou listinou dňa 17.2.2021  . Je zap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ísaná v obchodnom registri Okresného súdu Banská Bystrica, oddiel s.r.o., vlo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žka 40673/S. Deň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ápisu 17.2.2021.</w:t>
      </w:r>
    </w:p>
    <w:p>
      <w:pPr>
        <w:numPr>
          <w:ilvl w:val="0"/>
          <w:numId w:val="3"/>
        </w:numPr>
        <w:spacing w:before="0" w:after="0" w:line="240"/>
        <w:ind w:right="0" w:left="1440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Hlavné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činnosti spoločnosti 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ú: </w:t>
      </w:r>
    </w:p>
    <w:p>
      <w:pPr>
        <w:spacing w:before="0" w:after="0" w:line="240"/>
        <w:ind w:right="0" w:left="141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Kúpa tovaru na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čely jeho predaja konečn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ému spotrebite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ľovi (maloobchod) alebo in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 prevádzkovate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ľom živnosti (veľkoobchod).</w:t>
      </w:r>
    </w:p>
    <w:p>
      <w:pPr>
        <w:spacing w:before="0" w:after="0" w:line="240"/>
        <w:ind w:right="0" w:left="141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Sprostredkovate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ľsk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činnost</w:t>
      </w:r>
    </w:p>
    <w:p>
      <w:pPr>
        <w:spacing w:before="0" w:after="0" w:line="240"/>
        <w:ind w:right="0" w:left="141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Reklamné a marketingové slu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žby</w:t>
      </w:r>
    </w:p>
    <w:p>
      <w:pPr>
        <w:spacing w:before="0" w:after="0" w:line="240"/>
        <w:ind w:right="0" w:left="141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Administratívne slu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žby</w:t>
      </w:r>
    </w:p>
    <w:p>
      <w:pPr>
        <w:spacing w:before="0" w:after="0" w:line="240"/>
        <w:ind w:right="0" w:left="141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Vedenie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íctva</w:t>
      </w:r>
    </w:p>
    <w:p>
      <w:pPr>
        <w:spacing w:before="0" w:after="0" w:line="240"/>
        <w:ind w:right="0" w:left="141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Organizovanie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športov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ých, kultúrnych a iných 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čensk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ých podujatí</w:t>
      </w:r>
    </w:p>
    <w:p>
      <w:pPr>
        <w:spacing w:before="0" w:after="0" w:line="240"/>
        <w:ind w:right="0" w:left="141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Poskytovanie slu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žie 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ýchleho ob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čerstvenia</w:t>
      </w:r>
    </w:p>
    <w:p>
      <w:pPr>
        <w:spacing w:before="0" w:after="0" w:line="240"/>
        <w:ind w:right="0" w:left="141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Prenájom hnute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ých vecí</w:t>
      </w:r>
    </w:p>
    <w:p>
      <w:pPr>
        <w:spacing w:before="0" w:after="0" w:line="240"/>
        <w:ind w:right="0" w:left="141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Čistiace a upratovacie služby</w:t>
      </w:r>
    </w:p>
    <w:p>
      <w:pPr>
        <w:spacing w:before="0" w:after="0" w:line="240"/>
        <w:ind w:right="0" w:left="141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Odevná výroba</w:t>
      </w:r>
    </w:p>
    <w:p>
      <w:pPr>
        <w:spacing w:before="0" w:after="0" w:line="240"/>
        <w:ind w:right="0" w:left="141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Výroba svie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čok a tieniacej techniky</w:t>
      </w:r>
    </w:p>
    <w:p>
      <w:pPr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6"/>
        </w:numPr>
        <w:tabs>
          <w:tab w:val="left" w:pos="1428" w:leader="none"/>
        </w:tabs>
        <w:spacing w:before="0" w:after="0" w:line="240"/>
        <w:ind w:right="0" w:left="1428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K dátumu zostavenia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čtovnej uz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ávierky mala 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čnosť nemala žiadnych zamestnancov</w:t>
      </w:r>
    </w:p>
    <w:p>
      <w:pPr>
        <w:numPr>
          <w:ilvl w:val="0"/>
          <w:numId w:val="6"/>
        </w:numPr>
        <w:tabs>
          <w:tab w:val="left" w:pos="1428" w:leader="none"/>
        </w:tabs>
        <w:spacing w:before="0" w:after="0" w:line="240"/>
        <w:ind w:right="0" w:left="1428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Obchodná 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čnosť nie je obmedzene ručiacim spoločn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íkom v 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žiadnej spoločnosti.</w:t>
      </w:r>
    </w:p>
    <w:p>
      <w:pPr>
        <w:numPr>
          <w:ilvl w:val="0"/>
          <w:numId w:val="6"/>
        </w:numPr>
        <w:tabs>
          <w:tab w:val="left" w:pos="1428" w:leader="none"/>
        </w:tabs>
        <w:spacing w:before="0" w:after="0" w:line="240"/>
        <w:ind w:right="0" w:left="1428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uzávierka 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čnosti bola k 31.12.2023 zostaven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ako riadna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uzávierka pod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§ 17ods. 6 zákona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č. 431/2002 Z.z. o 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íctve v znení neskor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ích predpisov.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</w:r>
    </w:p>
    <w:p>
      <w:pPr>
        <w:numPr>
          <w:ilvl w:val="0"/>
          <w:numId w:val="8"/>
        </w:numPr>
        <w:tabs>
          <w:tab w:val="left" w:pos="720" w:leader="none"/>
        </w:tabs>
        <w:spacing w:before="0" w:after="200" w:line="240"/>
        <w:ind w:right="0" w:left="1275" w:hanging="36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Informácie o po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čte zamestnancov</w:t>
      </w:r>
    </w:p>
    <w:tbl>
      <w:tblPr/>
      <w:tblGrid>
        <w:gridCol w:w="4423"/>
        <w:gridCol w:w="1969"/>
        <w:gridCol w:w="2896"/>
      </w:tblGrid>
      <w:tr>
        <w:trPr>
          <w:trHeight w:val="1" w:hRule="atLeast"/>
          <w:jc w:val="left"/>
        </w:trPr>
        <w:tc>
          <w:tcPr>
            <w:tcW w:w="44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      Názov polo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žky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</w:p>
        </w:tc>
        <w:tc>
          <w:tcPr>
            <w:tcW w:w="19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žn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é obdobie</w:t>
            </w:r>
          </w:p>
        </w:tc>
        <w:tc>
          <w:tcPr>
            <w:tcW w:w="28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Bezprostredne predchádzajúce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4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čet zamestnancov </w:t>
            </w:r>
          </w:p>
        </w:tc>
        <w:tc>
          <w:tcPr>
            <w:tcW w:w="19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4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ňu, ku ktor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ému sa zostavuje ú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á závierka , z toho:</w:t>
            </w:r>
          </w:p>
        </w:tc>
        <w:tc>
          <w:tcPr>
            <w:tcW w:w="19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8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4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čet ved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19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24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                 Informácie o konsolidovanom celku :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                 </w:t>
      </w: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čnosť nie je s</w:t>
      </w: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ého celku.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  <w:br/>
      </w:r>
    </w:p>
    <w:p>
      <w:pPr>
        <w:numPr>
          <w:ilvl w:val="0"/>
          <w:numId w:val="22"/>
        </w:numPr>
        <w:tabs>
          <w:tab w:val="left" w:pos="720" w:leader="none"/>
        </w:tabs>
        <w:spacing w:before="0" w:after="0" w:line="240"/>
        <w:ind w:right="0" w:left="644" w:hanging="36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Konatelia:  Milan Majling</w:t>
      </w:r>
    </w:p>
    <w:p>
      <w:pPr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Konate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ľom neboli v roku 2023 poskytnut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pô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žičky,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áruky alebo iné formy zabezpe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čenia, ani finančn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prostriedky alebo iné plnenia na súkromné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čely.</w:t>
      </w:r>
    </w:p>
    <w:p>
      <w:pPr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íci: Milan Majling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  <w:br/>
      </w:r>
    </w:p>
    <w:p>
      <w:pPr>
        <w:numPr>
          <w:ilvl w:val="0"/>
          <w:numId w:val="26"/>
        </w:numPr>
        <w:tabs>
          <w:tab w:val="left" w:pos="720" w:leader="none"/>
        </w:tabs>
        <w:spacing w:before="0" w:after="0" w:line="240"/>
        <w:ind w:right="0" w:left="644" w:hanging="36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Informácie o pou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žit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ých 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čtovn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ých zásadách a 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čtovn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ých metódach :  </w:t>
      </w:r>
    </w:p>
    <w:p>
      <w:pPr>
        <w:spacing w:before="0" w:after="0" w:line="240"/>
        <w:ind w:right="0" w:left="644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Základné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metódy pou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žit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pri zostavovaní tejto individuálnej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čtovnej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ávierky sú opísané ni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žšie . Tieto met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ódy sa uplat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konzistentne 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 všetk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ých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ých období, ak nie je uvedené inak.</w:t>
      </w:r>
    </w:p>
    <w:p>
      <w:pPr>
        <w:spacing w:before="0" w:after="0" w:line="240"/>
        <w:ind w:right="0" w:left="644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čnosť zostavila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závierku za predpokladu nepretr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žit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ého pokra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čovania vo svojej činnosti.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Spôsob oce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ňovania jednotliv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ých zlo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žiek majetku a z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áväzkov :</w:t>
      </w:r>
    </w:p>
    <w:p>
      <w:pPr>
        <w:spacing w:before="0" w:after="0" w:line="240"/>
        <w:ind w:right="0" w:left="644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Dlhodobý nehmotný majetok</w:t>
      </w:r>
    </w:p>
    <w:p>
      <w:pPr>
        <w:numPr>
          <w:ilvl w:val="0"/>
          <w:numId w:val="31"/>
        </w:numPr>
        <w:tabs>
          <w:tab w:val="left" w:pos="720" w:leader="none"/>
        </w:tabs>
        <w:spacing w:before="0" w:after="0" w:line="240"/>
        <w:ind w:right="0" w:left="1004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Dlhodobý nehmotný majetok nakupovaný sa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ňuje obstar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ávacou cenou, ktorá zah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ŕňa cenu obstarania a 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áklady súvisiace s obstaraním ( clo, prepravu, montá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ž, poistn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a pod.) Sú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časťou obstar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ávacej ceny dlhodobého nehmotného majetku nie sú úroky z úverov súvisiacich s obstaraním majetku, ktoré vznikli do momentu zaradenia majetku do 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ívania.</w:t>
      </w:r>
    </w:p>
    <w:p>
      <w:pPr>
        <w:numPr>
          <w:ilvl w:val="0"/>
          <w:numId w:val="31"/>
        </w:numPr>
        <w:tabs>
          <w:tab w:val="left" w:pos="720" w:leader="none"/>
        </w:tabs>
        <w:spacing w:before="0" w:after="0" w:line="240"/>
        <w:ind w:right="0" w:left="1004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Dlhodobý nehmotný majetok vytvorený vlastnou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činnosťou sa oceňuje vlastn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ými nákladmi. Vlastnými nákladmi sú 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šetky priame 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áklady vynalo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na výrobu alebo na inú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činnosť a nepriame 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áklady, ktoré sa vz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ťahuj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na výrobu a 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činnosť.</w:t>
      </w:r>
    </w:p>
    <w:p>
      <w:pPr>
        <w:spacing w:before="0" w:after="200" w:line="240"/>
        <w:ind w:right="0" w:left="644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Dlhodobý hmotný majetok</w:t>
      </w:r>
    </w:p>
    <w:p>
      <w:pPr>
        <w:numPr>
          <w:ilvl w:val="0"/>
          <w:numId w:val="33"/>
        </w:numPr>
        <w:tabs>
          <w:tab w:val="left" w:pos="720" w:leader="none"/>
        </w:tabs>
        <w:spacing w:before="0" w:after="0" w:line="240"/>
        <w:ind w:right="0" w:left="1004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Dlhodobý hmotný majetok nakupovaný sa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ňuje obstar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ávacou cenou, ktorá zah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ŕňa cenu obstarania a 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áklady súvisiace s obstaraním (clo, prepravu, montá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ž, poistn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a pod.) Sú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časťou obstar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ávacej ceny dlhodobého hmotného majetku nie sú úroku z úverov súvisiacich s obstaraním majetku, ktoré vznikli do momentu zaradenia majetku do 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ívania.</w:t>
      </w:r>
    </w:p>
    <w:p>
      <w:pPr>
        <w:numPr>
          <w:ilvl w:val="0"/>
          <w:numId w:val="33"/>
        </w:numPr>
        <w:tabs>
          <w:tab w:val="left" w:pos="720" w:leader="none"/>
        </w:tabs>
        <w:spacing w:before="0" w:after="0" w:line="240"/>
        <w:ind w:right="0" w:left="1004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Do dlhodobého hmotného majetku patrí majetok, ku ktorému má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jednotka vlastnícke právo. Sú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časťou dlhodob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ého hmot. majetku je aj majetok, ktorý 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čnosť obstarala na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áklade zmluvy o finan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čnom pren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ájme.</w:t>
      </w:r>
    </w:p>
    <w:p>
      <w:pPr>
        <w:numPr>
          <w:ilvl w:val="0"/>
          <w:numId w:val="33"/>
        </w:numPr>
        <w:tabs>
          <w:tab w:val="left" w:pos="720" w:leader="none"/>
        </w:tabs>
        <w:spacing w:before="0" w:after="0" w:line="240"/>
        <w:ind w:right="0" w:left="1004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Odpisy dlhodobého hmot. majetku sú stanovené pod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 predpokladanej doby jeho použ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ívania a predpokladaného priebehu jeho opotrebenia. Pozemky sa neodpisujú.</w:t>
      </w:r>
    </w:p>
    <w:p>
      <w:pPr>
        <w:numPr>
          <w:ilvl w:val="0"/>
          <w:numId w:val="33"/>
        </w:numPr>
        <w:tabs>
          <w:tab w:val="left" w:pos="720" w:leader="none"/>
        </w:tabs>
        <w:spacing w:before="0" w:after="0" w:line="240"/>
        <w:ind w:right="0" w:left="1004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Vypracuje sa odpisový plán pre jednotlivé druhy majetku so stanovenou metódou odpisovania a ro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čnou odpisovou sadzbou.</w:t>
      </w:r>
    </w:p>
    <w:p>
      <w:pPr>
        <w:numPr>
          <w:ilvl w:val="0"/>
          <w:numId w:val="33"/>
        </w:numPr>
        <w:tabs>
          <w:tab w:val="left" w:pos="720" w:leader="none"/>
        </w:tabs>
        <w:spacing w:before="0" w:after="0" w:line="240"/>
        <w:ind w:right="0" w:left="1004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Technické zhodnotenie dlhodobého hmotného majetku nie je technickým zhodnotením, ak neprevy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šuje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úhrnne za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obdobie sumu 1700 eur.</w:t>
      </w:r>
    </w:p>
    <w:p>
      <w:pPr>
        <w:numPr>
          <w:ilvl w:val="0"/>
          <w:numId w:val="33"/>
        </w:numPr>
        <w:tabs>
          <w:tab w:val="left" w:pos="720" w:leader="none"/>
        </w:tabs>
        <w:spacing w:before="0" w:after="0" w:line="240"/>
        <w:ind w:right="0" w:left="1004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jednotka nemala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žiadny hmotn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 a nehmotný majetok.</w:t>
      </w:r>
    </w:p>
    <w:p>
      <w:pPr>
        <w:spacing w:before="0" w:after="24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Cenné papiere a podiely</w:t>
      </w:r>
    </w:p>
    <w:p>
      <w:pPr>
        <w:numPr>
          <w:ilvl w:val="0"/>
          <w:numId w:val="36"/>
        </w:numPr>
        <w:tabs>
          <w:tab w:val="left" w:pos="720" w:leader="none"/>
        </w:tabs>
        <w:spacing w:before="0" w:after="0" w:line="240"/>
        <w:ind w:right="0" w:left="1110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Cenné papiere a podiely sa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pri nadobudnutí obstarávacou cenou, vrátane nákladov súvisiacich s obstaraním.</w:t>
      </w:r>
    </w:p>
    <w:p>
      <w:pPr>
        <w:numPr>
          <w:ilvl w:val="0"/>
          <w:numId w:val="36"/>
        </w:numPr>
        <w:tabs>
          <w:tab w:val="left" w:pos="720" w:leader="none"/>
        </w:tabs>
        <w:spacing w:before="0" w:after="0" w:line="240"/>
        <w:ind w:right="0" w:left="1110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Ku 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ňu, ku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závierka 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čnosť nevlastnila cenn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papiere a podiely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       Zásoby</w:t>
      </w:r>
    </w:p>
    <w:p>
      <w:pPr>
        <w:numPr>
          <w:ilvl w:val="0"/>
          <w:numId w:val="38"/>
        </w:numPr>
        <w:tabs>
          <w:tab w:val="left" w:pos="720" w:leader="none"/>
        </w:tabs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Do zásob patrí skladovaný materiál a skladovaný tovar a priame náklady na neukon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servisné opravy.</w:t>
      </w:r>
    </w:p>
    <w:p>
      <w:pPr>
        <w:numPr>
          <w:ilvl w:val="0"/>
          <w:numId w:val="38"/>
        </w:numPr>
        <w:tabs>
          <w:tab w:val="left" w:pos="720" w:leader="none"/>
        </w:tabs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Materiál a tovar sa prvotne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obstarávacou cenou, ktorú tvorí cena obstarania a náklady súvisiace s obstaraním (prepravné, poistné, provízie, skonto). Úroky z úverov nie sú sú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časťou obstar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ávacej ceny.</w:t>
      </w:r>
    </w:p>
    <w:p>
      <w:pPr>
        <w:numPr>
          <w:ilvl w:val="0"/>
          <w:numId w:val="38"/>
        </w:numPr>
        <w:tabs>
          <w:tab w:val="left" w:pos="720" w:leader="none"/>
        </w:tabs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Nakupované zásoby sa:</w:t>
      </w:r>
    </w:p>
    <w:p>
      <w:pPr>
        <w:numPr>
          <w:ilvl w:val="0"/>
          <w:numId w:val="39"/>
        </w:num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Vysklad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vá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aritmetickým priemerom z obstarávaných cien</w:t>
      </w:r>
    </w:p>
    <w:p>
      <w:pPr>
        <w:numPr>
          <w:ilvl w:val="0"/>
          <w:numId w:val="39"/>
        </w:num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Úbytok ved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ľajš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ích nákladov, pripadajúcich na spotrebované zásoby sa ur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úbytok zásob za mesiac*priemerné percento /100</w:t>
      </w:r>
    </w:p>
    <w:p>
      <w:pPr>
        <w:numPr>
          <w:ilvl w:val="0"/>
          <w:numId w:val="39"/>
        </w:num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jednotka neevidovala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žiadne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ásoby v roku 202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3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Poh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ľad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ávky</w:t>
      </w:r>
    </w:p>
    <w:p>
      <w:pPr>
        <w:numPr>
          <w:ilvl w:val="0"/>
          <w:numId w:val="42"/>
        </w:numPr>
        <w:tabs>
          <w:tab w:val="left" w:pos="720" w:leader="none"/>
        </w:tabs>
        <w:spacing w:before="0" w:after="0" w:line="240"/>
        <w:ind w:right="0" w:left="840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ávky pri ich vzniku sa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menovitou hodnotou. Postúpené poh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ávky sa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obstarávacou cenou vrátane nákladov súvisiacich s obstaraním. Zní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ženie ocenenia pohľad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ávok prostredníctvom tvorby opravných 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žiek sa tvor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 k pochybným poh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ávkam a nevymo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žiteľn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poh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ávkam.</w:t>
      </w:r>
    </w:p>
    <w:p>
      <w:pPr>
        <w:numPr>
          <w:ilvl w:val="0"/>
          <w:numId w:val="42"/>
        </w:numPr>
        <w:tabs>
          <w:tab w:val="left" w:pos="720" w:leader="none"/>
        </w:tabs>
        <w:spacing w:before="0" w:after="0" w:line="240"/>
        <w:ind w:right="0" w:left="840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ávky s dobou splatnosti od 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ňa,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závierka menej ako 12 mesiacov sú dlhodobé a poh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ávky s dobou splatnosti odo 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ňa ku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závierka menej ako 12 mesiacov sa vykazujú ako krátkodobé.</w:t>
      </w:r>
    </w:p>
    <w:p>
      <w:pPr>
        <w:numPr>
          <w:ilvl w:val="0"/>
          <w:numId w:val="42"/>
        </w:numPr>
        <w:tabs>
          <w:tab w:val="left" w:pos="720" w:leader="none"/>
        </w:tabs>
        <w:spacing w:before="0" w:after="0" w:line="240"/>
        <w:ind w:right="0" w:left="840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Ak je zostatková doba splatnosti poh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ávky dlh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šia ako jeden rok, vytv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ára sa opravná 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žka,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predstavuje rozdiel medzi menovitou a sú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časnou hodnotou pohľad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ávky.</w:t>
      </w:r>
    </w:p>
    <w:p>
      <w:pPr>
        <w:numPr>
          <w:ilvl w:val="0"/>
          <w:numId w:val="42"/>
        </w:numPr>
        <w:tabs>
          <w:tab w:val="left" w:pos="720" w:leader="none"/>
        </w:tabs>
        <w:spacing w:before="0" w:after="0" w:line="240"/>
        <w:ind w:right="0" w:left="840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Opravná 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žka na pohľad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ávky z obchodného styku sa vytvára vtedy, ak existuje objektívny dôkaz,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 obchodn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čnosť nebude schopn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zinkasova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 všetky dlžn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čiastky podľa p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ôvodných podmienok poh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ávok. Významné finan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problémy dl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íka, pravdepodobnos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ť, že dlžn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ík vstúpi do konkurzu, platobná neschopnos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 alebo omeškanie platieb sa považuj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za indikátory toho,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 pohľad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ávka z obchodného styku je znehodnotená. Vý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ška opravnej položky predstavuje rozdiel medzi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čtovnou hodnotou dan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ého majetku a hodnotou predpokladaných budúcich pe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ňažn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ých tokov.</w:t>
      </w:r>
    </w:p>
    <w:p>
      <w:pPr>
        <w:spacing w:before="0" w:after="24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  <w:br/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Pe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ňažn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é prostriedky, ekvivalenty pe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ňažn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ých prostriedkov a pe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ňažn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é ekvivalenty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            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ňažn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prostriedky a ceniny sa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ich menovitou hodnotou. Zní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ženie ich hodnoty sa vyjadruje opravnou položkou. Peňažn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prostriedky a pe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ňažn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ekvivalenty zah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ŕňaj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pe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ňažn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hotovos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ť, term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ínované vklady v bankách, iné krátkodobé vysoko likvidné investície s pôvodnou lehotou splatnosti do troch mesiacov a kontokorentné úvery. V súvahe sú kontokorentné úvery vykázané ako krátkodobé bankové úvery.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Náklady budúcich období a príjmy budúcich období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Náklady budúcich období a príjmy budúcich období sa vykazujú vo vý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ške,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je potrebná na dodr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žanie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ásady vecnej a 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časovej 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úvislosti s 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obdobím.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Rezervy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Rezervy sa vytvárajú, ak má obchodná 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čnosť 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 zákonný, zmluvný alebo mimozmluvný záväzok, ktorý je dôsledkom minulých udalostí a na základe ktorého pravdepodobne dôjde k úbytku ekonomických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žitkov, a 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árove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 je možn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vykona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 spoľahliv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 odhad vý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šky t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ýchto záväzkov. Rezervy sú záväzky s neur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čit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časov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vymedzením alebo vý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škou, tvoria sa na krytie zn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ámych rizík alebo strát z podnikania.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sa v 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čak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ávanej vý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ške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áväzku. Rezervy sa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odhadom v sume dostato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čnej na splnenie existuj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úcej povinnosti ku 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 , ku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závierka pri zoh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ľadnen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 rizík a neistôt.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Záväzky 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Záväzky pri ich vzniku sa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menovitou hodnotou. Záväzky pri ich prevzatí sa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obstarávacou cenou. Ak sa pri inventarizácii zistí,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 suma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áväzkov je iná ako ich vý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ška v 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íctve, uvedú sa záväzky v 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íctve a v 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čtovnej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ávierke v tomto zistenom ocenení.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Odlo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žen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é dane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Odlo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dane sa vz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ťahuj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na :</w:t>
      </w:r>
    </w:p>
    <w:p>
      <w:pPr>
        <w:numPr>
          <w:ilvl w:val="0"/>
          <w:numId w:val="47"/>
        </w:num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Do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rozdiely medzi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čtovnou hodnotou majetku a 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čtovnou hodnotou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áväzkov vykázanou v súvahe a ich da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ňovou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áklad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ňou,</w:t>
      </w:r>
    </w:p>
    <w:p>
      <w:pPr>
        <w:numPr>
          <w:ilvl w:val="0"/>
          <w:numId w:val="47"/>
        </w:num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Mo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žnosť umorovať daňov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stratu v budúcnosti, ktorou sa rozumie mo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žnosť odpoč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íta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 daňov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stratu od základu dane v budúcnosti,</w:t>
      </w:r>
    </w:p>
    <w:p>
      <w:pPr>
        <w:numPr>
          <w:ilvl w:val="0"/>
          <w:numId w:val="47"/>
        </w:num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Mo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žnosť previesť nevyužit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da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ňov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odpo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čty a in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da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ňov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nároky do budúcich období. Odlo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da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 z pr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íjmov sa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čtuje použit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ím záväzkovej metódy. O odlo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ženej dani z pr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íjmov sa neú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čtuje , ak vznik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pri prvotnom zaú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čtovan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 majetku alebo záväzku v 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íctve , ak v 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čase prvotn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ého zaú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čtovania nem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tento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 prípad vplyv ani na výsledok hospodárenia ani na základ dane a zárove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 nejde o 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 prípad vznikajúci u kupujúceho pri kúpe podniku alebo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časti podniku, u prij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ímate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 vkladu pri vklade podniku alebo časti podniku alebo u 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ástupníckej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čtovnej jednotky pri zl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í, splynutí alebo rozdelení. Odlo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da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 z pr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íjmov sa stanovuje pomocou da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ňovej sadzby,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boli známe ku 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ňu, ku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závierka a 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čak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áva sa ich platnos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 v čase realiz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ácie príslu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šnej odloženej daňovej pohľad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ávky alebo vyrovnania odlo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ého da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ňov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ého záväzku. Odlo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da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ňov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poh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ávky sa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ú, ak je pravdepodobné,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 v bud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úcnosti bude generovaný zisk, vo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či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ému sa budú môc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 dočasn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rozdiely zrealizova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Výdavky budúcich období a výnosy budúcich období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Výdavky budúcich období a výnosy budúcich období sa vykazujú vo vý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ške,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je potrebná na dodr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žanie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ásady vecnej a 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časovej 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úvislosti s 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obdobím.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Cudzia mena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Majetok a záväzky vyjadrené v cudzej mene sa ku 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 uskutočnenia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ého prípadu prepo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ítavajú a menu euro referen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výmenným kurzom ur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a vyhláseným Európskou centrálnou bankou alebo Národnou bankou Slovenskej republiky v de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 predch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ádzajúci 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 uskutočnenia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ého prípadu.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Majetok a záväzky vyjadrené v cudzej mene (okrem prijatých a poskytnutých preddavkov)sa ku 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ňu, ku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závierka, prepo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ítavajú na menu euro referen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výmenným kurzom ur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a vyhláseným Európskou centrálnou bankou alebo Národnou bankou Slovenska v de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ň, ku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závierka a 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sa vplyvom na výsledok hospodárenia.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Prijaté a poskytnuté preddavky v cudzej mene sa prepo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ítavajú a menu euro referen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výmenným kurzom ur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a vyhláseným Európskou centrálnou bankou alebo Národnou 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bankou Slovenska v de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 predch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ádzajúci 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 uskutočnenia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ého prípadu. Ku 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ňu,ku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závierka sa na menu euro neprepo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ítavajú.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Výnosy 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Tr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žba za vlastn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výkony a tovar neobsahuje da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 z pridanej hodnoty. 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tie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 zn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o 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ľavy a zr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žky (rabaty, bonusy, skont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á, dobropisy a pod.)bez 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ľadu na to, či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ákazník mal vopred nárok, alebo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či ide o dodatočne uznan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ľavu.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Oprava chýb minulých 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ých období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 roku 202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3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čnosť ne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čtovala o oprave ch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ýb minulých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ých období.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 </w:t>
      </w:r>
    </w:p>
    <w:p>
      <w:pPr>
        <w:numPr>
          <w:ilvl w:val="0"/>
          <w:numId w:val="52"/>
        </w:numPr>
        <w:tabs>
          <w:tab w:val="left" w:pos="720" w:leader="none"/>
        </w:tabs>
        <w:spacing w:before="0" w:after="0" w:line="240"/>
        <w:ind w:right="0" w:left="644" w:hanging="36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Informácie k polo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žk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ám úvahy z výkazu ziskov a strát</w:t>
      </w:r>
    </w:p>
    <w:p>
      <w:pPr>
        <w:spacing w:before="0" w:after="24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tbl>
      <w:tblPr/>
      <w:tblGrid>
        <w:gridCol w:w="4359"/>
        <w:gridCol w:w="1828"/>
        <w:gridCol w:w="3101"/>
      </w:tblGrid>
      <w:tr>
        <w:trPr>
          <w:trHeight w:val="1" w:hRule="atLeast"/>
          <w:jc w:val="center"/>
        </w:trPr>
        <w:tc>
          <w:tcPr>
            <w:tcW w:w="4359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auto" w:fill="fde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      Názov polo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žky</w:t>
            </w:r>
          </w:p>
        </w:tc>
        <w:tc>
          <w:tcPr>
            <w:tcW w:w="1828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auto" w:fill="fde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     Be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žn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é </w:t>
            </w:r>
          </w:p>
        </w:tc>
        <w:tc>
          <w:tcPr>
            <w:tcW w:w="3101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auto" w:fill="fde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Bezprostredne predchádzajúce </w:t>
            </w:r>
          </w:p>
        </w:tc>
      </w:tr>
      <w:tr>
        <w:trPr>
          <w:trHeight w:val="1" w:hRule="atLeast"/>
          <w:jc w:val="center"/>
        </w:trPr>
        <w:tc>
          <w:tcPr>
            <w:tcW w:w="43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fde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2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fde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           obdobie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fde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            ú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Záväzky po lehote splatnosti</w:t>
            </w:r>
          </w:p>
        </w:tc>
        <w:tc>
          <w:tcPr>
            <w:tcW w:w="18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</w:p>
        </w:tc>
        <w:tc>
          <w:tcPr>
            <w:tcW w:w="31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1828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3101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2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0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4"/>
                <w:shd w:fill="auto" w:val="clear"/>
              </w:rPr>
              <w:t xml:space="preserve">Krátkodobé záväzky spolu</w:t>
            </w:r>
          </w:p>
        </w:tc>
        <w:tc>
          <w:tcPr>
            <w:tcW w:w="18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31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Záväzky so zostatkovou dobou splatnosti jeden rok a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ž p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ť </w:t>
            </w:r>
          </w:p>
        </w:tc>
        <w:tc>
          <w:tcPr>
            <w:tcW w:w="1828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3101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rokov</w:t>
            </w:r>
          </w:p>
        </w:tc>
        <w:tc>
          <w:tcPr>
            <w:tcW w:w="182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0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Záväzky so zostatkovou dobou</w:t>
            </w:r>
          </w:p>
        </w:tc>
        <w:tc>
          <w:tcPr>
            <w:tcW w:w="1828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"/>
                <w:shd w:fill="auto" w:val="clear"/>
              </w:rPr>
              <w:t xml:space="preserve">0</w:t>
            </w:r>
          </w:p>
        </w:tc>
        <w:tc>
          <w:tcPr>
            <w:tcW w:w="3101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splatnosti nad pä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ť rokov</w:t>
            </w:r>
          </w:p>
        </w:tc>
        <w:tc>
          <w:tcPr>
            <w:tcW w:w="182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0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  <w:br/>
        <w:br/>
      </w:r>
    </w:p>
    <w:p>
      <w:pPr>
        <w:numPr>
          <w:ilvl w:val="0"/>
          <w:numId w:val="85"/>
        </w:numPr>
        <w:tabs>
          <w:tab w:val="left" w:pos="720" w:leader="none"/>
        </w:tabs>
        <w:spacing w:before="0" w:after="0" w:line="240"/>
        <w:ind w:right="0" w:left="644" w:hanging="36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Informácie o iných aktívach a pasívach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čnosť nem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podmienené záväzky.</w:t>
      </w:r>
    </w:p>
    <w:p>
      <w:pPr>
        <w:numPr>
          <w:ilvl w:val="0"/>
          <w:numId w:val="87"/>
        </w:numPr>
        <w:tabs>
          <w:tab w:val="left" w:pos="720" w:leader="none"/>
        </w:tabs>
        <w:spacing w:before="0" w:after="0" w:line="240"/>
        <w:ind w:right="0" w:left="644" w:hanging="36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Informácie o skuto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čnostiach, ktor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é nastali po dni, ku ktorému sa zostavuje 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čtovn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á závierka do d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ňa zostavenia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ávierky</w:t>
      </w:r>
    </w:p>
    <w:p>
      <w:pPr>
        <w:spacing w:before="0" w:after="200" w:line="240"/>
        <w:ind w:right="0" w:left="284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Do 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ňa zostavenia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čtovnej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ávierky nevnikli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žiadne skutočnosti,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by mali vplyv na finan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situáciu 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čnosti.</w:t>
      </w:r>
    </w:p>
    <w:p>
      <w:pPr>
        <w:spacing w:before="0" w:after="24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  <w:br/>
      </w:r>
    </w:p>
    <w:p>
      <w:pPr>
        <w:spacing w:before="0" w:after="0" w:line="240"/>
        <w:ind w:right="0" w:left="99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  </w:t>
      </w:r>
    </w:p>
    <w:p>
      <w:pPr>
        <w:spacing w:before="0" w:after="24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 </w:t>
      </w:r>
    </w:p>
    <w:p>
      <w:pPr>
        <w:spacing w:before="0" w:after="24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1004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 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3">
    <w:lvl w:ilvl="0">
      <w:start w:val="1"/>
      <w:numFmt w:val="upperLetter"/>
      <w:lvlText w:val="%1."/>
    </w:lvl>
  </w:abstractNum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2">
    <w:lvl w:ilvl="0">
      <w:start w:val="1"/>
      <w:numFmt w:val="lowerLetter"/>
      <w:lvlText w:val="%1."/>
    </w:lvl>
  </w:abstractNum>
  <w:abstractNum w:abstractNumId="54">
    <w:lvl w:ilvl="0">
      <w:start w:val="1"/>
      <w:numFmt w:val="bullet"/>
      <w:lvlText w:val="•"/>
    </w:lvl>
  </w:abstractNum>
  <w:abstractNum w:abstractNumId="8">
    <w:lvl w:ilvl="0">
      <w:start w:val="1"/>
      <w:numFmt w:val="lowerLetter"/>
      <w:lvlText w:val="%1.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num w:numId="1">
    <w:abstractNumId w:val="3"/>
  </w:num>
  <w:num w:numId="3">
    <w:abstractNumId w:val="72"/>
  </w:num>
  <w:num w:numId="6">
    <w:abstractNumId w:val="66"/>
  </w:num>
  <w:num w:numId="8">
    <w:abstractNumId w:val="60"/>
  </w:num>
  <w:num w:numId="22">
    <w:abstractNumId w:val="54"/>
  </w:num>
  <w:num w:numId="26">
    <w:abstractNumId w:val="48"/>
  </w:num>
  <w:num w:numId="31">
    <w:abstractNumId w:val="42"/>
  </w:num>
  <w:num w:numId="33">
    <w:abstractNumId w:val="36"/>
  </w:num>
  <w:num w:numId="36">
    <w:abstractNumId w:val="30"/>
  </w:num>
  <w:num w:numId="38">
    <w:abstractNumId w:val="24"/>
  </w:num>
  <w:num w:numId="39">
    <w:abstractNumId w:val="8"/>
  </w:num>
  <w:num w:numId="42">
    <w:abstractNumId w:val="18"/>
  </w:num>
  <w:num w:numId="47">
    <w:abstractNumId w:val="2"/>
  </w:num>
  <w:num w:numId="52">
    <w:abstractNumId w:val="12"/>
  </w:num>
  <w:num w:numId="85">
    <w:abstractNumId w:val="6"/>
  </w:num>
  <w:num w:numId="87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