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21664" w:rsidRDefault="00F21664" w:rsidP="00F21664">
      <w:pPr>
        <w:pStyle w:val="Zkladntext"/>
        <w:ind w:left="0"/>
        <w:rPr>
          <w:b/>
          <w:bCs/>
          <w:sz w:val="32"/>
          <w:szCs w:val="32"/>
        </w:rPr>
      </w:pPr>
      <w:r>
        <w:rPr>
          <w:b/>
          <w:bCs/>
          <w:sz w:val="32"/>
          <w:szCs w:val="32"/>
        </w:rPr>
        <w:t>Poznámky ako súčasť účtovnej závierky k 31. decembru 2023</w:t>
      </w:r>
    </w:p>
    <w:p w:rsidR="00F21664" w:rsidRDefault="00F21664" w:rsidP="00F21664">
      <w:pPr>
        <w:pStyle w:val="Nadpis1"/>
        <w:numPr>
          <w:ilvl w:val="0"/>
          <w:numId w:val="0"/>
        </w:numPr>
        <w:tabs>
          <w:tab w:val="left" w:pos="708"/>
        </w:tabs>
        <w:rPr>
          <w:sz w:val="24"/>
          <w:szCs w:val="24"/>
        </w:rPr>
      </w:pPr>
      <w:bookmarkStart w:id="0" w:name="_Toc530739894"/>
    </w:p>
    <w:p w:rsidR="00F21664" w:rsidRDefault="00F21664" w:rsidP="00F21664">
      <w:pPr>
        <w:pStyle w:val="Nadpis1"/>
        <w:numPr>
          <w:ilvl w:val="0"/>
          <w:numId w:val="0"/>
        </w:numPr>
        <w:tabs>
          <w:tab w:val="left" w:pos="708"/>
        </w:tabs>
        <w:jc w:val="center"/>
        <w:rPr>
          <w:sz w:val="24"/>
          <w:szCs w:val="24"/>
        </w:rPr>
      </w:pPr>
      <w:r>
        <w:rPr>
          <w:sz w:val="24"/>
          <w:szCs w:val="24"/>
        </w:rPr>
        <w:t>Č</w:t>
      </w:r>
      <w:r>
        <w:rPr>
          <w:caps w:val="0"/>
          <w:sz w:val="24"/>
          <w:szCs w:val="24"/>
        </w:rPr>
        <w:t>l</w:t>
      </w:r>
      <w:r>
        <w:rPr>
          <w:sz w:val="24"/>
          <w:szCs w:val="24"/>
        </w:rPr>
        <w:t>. i</w:t>
      </w:r>
    </w:p>
    <w:p w:rsidR="00F21664" w:rsidRDefault="00F21664" w:rsidP="00F21664">
      <w:pPr>
        <w:pStyle w:val="Nadpis1"/>
        <w:numPr>
          <w:ilvl w:val="0"/>
          <w:numId w:val="0"/>
        </w:numPr>
        <w:tabs>
          <w:tab w:val="left" w:pos="708"/>
        </w:tabs>
        <w:jc w:val="center"/>
        <w:rPr>
          <w:sz w:val="24"/>
          <w:szCs w:val="24"/>
        </w:rPr>
      </w:pPr>
      <w:r>
        <w:rPr>
          <w:sz w:val="24"/>
          <w:szCs w:val="24"/>
        </w:rPr>
        <w:t>VŠeobecné Údaje</w:t>
      </w:r>
      <w:bookmarkEnd w:id="0"/>
    </w:p>
    <w:p w:rsidR="00F21664" w:rsidRDefault="00F21664" w:rsidP="00F21664"/>
    <w:p w:rsidR="00F21664" w:rsidRPr="000B2ED4" w:rsidRDefault="00F21664" w:rsidP="00512BBC">
      <w:r>
        <w:t>Názov:</w:t>
      </w:r>
      <w:r>
        <w:tab/>
      </w:r>
      <w:r>
        <w:tab/>
      </w:r>
      <w:r>
        <w:tab/>
      </w:r>
      <w:r>
        <w:tab/>
      </w:r>
      <w:r>
        <w:tab/>
      </w:r>
      <w:r>
        <w:tab/>
      </w:r>
      <w:r w:rsidR="00512BBC" w:rsidRPr="000B2ED4">
        <w:t>Urbárska a lesná spoločnosť – pozemkové                                            spoločenstvo Horné Šipice</w:t>
      </w:r>
    </w:p>
    <w:p w:rsidR="00F21664" w:rsidRDefault="00F21664" w:rsidP="00F21664">
      <w:pPr>
        <w:jc w:val="both"/>
      </w:pPr>
      <w:r>
        <w:t>Sídlo:</w:t>
      </w:r>
      <w:r>
        <w:tab/>
      </w:r>
      <w:r>
        <w:tab/>
      </w:r>
      <w:r>
        <w:tab/>
      </w:r>
      <w:r>
        <w:tab/>
      </w:r>
      <w:r>
        <w:tab/>
      </w:r>
      <w:r>
        <w:tab/>
      </w:r>
      <w:r w:rsidR="00512BBC">
        <w:t>Šipice 57, 962 68  Hontianske Tesáre</w:t>
      </w:r>
    </w:p>
    <w:p w:rsidR="00F21664" w:rsidRDefault="00F21664" w:rsidP="00F21664">
      <w:pPr>
        <w:jc w:val="both"/>
      </w:pPr>
      <w:r>
        <w:t xml:space="preserve">IČO: </w:t>
      </w:r>
      <w:r>
        <w:tab/>
      </w:r>
      <w:r>
        <w:tab/>
      </w:r>
      <w:r>
        <w:tab/>
      </w:r>
      <w:r>
        <w:tab/>
      </w:r>
      <w:r>
        <w:tab/>
      </w:r>
      <w:r>
        <w:tab/>
      </w:r>
      <w:r w:rsidR="00512BBC">
        <w:t>42303265</w:t>
      </w:r>
    </w:p>
    <w:p w:rsidR="00F21664" w:rsidRDefault="00F21664" w:rsidP="00F21664">
      <w:pPr>
        <w:jc w:val="both"/>
      </w:pPr>
      <w:r>
        <w:t>DIČ:</w:t>
      </w:r>
      <w:r>
        <w:tab/>
      </w:r>
      <w:r>
        <w:tab/>
      </w:r>
      <w:r>
        <w:tab/>
      </w:r>
      <w:r>
        <w:tab/>
      </w:r>
      <w:r>
        <w:tab/>
      </w:r>
      <w:r>
        <w:tab/>
      </w:r>
      <w:r w:rsidR="00512BBC">
        <w:t>2023625934</w:t>
      </w:r>
    </w:p>
    <w:p w:rsidR="00F21664" w:rsidRDefault="00F21664" w:rsidP="00F21664">
      <w:pPr>
        <w:jc w:val="both"/>
      </w:pPr>
      <w:r>
        <w:t>Právna forma :</w:t>
      </w:r>
      <w:r>
        <w:tab/>
      </w:r>
      <w:r>
        <w:tab/>
      </w:r>
      <w:r>
        <w:tab/>
      </w:r>
      <w:r>
        <w:tab/>
      </w:r>
      <w:r w:rsidR="00512BBC">
        <w:t>pozemkové spoločenstvo</w:t>
      </w:r>
    </w:p>
    <w:p w:rsidR="00F21664" w:rsidRDefault="00F21664" w:rsidP="00F21664">
      <w:pPr>
        <w:jc w:val="both"/>
      </w:pPr>
      <w:r>
        <w:t xml:space="preserve">Dôvod na zostavenie účtovnej závierky. </w:t>
      </w:r>
      <w:r>
        <w:tab/>
      </w:r>
      <w:r w:rsidR="000B2ED4">
        <w:t>R</w:t>
      </w:r>
      <w:r>
        <w:t>iadna</w:t>
      </w:r>
    </w:p>
    <w:p w:rsidR="000B2ED4" w:rsidRDefault="000B2ED4" w:rsidP="00F21664">
      <w:pPr>
        <w:jc w:val="both"/>
      </w:pPr>
    </w:p>
    <w:p w:rsidR="000B2ED4" w:rsidRDefault="000B2ED4" w:rsidP="00F21664">
      <w:pPr>
        <w:jc w:val="both"/>
      </w:pPr>
      <w:r>
        <w:t>Predseda spoločenstva Ing Ivan Igrici</w:t>
      </w:r>
    </w:p>
    <w:p w:rsidR="00F21664" w:rsidRDefault="00F21664" w:rsidP="00F21664">
      <w:pPr>
        <w:jc w:val="both"/>
      </w:pPr>
    </w:p>
    <w:p w:rsidR="00F21664" w:rsidRDefault="00F21664" w:rsidP="00F21664">
      <w:pPr>
        <w:pStyle w:val="Zkladntext"/>
        <w:ind w:left="0"/>
        <w:rPr>
          <w:sz w:val="24"/>
          <w:szCs w:val="24"/>
        </w:rPr>
      </w:pPr>
    </w:p>
    <w:p w:rsidR="00F21664" w:rsidRPr="000B2ED4" w:rsidRDefault="00512BBC" w:rsidP="00F21664">
      <w:pPr>
        <w:pStyle w:val="Zkladntext2"/>
        <w:rPr>
          <w:bCs/>
        </w:rPr>
      </w:pPr>
      <w:r w:rsidRPr="000B2ED4">
        <w:rPr>
          <w:bCs/>
        </w:rPr>
        <w:t>Pozemkové spoločenstvo bolo zapísané do Registra pozemkových spoločenstiev pod zn. R71/VK</w:t>
      </w:r>
    </w:p>
    <w:p w:rsidR="00512BBC" w:rsidRPr="000B2ED4" w:rsidRDefault="00512BBC" w:rsidP="00512BBC">
      <w:pPr>
        <w:shd w:val="clear" w:color="auto" w:fill="FFFFFF"/>
        <w:jc w:val="both"/>
        <w:rPr>
          <w:bCs/>
        </w:rPr>
      </w:pPr>
    </w:p>
    <w:p w:rsidR="00512BBC" w:rsidRPr="000B2ED4" w:rsidRDefault="00512BBC" w:rsidP="00512BBC">
      <w:pPr>
        <w:shd w:val="clear" w:color="auto" w:fill="FFFFFF"/>
        <w:jc w:val="both"/>
        <w:rPr>
          <w:bCs/>
        </w:rPr>
      </w:pPr>
      <w:r w:rsidRPr="000B2ED4">
        <w:rPr>
          <w:bCs/>
        </w:rPr>
        <w:t>Spoločenstvo sa zakladá zmluvou o pozemkovom spoločenstve uzavretou vlastníkmi spoločnej nehnuteľnosti alebo vlastníkmi spoločne obhospodarovaných nehnuteľností. O založení spoločenstva rozhodujú vlastníci spoločnej nehnuteľnosti nadpolovičnou väčšinou hlasov počítanou podľa veľkosti spoluvlastníckych podielov alebo nadpolovičnou väčšinou hlasov počítanou podľa veľkosti spoluvlastníckych podielov na jednotlivých pozemkoch, ktoré sa majú stať spoločne ob</w:t>
      </w:r>
      <w:r w:rsidRPr="000B2ED4">
        <w:rPr>
          <w:bCs/>
        </w:rPr>
        <w:t>hospodarovanou nehnuteľnosťou</w:t>
      </w:r>
      <w:r w:rsidRPr="000B2ED4">
        <w:rPr>
          <w:bCs/>
        </w:rPr>
        <w:t> o založení spoločenstva a voľbe členov orgánov spoločenstva sa vyhotoví notárska zápisnica, ktorej súčasťou je prezenčná listina vlastníkov nehnuteľností alebo ich zástupcov prítomných na hlasovaní. Vlastník podielu spoločnej nehnuteľnosti, ktorý nechce byť členom spoločenstva, môže pri zakladaní spoločenstva ponúknuť svoj podiel na prevod inému vlastníkovi podielu spoločnej nehnuteľnosti.</w:t>
      </w:r>
    </w:p>
    <w:p w:rsidR="00512BBC" w:rsidRPr="000B2ED4" w:rsidRDefault="00512BBC" w:rsidP="00512BBC">
      <w:pPr>
        <w:shd w:val="clear" w:color="auto" w:fill="FFFFFF"/>
        <w:jc w:val="both"/>
        <w:rPr>
          <w:bCs/>
        </w:rPr>
      </w:pPr>
    </w:p>
    <w:p w:rsidR="00512BBC" w:rsidRPr="000B2ED4" w:rsidRDefault="000B2ED4" w:rsidP="00512BBC">
      <w:pPr>
        <w:shd w:val="clear" w:color="auto" w:fill="FFFFFF"/>
        <w:jc w:val="both"/>
        <w:rPr>
          <w:bCs/>
        </w:rPr>
      </w:pPr>
      <w:r w:rsidRPr="000B2ED4">
        <w:rPr>
          <w:bCs/>
        </w:rPr>
        <w:t>Na práva a povinnosti vlastníkov spoločnej nehnuteľnosti a vlastníkov spoločne obhospodarovaných nehnuteľností sa vzťahujú ustanovenia </w:t>
      </w:r>
      <w:hyperlink r:id="rId5" w:tooltip="Odkaz na predpis alebo ustanovenie" w:history="1">
        <w:r w:rsidRPr="000B2ED4">
          <w:rPr>
            <w:bCs/>
          </w:rPr>
          <w:t>Občianskeho zákonníka</w:t>
        </w:r>
      </w:hyperlink>
      <w:r w:rsidRPr="000B2ED4">
        <w:rPr>
          <w:bCs/>
        </w:rPr>
        <w:t>, ak </w:t>
      </w:r>
      <w:hyperlink r:id="rId6" w:anchor="paragraf-8.odsek-1" w:tooltip="Odkaz na predpis alebo ustanovenie" w:history="1">
        <w:r w:rsidRPr="000B2ED4">
          <w:rPr>
            <w:bCs/>
          </w:rPr>
          <w:t>§ 8 ods. 1</w:t>
        </w:r>
      </w:hyperlink>
      <w:r w:rsidRPr="000B2ED4">
        <w:rPr>
          <w:bCs/>
        </w:rPr>
        <w:t>, </w:t>
      </w:r>
      <w:hyperlink r:id="rId7" w:anchor="paragraf-9.odsek-1" w:tooltip="Odkaz na predpis alebo ustanovenie" w:history="1">
        <w:r w:rsidRPr="000B2ED4">
          <w:rPr>
            <w:bCs/>
          </w:rPr>
          <w:t>§ 9 ods. 1 až 3</w:t>
        </w:r>
      </w:hyperlink>
      <w:r w:rsidRPr="000B2ED4">
        <w:rPr>
          <w:bCs/>
        </w:rPr>
        <w:t> a </w:t>
      </w:r>
      <w:hyperlink r:id="rId8" w:anchor="paragraf-9.odsek-7" w:tooltip="Odkaz na predpis alebo ustanovenie" w:history="1">
        <w:r w:rsidRPr="000B2ED4">
          <w:rPr>
            <w:bCs/>
          </w:rPr>
          <w:t>7 až 12</w:t>
        </w:r>
      </w:hyperlink>
      <w:r w:rsidRPr="000B2ED4">
        <w:rPr>
          <w:bCs/>
        </w:rPr>
        <w:t>, </w:t>
      </w:r>
      <w:hyperlink r:id="rId9" w:anchor="paragraf-10.odsek-4" w:tooltip="Odkaz na predpis alebo ustanovenie" w:history="1">
        <w:r w:rsidRPr="000B2ED4">
          <w:rPr>
            <w:bCs/>
          </w:rPr>
          <w:t>§ 10 ods. 4</w:t>
        </w:r>
      </w:hyperlink>
      <w:r w:rsidRPr="000B2ED4">
        <w:rPr>
          <w:bCs/>
        </w:rPr>
        <w:t> a </w:t>
      </w:r>
      <w:hyperlink r:id="rId10" w:anchor="paragraf-15.odsek-2" w:tooltip="Odkaz na predpis alebo ustanovenie" w:history="1">
        <w:r w:rsidRPr="000B2ED4">
          <w:rPr>
            <w:bCs/>
          </w:rPr>
          <w:t>§ 15 ods. 2 až 5</w:t>
        </w:r>
      </w:hyperlink>
      <w:r w:rsidRPr="000B2ED4">
        <w:rPr>
          <w:bCs/>
        </w:rPr>
        <w:t> neustanovujú inak.</w:t>
      </w:r>
    </w:p>
    <w:p w:rsidR="00F21664" w:rsidRPr="000B2ED4" w:rsidRDefault="00F21664" w:rsidP="00F21664">
      <w:pPr>
        <w:ind w:left="360"/>
        <w:rPr>
          <w:bCs/>
        </w:rPr>
      </w:pPr>
    </w:p>
    <w:p w:rsidR="00F21664" w:rsidRPr="000B2ED4" w:rsidRDefault="000B2ED4" w:rsidP="00F21664">
      <w:pPr>
        <w:rPr>
          <w:bCs/>
        </w:rPr>
      </w:pPr>
      <w:r w:rsidRPr="000B2ED4">
        <w:rPr>
          <w:bCs/>
        </w:rPr>
        <w:t>Spoločenstvo podľa tohto zákona je právnická osoba a vedie účtovníctvo v sústave podvojného účtovníctva</w:t>
      </w:r>
    </w:p>
    <w:p w:rsidR="00F21664" w:rsidRPr="000B2ED4" w:rsidRDefault="00F21664" w:rsidP="00F21664">
      <w:pPr>
        <w:pStyle w:val="Zkladntext"/>
        <w:ind w:left="0"/>
        <w:rPr>
          <w:bCs/>
          <w:sz w:val="24"/>
          <w:szCs w:val="24"/>
        </w:rPr>
      </w:pPr>
    </w:p>
    <w:p w:rsidR="00F21664" w:rsidRDefault="00F21664" w:rsidP="00F21664">
      <w:pPr>
        <w:pStyle w:val="Zkladntext"/>
        <w:ind w:left="0"/>
        <w:rPr>
          <w:sz w:val="24"/>
          <w:szCs w:val="24"/>
        </w:rPr>
      </w:pPr>
    </w:p>
    <w:p w:rsidR="00F21664" w:rsidRDefault="00F21664" w:rsidP="00F21664">
      <w:pPr>
        <w:pStyle w:val="Zkladntext"/>
        <w:ind w:left="0"/>
        <w:rPr>
          <w:sz w:val="24"/>
          <w:szCs w:val="24"/>
        </w:rPr>
      </w:pPr>
    </w:p>
    <w:p w:rsidR="00F21664" w:rsidRDefault="00F21664" w:rsidP="00F21664">
      <w:pPr>
        <w:pStyle w:val="Nadpis1"/>
        <w:numPr>
          <w:ilvl w:val="0"/>
          <w:numId w:val="0"/>
        </w:numPr>
        <w:tabs>
          <w:tab w:val="left" w:pos="708"/>
        </w:tabs>
        <w:jc w:val="center"/>
        <w:rPr>
          <w:sz w:val="24"/>
          <w:szCs w:val="24"/>
        </w:rPr>
      </w:pPr>
      <w:bookmarkStart w:id="1" w:name="_Toc530739899"/>
      <w:r>
        <w:rPr>
          <w:sz w:val="24"/>
          <w:szCs w:val="24"/>
        </w:rPr>
        <w:t>Č</w:t>
      </w:r>
      <w:r>
        <w:rPr>
          <w:caps w:val="0"/>
          <w:sz w:val="24"/>
          <w:szCs w:val="24"/>
        </w:rPr>
        <w:t>l</w:t>
      </w:r>
      <w:r>
        <w:rPr>
          <w:sz w:val="24"/>
          <w:szCs w:val="24"/>
        </w:rPr>
        <w:t>. II</w:t>
      </w:r>
    </w:p>
    <w:p w:rsidR="00F21664" w:rsidRDefault="00F21664" w:rsidP="00F21664">
      <w:pPr>
        <w:pStyle w:val="Nadpis1"/>
        <w:numPr>
          <w:ilvl w:val="0"/>
          <w:numId w:val="0"/>
        </w:numPr>
        <w:tabs>
          <w:tab w:val="left" w:pos="708"/>
        </w:tabs>
        <w:jc w:val="center"/>
        <w:rPr>
          <w:sz w:val="24"/>
          <w:szCs w:val="24"/>
        </w:rPr>
      </w:pPr>
    </w:p>
    <w:p w:rsidR="00F21664" w:rsidRPr="000B2ED4" w:rsidRDefault="00F21664" w:rsidP="00F21664">
      <w:pPr>
        <w:pStyle w:val="Nadpis1"/>
        <w:numPr>
          <w:ilvl w:val="0"/>
          <w:numId w:val="0"/>
        </w:numPr>
        <w:tabs>
          <w:tab w:val="left" w:pos="708"/>
        </w:tabs>
        <w:jc w:val="center"/>
        <w:rPr>
          <w:b w:val="0"/>
          <w:sz w:val="24"/>
          <w:szCs w:val="24"/>
        </w:rPr>
      </w:pPr>
      <w:r w:rsidRPr="000B2ED4">
        <w:rPr>
          <w:b w:val="0"/>
          <w:sz w:val="24"/>
          <w:szCs w:val="24"/>
        </w:rPr>
        <w:t>Informácie o účtovných zásadách a účtovných metódach</w:t>
      </w:r>
      <w:bookmarkEnd w:id="1"/>
    </w:p>
    <w:p w:rsidR="00F21664" w:rsidRPr="000B2ED4" w:rsidRDefault="00F21664" w:rsidP="00F21664">
      <w:pPr>
        <w:pStyle w:val="Zkladntext"/>
        <w:ind w:left="450"/>
        <w:rPr>
          <w:sz w:val="24"/>
          <w:szCs w:val="24"/>
        </w:rPr>
      </w:pPr>
    </w:p>
    <w:p w:rsidR="00F21664" w:rsidRPr="000B2ED4" w:rsidRDefault="00F21664" w:rsidP="00F21664">
      <w:pPr>
        <w:pStyle w:val="Zkladntext"/>
        <w:numPr>
          <w:ilvl w:val="0"/>
          <w:numId w:val="4"/>
        </w:numPr>
        <w:ind w:left="426" w:hanging="426"/>
        <w:rPr>
          <w:bCs/>
          <w:sz w:val="24"/>
          <w:szCs w:val="24"/>
        </w:rPr>
      </w:pPr>
      <w:r w:rsidRPr="000B2ED4">
        <w:rPr>
          <w:bCs/>
          <w:sz w:val="24"/>
          <w:szCs w:val="24"/>
        </w:rPr>
        <w:t xml:space="preserve">Účtovná závierka je zostavená za predpokladu nepretržitého pokračovania účtovnej jednotky. </w:t>
      </w:r>
    </w:p>
    <w:p w:rsidR="00F21664" w:rsidRPr="000B2ED4" w:rsidRDefault="00F21664" w:rsidP="00F21664">
      <w:pPr>
        <w:pStyle w:val="Zkladntext"/>
        <w:rPr>
          <w:bCs/>
          <w:sz w:val="24"/>
          <w:szCs w:val="24"/>
        </w:rPr>
      </w:pPr>
    </w:p>
    <w:p w:rsidR="00F21664" w:rsidRPr="000B2ED4" w:rsidRDefault="00F21664" w:rsidP="00F21664">
      <w:pPr>
        <w:pStyle w:val="Zkladntext"/>
        <w:ind w:left="0"/>
        <w:rPr>
          <w:bCs/>
          <w:sz w:val="24"/>
          <w:szCs w:val="24"/>
        </w:rPr>
      </w:pPr>
      <w:r w:rsidRPr="000B2ED4">
        <w:rPr>
          <w:bCs/>
          <w:sz w:val="24"/>
          <w:szCs w:val="24"/>
        </w:rPr>
        <w:lastRenderedPageBreak/>
        <w:t xml:space="preserve">(2) Spôsob ocenenia jednotlivých položiek </w:t>
      </w:r>
    </w:p>
    <w:p w:rsidR="00F21664" w:rsidRPr="000B2ED4" w:rsidRDefault="00F21664" w:rsidP="00F21664">
      <w:pPr>
        <w:pStyle w:val="Pismenka"/>
        <w:tabs>
          <w:tab w:val="num" w:pos="0"/>
        </w:tabs>
        <w:ind w:left="0" w:firstLine="0"/>
        <w:rPr>
          <w:b w:val="0"/>
          <w:sz w:val="24"/>
          <w:szCs w:val="24"/>
        </w:rPr>
      </w:pPr>
      <w:r w:rsidRPr="000B2ED4">
        <w:rPr>
          <w:b w:val="0"/>
          <w:sz w:val="24"/>
          <w:szCs w:val="24"/>
        </w:rPr>
        <w:t>a)    Dlhodobý nehmotný a dlhodobý hmotný majetok</w:t>
      </w:r>
    </w:p>
    <w:p w:rsidR="00F21664" w:rsidRDefault="00F21664" w:rsidP="00F21664">
      <w:pPr>
        <w:pStyle w:val="Zkladntext"/>
        <w:rPr>
          <w:sz w:val="24"/>
          <w:szCs w:val="24"/>
        </w:rPr>
      </w:pPr>
      <w:r>
        <w:rPr>
          <w:sz w:val="24"/>
          <w:szCs w:val="24"/>
        </w:rPr>
        <w:t>Dlhodobý majetok nakupovaný sa oceňuje obstarávacou cenou. Obstarávacia cena zahŕňa cenu, za ktorú sa majetok obstaral a náklady súvisiace s jeho obstaraním (preprava, montáž a pod.). Súčasťou obstarávacej ceny nie sú úroky z cudzích zdrojov ani realizované kurzové rozdiely, ktoré vznikli do momentu uvedenia dlhodobého majetku do užívania.</w:t>
      </w:r>
    </w:p>
    <w:p w:rsidR="00F21664" w:rsidRPr="000B2ED4" w:rsidRDefault="00F21664" w:rsidP="00F21664">
      <w:pPr>
        <w:pStyle w:val="Pismenka"/>
        <w:numPr>
          <w:ilvl w:val="0"/>
          <w:numId w:val="5"/>
        </w:numPr>
        <w:rPr>
          <w:b w:val="0"/>
          <w:sz w:val="24"/>
          <w:szCs w:val="24"/>
        </w:rPr>
      </w:pPr>
      <w:r w:rsidRPr="000B2ED4">
        <w:rPr>
          <w:b w:val="0"/>
          <w:sz w:val="24"/>
          <w:szCs w:val="24"/>
        </w:rPr>
        <w:t xml:space="preserve">Zásoby </w:t>
      </w:r>
    </w:p>
    <w:p w:rsidR="00F21664" w:rsidRPr="000B2ED4" w:rsidRDefault="00F21664" w:rsidP="00F21664">
      <w:pPr>
        <w:pStyle w:val="Pismenka"/>
        <w:tabs>
          <w:tab w:val="clear" w:pos="426"/>
          <w:tab w:val="left" w:pos="708"/>
        </w:tabs>
        <w:ind w:left="420" w:firstLine="0"/>
        <w:rPr>
          <w:b w:val="0"/>
          <w:bCs w:val="0"/>
          <w:sz w:val="24"/>
          <w:szCs w:val="24"/>
        </w:rPr>
      </w:pPr>
      <w:r w:rsidRPr="000B2ED4">
        <w:rPr>
          <w:b w:val="0"/>
          <w:bCs w:val="0"/>
          <w:sz w:val="24"/>
          <w:szCs w:val="24"/>
        </w:rPr>
        <w:t xml:space="preserve">Nakupované zásoby sa oceňujú obstarávacou cenou. Obstarávacia cena zahŕňa cenu zásob a náklady súvisiace s ich obstaraním (preprava a pod.). </w:t>
      </w:r>
    </w:p>
    <w:p w:rsidR="00F21664" w:rsidRPr="000B2ED4" w:rsidRDefault="00F21664" w:rsidP="00F21664">
      <w:pPr>
        <w:pStyle w:val="Zkladntext"/>
        <w:rPr>
          <w:sz w:val="24"/>
        </w:rPr>
      </w:pPr>
      <w:r w:rsidRPr="000B2ED4">
        <w:rPr>
          <w:sz w:val="24"/>
        </w:rPr>
        <w:t>Darované zásoby sa oceňujú reprodukčnou obstarávacou cenou (napr. určenou v darovacej zmluve). Uplatňuje sa  zásada opatrnosti – prechodné zníženie hodnoty zásob sa vyjadruje vytvorením opravnej položky.</w:t>
      </w:r>
    </w:p>
    <w:p w:rsidR="00F21664" w:rsidRPr="000B2ED4" w:rsidRDefault="00F21664" w:rsidP="00F21664">
      <w:pPr>
        <w:pStyle w:val="Pismenka"/>
        <w:rPr>
          <w:b w:val="0"/>
          <w:sz w:val="24"/>
          <w:szCs w:val="24"/>
        </w:rPr>
      </w:pPr>
      <w:r w:rsidRPr="000B2ED4">
        <w:rPr>
          <w:b w:val="0"/>
          <w:sz w:val="24"/>
          <w:szCs w:val="24"/>
        </w:rPr>
        <w:t>c)    Pohľadávky</w:t>
      </w:r>
    </w:p>
    <w:p w:rsidR="00F21664" w:rsidRPr="000B2ED4" w:rsidRDefault="00F21664" w:rsidP="00F21664">
      <w:pPr>
        <w:pStyle w:val="Zkladntext"/>
        <w:rPr>
          <w:sz w:val="24"/>
          <w:szCs w:val="24"/>
        </w:rPr>
      </w:pPr>
      <w:r w:rsidRPr="000B2ED4">
        <w:rPr>
          <w:sz w:val="24"/>
          <w:szCs w:val="24"/>
        </w:rPr>
        <w:t xml:space="preserve">Pohľadávky pri ich vzniku sa oceňujú ich menovitou hodnotou. </w:t>
      </w:r>
    </w:p>
    <w:p w:rsidR="00F21664" w:rsidRPr="000B2ED4" w:rsidRDefault="00F21664" w:rsidP="00F21664">
      <w:pPr>
        <w:pStyle w:val="Zkladntext"/>
        <w:rPr>
          <w:sz w:val="24"/>
          <w:szCs w:val="24"/>
        </w:rPr>
      </w:pPr>
      <w:r w:rsidRPr="000B2ED4">
        <w:rPr>
          <w:sz w:val="24"/>
          <w:szCs w:val="24"/>
        </w:rPr>
        <w:t>Uplatňuje sa zásada opatrnosti – prechodné zníženie hodnoty pohľadávok sa vyjadruje vytvorením opravnej položky.</w:t>
      </w:r>
    </w:p>
    <w:p w:rsidR="00F21664" w:rsidRPr="000B2ED4" w:rsidRDefault="00F21664" w:rsidP="00F21664">
      <w:pPr>
        <w:pStyle w:val="Pismenka"/>
        <w:rPr>
          <w:b w:val="0"/>
          <w:sz w:val="24"/>
          <w:szCs w:val="24"/>
        </w:rPr>
      </w:pPr>
      <w:r w:rsidRPr="000B2ED4">
        <w:rPr>
          <w:b w:val="0"/>
          <w:sz w:val="24"/>
          <w:szCs w:val="24"/>
        </w:rPr>
        <w:t>d)</w:t>
      </w:r>
      <w:r w:rsidRPr="000B2ED4">
        <w:rPr>
          <w:b w:val="0"/>
          <w:sz w:val="24"/>
          <w:szCs w:val="24"/>
        </w:rPr>
        <w:tab/>
        <w:t>Peňažné prostriedky a ceniny</w:t>
      </w:r>
    </w:p>
    <w:p w:rsidR="00F21664" w:rsidRPr="000B2ED4" w:rsidRDefault="00F21664" w:rsidP="00F21664">
      <w:pPr>
        <w:pStyle w:val="Zkladntext"/>
        <w:rPr>
          <w:sz w:val="24"/>
          <w:szCs w:val="24"/>
        </w:rPr>
      </w:pPr>
      <w:r w:rsidRPr="000B2ED4">
        <w:rPr>
          <w:sz w:val="24"/>
          <w:szCs w:val="24"/>
        </w:rPr>
        <w:t>Peňažné prostriedky a ceniny sa oceňujú ich menovitou hodnotou.</w:t>
      </w:r>
    </w:p>
    <w:p w:rsidR="00F21664" w:rsidRPr="000B2ED4" w:rsidRDefault="00F21664" w:rsidP="00F21664">
      <w:pPr>
        <w:pStyle w:val="Pismenka"/>
        <w:rPr>
          <w:b w:val="0"/>
          <w:sz w:val="24"/>
          <w:szCs w:val="24"/>
        </w:rPr>
      </w:pPr>
      <w:r w:rsidRPr="000B2ED4">
        <w:rPr>
          <w:b w:val="0"/>
          <w:sz w:val="24"/>
          <w:szCs w:val="24"/>
        </w:rPr>
        <w:t>e)</w:t>
      </w:r>
      <w:r w:rsidRPr="000B2ED4">
        <w:rPr>
          <w:b w:val="0"/>
          <w:sz w:val="24"/>
          <w:szCs w:val="24"/>
        </w:rPr>
        <w:tab/>
        <w:t>Náklady budúcich období a príjmy budúcich období</w:t>
      </w:r>
    </w:p>
    <w:p w:rsidR="00F21664" w:rsidRPr="000B2ED4" w:rsidRDefault="00F21664" w:rsidP="00F21664">
      <w:pPr>
        <w:pStyle w:val="Zkladntext"/>
        <w:rPr>
          <w:sz w:val="24"/>
          <w:szCs w:val="24"/>
        </w:rPr>
      </w:pPr>
      <w:r w:rsidRPr="000B2ED4">
        <w:rPr>
          <w:sz w:val="24"/>
          <w:szCs w:val="24"/>
        </w:rPr>
        <w:t>Pri účtovaní nákladov a výnosov sa uplatňuje zásada časového rozlišovania. Náklady budúcich období a príjmy budúcich období sa vykazujú vo výške, ktorá je potrebná na dodržanie zásady vecnej a časovej súvislosti s účtovným obdobím.</w:t>
      </w:r>
    </w:p>
    <w:p w:rsidR="00F21664" w:rsidRPr="000B2ED4" w:rsidRDefault="00F21664" w:rsidP="00F21664">
      <w:pPr>
        <w:pStyle w:val="Pismenka"/>
        <w:rPr>
          <w:b w:val="0"/>
          <w:sz w:val="24"/>
          <w:szCs w:val="24"/>
        </w:rPr>
      </w:pPr>
      <w:r w:rsidRPr="000B2ED4">
        <w:rPr>
          <w:b w:val="0"/>
          <w:sz w:val="24"/>
          <w:szCs w:val="24"/>
        </w:rPr>
        <w:t>f)</w:t>
      </w:r>
      <w:r w:rsidRPr="000B2ED4">
        <w:rPr>
          <w:b w:val="0"/>
          <w:sz w:val="24"/>
          <w:szCs w:val="24"/>
        </w:rPr>
        <w:tab/>
        <w:t>Rezervy</w:t>
      </w:r>
    </w:p>
    <w:p w:rsidR="00F21664" w:rsidRPr="000B2ED4" w:rsidRDefault="00F21664" w:rsidP="00F21664">
      <w:pPr>
        <w:pStyle w:val="Zkladntext"/>
        <w:rPr>
          <w:sz w:val="24"/>
          <w:szCs w:val="24"/>
        </w:rPr>
      </w:pPr>
      <w:r w:rsidRPr="000B2ED4">
        <w:rPr>
          <w:sz w:val="24"/>
          <w:szCs w:val="24"/>
        </w:rPr>
        <w:t xml:space="preserve">Rezervy sú záväzky s neurčitým časovým vymedzením alebo výškou; tvoria sa základe zásady opatrnosti na krytie známych rizík alebo strát. Oceňujú sa v očakávanej výške záväzku. </w:t>
      </w:r>
    </w:p>
    <w:p w:rsidR="00F21664" w:rsidRPr="000B2ED4" w:rsidRDefault="00F21664" w:rsidP="00F21664">
      <w:pPr>
        <w:pStyle w:val="Pismenka"/>
        <w:ind w:left="0" w:firstLine="0"/>
        <w:rPr>
          <w:b w:val="0"/>
          <w:sz w:val="24"/>
          <w:szCs w:val="24"/>
        </w:rPr>
      </w:pPr>
      <w:r w:rsidRPr="000B2ED4">
        <w:rPr>
          <w:b w:val="0"/>
          <w:sz w:val="24"/>
          <w:szCs w:val="24"/>
        </w:rPr>
        <w:t>g)</w:t>
      </w:r>
      <w:r w:rsidRPr="000B2ED4">
        <w:rPr>
          <w:b w:val="0"/>
          <w:sz w:val="24"/>
          <w:szCs w:val="24"/>
        </w:rPr>
        <w:tab/>
        <w:t>Záväzky</w:t>
      </w:r>
    </w:p>
    <w:p w:rsidR="00F21664" w:rsidRPr="000B2ED4" w:rsidRDefault="00F21664" w:rsidP="00F21664">
      <w:pPr>
        <w:pStyle w:val="Zkladntext"/>
        <w:rPr>
          <w:sz w:val="24"/>
          <w:szCs w:val="24"/>
        </w:rPr>
      </w:pPr>
      <w:r w:rsidRPr="000B2ED4">
        <w:rPr>
          <w:sz w:val="24"/>
          <w:szCs w:val="24"/>
        </w:rPr>
        <w:t xml:space="preserve">Záväzky pri ich vzniku sa oceňujú menovitou hodnotou. Ak sa pri inventarizácii zistí, že suma záväzkov je iná ako ich výška v účtovníctve, nevytvárajú sa opravné položky, ale ich zvýšenie alebo zníženie sa </w:t>
      </w:r>
      <w:proofErr w:type="spellStart"/>
      <w:r w:rsidRPr="000B2ED4">
        <w:rPr>
          <w:sz w:val="24"/>
          <w:szCs w:val="24"/>
        </w:rPr>
        <w:t>účtuju</w:t>
      </w:r>
      <w:proofErr w:type="spellEnd"/>
      <w:r w:rsidRPr="000B2ED4">
        <w:rPr>
          <w:sz w:val="24"/>
          <w:szCs w:val="24"/>
        </w:rPr>
        <w:t xml:space="preserve"> priamo na účte záväzkov so súvzťažným zápisom</w:t>
      </w:r>
      <w:r w:rsidR="000B2ED4">
        <w:rPr>
          <w:sz w:val="24"/>
          <w:szCs w:val="24"/>
        </w:rPr>
        <w:t xml:space="preserve"> </w:t>
      </w:r>
      <w:r w:rsidRPr="000B2ED4">
        <w:rPr>
          <w:sz w:val="24"/>
          <w:szCs w:val="24"/>
        </w:rPr>
        <w:t>na ťarchu príslušného účtu nákladov alebo v prospech príslušného účtu výnosov.</w:t>
      </w:r>
    </w:p>
    <w:p w:rsidR="00F21664" w:rsidRPr="000B2ED4" w:rsidRDefault="00F21664" w:rsidP="00F21664">
      <w:pPr>
        <w:pStyle w:val="Pismenka"/>
        <w:rPr>
          <w:b w:val="0"/>
          <w:sz w:val="24"/>
          <w:szCs w:val="24"/>
        </w:rPr>
      </w:pPr>
      <w:r w:rsidRPr="000B2ED4">
        <w:rPr>
          <w:b w:val="0"/>
          <w:sz w:val="24"/>
          <w:szCs w:val="24"/>
        </w:rPr>
        <w:t>h)</w:t>
      </w:r>
      <w:r w:rsidRPr="000B2ED4">
        <w:rPr>
          <w:b w:val="0"/>
          <w:sz w:val="24"/>
          <w:szCs w:val="24"/>
        </w:rPr>
        <w:tab/>
        <w:t>Výdavky budúcich období a výnosy budúcich období</w:t>
      </w:r>
    </w:p>
    <w:p w:rsidR="00F21664" w:rsidRPr="000B2ED4" w:rsidRDefault="00F21664" w:rsidP="00F21664">
      <w:pPr>
        <w:pStyle w:val="Zkladntext"/>
        <w:rPr>
          <w:sz w:val="24"/>
          <w:szCs w:val="24"/>
        </w:rPr>
      </w:pPr>
      <w:r w:rsidRPr="000B2ED4">
        <w:rPr>
          <w:sz w:val="24"/>
          <w:szCs w:val="24"/>
        </w:rPr>
        <w:t xml:space="preserve">Výdavky budúcich období a výnosy budúcich období sa vykazujú vo výške, ktorá je potrebná na dodržanie zásady vecnej a časovej súvislosti s účtovným obdobím. </w:t>
      </w:r>
    </w:p>
    <w:p w:rsidR="00F21664" w:rsidRPr="000B2ED4" w:rsidRDefault="00F21664" w:rsidP="00F21664">
      <w:pPr>
        <w:pStyle w:val="Pismenka"/>
        <w:rPr>
          <w:b w:val="0"/>
          <w:sz w:val="24"/>
          <w:szCs w:val="24"/>
        </w:rPr>
      </w:pPr>
      <w:r w:rsidRPr="000B2ED4">
        <w:rPr>
          <w:b w:val="0"/>
          <w:sz w:val="24"/>
          <w:szCs w:val="24"/>
        </w:rPr>
        <w:t>i)</w:t>
      </w:r>
      <w:r w:rsidRPr="000B2ED4">
        <w:rPr>
          <w:b w:val="0"/>
          <w:sz w:val="24"/>
          <w:szCs w:val="24"/>
        </w:rPr>
        <w:tab/>
        <w:t>Cudzia mena</w:t>
      </w:r>
    </w:p>
    <w:p w:rsidR="00F21664" w:rsidRPr="000B2ED4" w:rsidRDefault="00F21664" w:rsidP="00F21664">
      <w:pPr>
        <w:pStyle w:val="Zkladntext"/>
        <w:rPr>
          <w:sz w:val="24"/>
          <w:szCs w:val="24"/>
        </w:rPr>
      </w:pPr>
      <w:r w:rsidRPr="000B2ED4">
        <w:rPr>
          <w:sz w:val="24"/>
          <w:szCs w:val="24"/>
        </w:rPr>
        <w:t>Majetok a záväzky vyjadrené v cudzej mene sa prepočítavajú na menu euro kurzom určeným v kurzovom lístku ECB platným ku dňu uskutočnenia účtovného prípadu a ku dňu, ku ktorému sa zostavuje účtovná závierka. V účtovnej závierke sú vykázané s prepočtom podľa kurzu platného ku dňu, ku ktorému sa zostavuje. Kurzové straty sa  účtujú  do nákladov a kurzové zisky do výnosov.</w:t>
      </w:r>
    </w:p>
    <w:p w:rsidR="00F21664" w:rsidRPr="000B2ED4" w:rsidRDefault="00F21664" w:rsidP="00F21664">
      <w:pPr>
        <w:pStyle w:val="Zkladntext"/>
        <w:rPr>
          <w:sz w:val="24"/>
          <w:szCs w:val="24"/>
        </w:rPr>
      </w:pPr>
    </w:p>
    <w:p w:rsidR="00F21664" w:rsidRPr="000B2ED4" w:rsidRDefault="00F21664" w:rsidP="00F21664">
      <w:pPr>
        <w:pStyle w:val="Zkladntext"/>
        <w:numPr>
          <w:ilvl w:val="0"/>
          <w:numId w:val="6"/>
        </w:numPr>
        <w:ind w:left="360"/>
        <w:rPr>
          <w:sz w:val="24"/>
          <w:szCs w:val="24"/>
        </w:rPr>
      </w:pPr>
      <w:r w:rsidRPr="000B2ED4">
        <w:rPr>
          <w:sz w:val="24"/>
          <w:szCs w:val="24"/>
        </w:rPr>
        <w:t xml:space="preserve">Účtovná jednotka nie je platiteľom dane z pridanej hodnoty. </w:t>
      </w:r>
    </w:p>
    <w:p w:rsidR="00F21664" w:rsidRPr="000B2ED4" w:rsidRDefault="00F21664" w:rsidP="00F21664">
      <w:pPr>
        <w:pStyle w:val="Zkladntext"/>
        <w:ind w:left="360"/>
        <w:rPr>
          <w:sz w:val="24"/>
          <w:szCs w:val="24"/>
        </w:rPr>
      </w:pPr>
    </w:p>
    <w:p w:rsidR="00F21664" w:rsidRDefault="00F21664" w:rsidP="00F21664">
      <w:pPr>
        <w:pStyle w:val="Zkladntext"/>
        <w:ind w:left="0"/>
        <w:rPr>
          <w:sz w:val="24"/>
        </w:rPr>
      </w:pPr>
    </w:p>
    <w:p w:rsidR="00F21664" w:rsidRDefault="000B2ED4" w:rsidP="00F21664">
      <w:pPr>
        <w:pStyle w:val="Zkladntext"/>
        <w:ind w:left="0"/>
        <w:rPr>
          <w:sz w:val="24"/>
        </w:rPr>
      </w:pPr>
      <w:r>
        <w:rPr>
          <w:sz w:val="24"/>
        </w:rPr>
        <w:t>Šipice</w:t>
      </w:r>
      <w:r w:rsidR="00F21664">
        <w:rPr>
          <w:sz w:val="24"/>
        </w:rPr>
        <w:t>, dňa 2</w:t>
      </w:r>
      <w:r>
        <w:rPr>
          <w:sz w:val="24"/>
        </w:rPr>
        <w:t>6</w:t>
      </w:r>
      <w:r w:rsidR="00F21664">
        <w:rPr>
          <w:sz w:val="24"/>
        </w:rPr>
        <w:t>.0</w:t>
      </w:r>
      <w:r>
        <w:rPr>
          <w:sz w:val="24"/>
        </w:rPr>
        <w:t>6</w:t>
      </w:r>
      <w:r w:rsidR="00F21664">
        <w:rPr>
          <w:sz w:val="24"/>
        </w:rPr>
        <w:t>.2024</w:t>
      </w:r>
    </w:p>
    <w:p w:rsidR="000B2ED4" w:rsidRDefault="000B2ED4" w:rsidP="00F21664">
      <w:pPr>
        <w:pStyle w:val="Zkladntext"/>
        <w:ind w:left="0"/>
        <w:rPr>
          <w:sz w:val="24"/>
        </w:rPr>
      </w:pPr>
    </w:p>
    <w:p w:rsidR="00F21664" w:rsidRDefault="00F21664" w:rsidP="000B2ED4">
      <w:pPr>
        <w:pStyle w:val="Zkladntext"/>
        <w:ind w:left="0"/>
        <w:rPr>
          <w:sz w:val="24"/>
          <w:szCs w:val="24"/>
        </w:rPr>
      </w:pPr>
      <w:bookmarkStart w:id="2" w:name="_GoBack"/>
      <w:bookmarkEnd w:id="2"/>
    </w:p>
    <w:p w:rsidR="00F21664" w:rsidRDefault="00F21664" w:rsidP="00F21664">
      <w:pPr>
        <w:pStyle w:val="Zkladntext"/>
        <w:ind w:left="0"/>
        <w:rPr>
          <w:sz w:val="24"/>
          <w:szCs w:val="24"/>
        </w:rPr>
      </w:pPr>
      <w:r>
        <w:rPr>
          <w:sz w:val="24"/>
          <w:szCs w:val="24"/>
        </w:rPr>
        <w:tab/>
      </w:r>
      <w:r>
        <w:rPr>
          <w:sz w:val="24"/>
          <w:szCs w:val="24"/>
        </w:rPr>
        <w:tab/>
      </w:r>
      <w:r>
        <w:rPr>
          <w:sz w:val="24"/>
          <w:szCs w:val="24"/>
        </w:rPr>
        <w:tab/>
      </w:r>
      <w:r>
        <w:rPr>
          <w:sz w:val="24"/>
          <w:szCs w:val="24"/>
        </w:rPr>
        <w:tab/>
      </w:r>
      <w:r>
        <w:rPr>
          <w:sz w:val="24"/>
          <w:szCs w:val="24"/>
        </w:rPr>
        <w:tab/>
        <w:t xml:space="preserve">                      -------------------------------------------</w:t>
      </w:r>
    </w:p>
    <w:p w:rsidR="00F21664" w:rsidRDefault="00F21664" w:rsidP="00F21664">
      <w:pPr>
        <w:pStyle w:val="Zkladntext"/>
        <w:ind w:left="0"/>
        <w:rPr>
          <w:sz w:val="24"/>
        </w:rPr>
      </w:pPr>
      <w:r>
        <w:rPr>
          <w:sz w:val="24"/>
        </w:rPr>
        <w:tab/>
      </w:r>
      <w:r>
        <w:rPr>
          <w:sz w:val="24"/>
        </w:rPr>
        <w:tab/>
      </w:r>
      <w:r>
        <w:rPr>
          <w:sz w:val="24"/>
        </w:rPr>
        <w:tab/>
      </w:r>
      <w:r>
        <w:rPr>
          <w:sz w:val="24"/>
        </w:rPr>
        <w:tab/>
      </w:r>
      <w:r>
        <w:rPr>
          <w:sz w:val="24"/>
        </w:rPr>
        <w:tab/>
      </w:r>
      <w:r>
        <w:rPr>
          <w:sz w:val="24"/>
        </w:rPr>
        <w:tab/>
        <w:t xml:space="preserve">              podpis štatutárneho orgánu</w:t>
      </w:r>
    </w:p>
    <w:p w:rsidR="00F21664" w:rsidRDefault="00F21664" w:rsidP="00F21664"/>
    <w:p w:rsidR="00FB7424" w:rsidRDefault="00FB7424"/>
    <w:sectPr w:rsidR="00FB7424" w:rsidSect="00FB742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Book Antiqua">
    <w:panose1 w:val="02040602050305030304"/>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BC18FB"/>
    <w:multiLevelType w:val="singleLevel"/>
    <w:tmpl w:val="FDEAC59E"/>
    <w:lvl w:ilvl="0">
      <w:start w:val="1"/>
      <w:numFmt w:val="lowerLetter"/>
      <w:lvlText w:val="%1."/>
      <w:lvlJc w:val="left"/>
      <w:pPr>
        <w:tabs>
          <w:tab w:val="num" w:pos="360"/>
        </w:tabs>
        <w:ind w:left="360" w:hanging="360"/>
      </w:pPr>
    </w:lvl>
  </w:abstractNum>
  <w:abstractNum w:abstractNumId="1" w15:restartNumberingAfterBreak="0">
    <w:nsid w:val="20A10237"/>
    <w:multiLevelType w:val="multilevel"/>
    <w:tmpl w:val="2514FD1A"/>
    <w:lvl w:ilvl="0">
      <w:start w:val="2"/>
      <w:numFmt w:val="lowerLetter"/>
      <w:lvlText w:val="%1)"/>
      <w:lvlJc w:val="left"/>
      <w:pPr>
        <w:tabs>
          <w:tab w:val="num" w:pos="420"/>
        </w:tabs>
        <w:ind w:left="420" w:hanging="420"/>
      </w:pPr>
    </w:lvl>
    <w:lvl w:ilvl="1">
      <w:start w:val="1"/>
      <w:numFmt w:val="lowerLetter"/>
      <w:lvlText w:val="%2)"/>
      <w:lvlJc w:val="left"/>
      <w:pPr>
        <w:tabs>
          <w:tab w:val="num" w:pos="1440"/>
        </w:tabs>
        <w:ind w:left="1440" w:hanging="360"/>
      </w:pPr>
    </w:lvl>
    <w:lvl w:ilvl="2">
      <w:start w:val="1"/>
      <w:numFmt w:val="bullet"/>
      <w:lvlText w:val=""/>
      <w:lvlJc w:val="left"/>
      <w:pPr>
        <w:tabs>
          <w:tab w:val="num" w:pos="2340"/>
        </w:tabs>
        <w:ind w:left="2320" w:hanging="340"/>
      </w:pPr>
      <w:rPr>
        <w:rFonts w:ascii="Symbol" w:hAnsi="Symbol" w:cs="Symbol" w:hint="default"/>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36BE61C3"/>
    <w:multiLevelType w:val="singleLevel"/>
    <w:tmpl w:val="E6BC554C"/>
    <w:lvl w:ilvl="0">
      <w:start w:val="1"/>
      <w:numFmt w:val="decimal"/>
      <w:pStyle w:val="Nadpis2"/>
      <w:lvlText w:val="%1."/>
      <w:lvlJc w:val="left"/>
      <w:pPr>
        <w:tabs>
          <w:tab w:val="num" w:pos="360"/>
        </w:tabs>
        <w:ind w:left="360" w:hanging="360"/>
      </w:pPr>
    </w:lvl>
  </w:abstractNum>
  <w:abstractNum w:abstractNumId="3" w15:restartNumberingAfterBreak="0">
    <w:nsid w:val="5144752E"/>
    <w:multiLevelType w:val="hybridMultilevel"/>
    <w:tmpl w:val="8F6A6F94"/>
    <w:lvl w:ilvl="0" w:tplc="164A6ACC">
      <w:start w:val="10"/>
      <w:numFmt w:val="lowerLetter"/>
      <w:lvlText w:val="%1)"/>
      <w:lvlJc w:val="left"/>
      <w:pPr>
        <w:tabs>
          <w:tab w:val="num" w:pos="720"/>
        </w:tabs>
        <w:ind w:left="720" w:hanging="360"/>
      </w:pPr>
      <w:rPr>
        <w:b/>
      </w:rPr>
    </w:lvl>
    <w:lvl w:ilvl="1" w:tplc="04050019">
      <w:start w:val="1"/>
      <w:numFmt w:val="decimal"/>
      <w:lvlText w:val="%2."/>
      <w:lvlJc w:val="left"/>
      <w:pPr>
        <w:tabs>
          <w:tab w:val="num" w:pos="1440"/>
        </w:tabs>
        <w:ind w:left="1440" w:hanging="360"/>
      </w:pPr>
    </w:lvl>
    <w:lvl w:ilvl="2" w:tplc="0405001B">
      <w:start w:val="1"/>
      <w:numFmt w:val="decimal"/>
      <w:lvlText w:val="%3."/>
      <w:lvlJc w:val="left"/>
      <w:pPr>
        <w:tabs>
          <w:tab w:val="num" w:pos="2160"/>
        </w:tabs>
        <w:ind w:left="2160" w:hanging="360"/>
      </w:pPr>
    </w:lvl>
    <w:lvl w:ilvl="3" w:tplc="0405000F">
      <w:start w:val="1"/>
      <w:numFmt w:val="decimal"/>
      <w:lvlText w:val="%4."/>
      <w:lvlJc w:val="left"/>
      <w:pPr>
        <w:tabs>
          <w:tab w:val="num" w:pos="2880"/>
        </w:tabs>
        <w:ind w:left="2880" w:hanging="360"/>
      </w:pPr>
    </w:lvl>
    <w:lvl w:ilvl="4" w:tplc="04050019">
      <w:start w:val="1"/>
      <w:numFmt w:val="decimal"/>
      <w:lvlText w:val="%5."/>
      <w:lvlJc w:val="left"/>
      <w:pPr>
        <w:tabs>
          <w:tab w:val="num" w:pos="3600"/>
        </w:tabs>
        <w:ind w:left="3600" w:hanging="360"/>
      </w:pPr>
    </w:lvl>
    <w:lvl w:ilvl="5" w:tplc="0405001B">
      <w:start w:val="1"/>
      <w:numFmt w:val="decimal"/>
      <w:lvlText w:val="%6."/>
      <w:lvlJc w:val="left"/>
      <w:pPr>
        <w:tabs>
          <w:tab w:val="num" w:pos="4320"/>
        </w:tabs>
        <w:ind w:left="4320" w:hanging="360"/>
      </w:pPr>
    </w:lvl>
    <w:lvl w:ilvl="6" w:tplc="0405000F">
      <w:start w:val="1"/>
      <w:numFmt w:val="decimal"/>
      <w:lvlText w:val="%7."/>
      <w:lvlJc w:val="left"/>
      <w:pPr>
        <w:tabs>
          <w:tab w:val="num" w:pos="5040"/>
        </w:tabs>
        <w:ind w:left="5040" w:hanging="360"/>
      </w:pPr>
    </w:lvl>
    <w:lvl w:ilvl="7" w:tplc="04050019">
      <w:start w:val="1"/>
      <w:numFmt w:val="decimal"/>
      <w:lvlText w:val="%8."/>
      <w:lvlJc w:val="left"/>
      <w:pPr>
        <w:tabs>
          <w:tab w:val="num" w:pos="5760"/>
        </w:tabs>
        <w:ind w:left="5760" w:hanging="360"/>
      </w:pPr>
    </w:lvl>
    <w:lvl w:ilvl="8" w:tplc="0405001B">
      <w:start w:val="1"/>
      <w:numFmt w:val="decimal"/>
      <w:lvlText w:val="%9."/>
      <w:lvlJc w:val="left"/>
      <w:pPr>
        <w:tabs>
          <w:tab w:val="num" w:pos="6480"/>
        </w:tabs>
        <w:ind w:left="6480" w:hanging="360"/>
      </w:pPr>
    </w:lvl>
  </w:abstractNum>
  <w:abstractNum w:abstractNumId="4" w15:restartNumberingAfterBreak="0">
    <w:nsid w:val="5B4772F6"/>
    <w:multiLevelType w:val="hybridMultilevel"/>
    <w:tmpl w:val="E2067EF6"/>
    <w:lvl w:ilvl="0" w:tplc="FFFFFFFF">
      <w:start w:val="1"/>
      <w:numFmt w:val="lowerLetter"/>
      <w:lvlText w:val="%1)"/>
      <w:lvlJc w:val="left"/>
      <w:pPr>
        <w:tabs>
          <w:tab w:val="num" w:pos="720"/>
        </w:tabs>
        <w:ind w:left="720" w:hanging="360"/>
      </w:p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5" w15:restartNumberingAfterBreak="0">
    <w:nsid w:val="6D565911"/>
    <w:multiLevelType w:val="hybridMultilevel"/>
    <w:tmpl w:val="5DAC0668"/>
    <w:lvl w:ilvl="0" w:tplc="FFFFFFFF">
      <w:start w:val="1"/>
      <w:numFmt w:val="decimal"/>
      <w:lvlText w:val="(%1)"/>
      <w:lvlJc w:val="left"/>
      <w:pPr>
        <w:tabs>
          <w:tab w:val="num" w:pos="405"/>
        </w:tabs>
        <w:ind w:left="405" w:hanging="405"/>
      </w:pPr>
    </w:lvl>
    <w:lvl w:ilvl="1" w:tplc="FFFFFFFF">
      <w:start w:val="1"/>
      <w:numFmt w:val="lowerLetter"/>
      <w:lvlText w:val="%2)"/>
      <w:lvlJc w:val="left"/>
      <w:pPr>
        <w:tabs>
          <w:tab w:val="num" w:pos="1440"/>
        </w:tabs>
        <w:ind w:left="1440" w:hanging="360"/>
      </w:pPr>
    </w:lvl>
    <w:lvl w:ilvl="2" w:tplc="FFFFFFFF">
      <w:start w:val="1"/>
      <w:numFmt w:val="bullet"/>
      <w:lvlText w:val=""/>
      <w:lvlJc w:val="left"/>
      <w:pPr>
        <w:tabs>
          <w:tab w:val="num" w:pos="2340"/>
        </w:tabs>
        <w:ind w:left="2320" w:hanging="340"/>
      </w:pPr>
      <w:rPr>
        <w:rFonts w:ascii="Symbol" w:hAnsi="Symbol" w:cs="Symbol" w:hint="default"/>
      </w:r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6" w15:restartNumberingAfterBreak="0">
    <w:nsid w:val="73473C13"/>
    <w:multiLevelType w:val="singleLevel"/>
    <w:tmpl w:val="2A50B936"/>
    <w:lvl w:ilvl="0">
      <w:start w:val="1"/>
      <w:numFmt w:val="upperLetter"/>
      <w:pStyle w:val="Nadpis1"/>
      <w:lvlText w:val="%1."/>
      <w:lvlJc w:val="left"/>
      <w:pPr>
        <w:tabs>
          <w:tab w:val="num" w:pos="360"/>
        </w:tabs>
        <w:ind w:left="360" w:hanging="360"/>
      </w:pPr>
    </w:lvl>
  </w:abstractNum>
  <w:num w:numId="1">
    <w:abstractNumId w:val="6"/>
    <w:lvlOverride w:ilvl="0">
      <w:startOverride w:val="1"/>
    </w:lvlOverride>
  </w:num>
  <w:num w:numId="2">
    <w:abstractNumId w:val="2"/>
    <w:lvlOverride w:ilvl="0">
      <w:startOverride w:val="1"/>
    </w:lvlOverride>
  </w:num>
  <w:num w:numId="3">
    <w:abstractNumId w:val="0"/>
    <w:lvlOverride w:ilvl="0">
      <w:startOverride w:val="1"/>
    </w:lvlOverride>
  </w:num>
  <w:num w:numId="4">
    <w:abstractNumId w:val="5"/>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lvlOverride w:ilvl="0">
      <w:startOverride w:val="2"/>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
    <w:lvlOverride w:ilvl="0">
      <w:startOverride w:val="1"/>
    </w:lvlOverride>
  </w:num>
  <w:num w:numId="8">
    <w:abstractNumId w:val="2"/>
    <w:lvlOverride w:ilvl="0">
      <w:startOverride w:val="1"/>
    </w:lvlOverride>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2"/>
  </w:compat>
  <w:rsids>
    <w:rsidRoot w:val="00F21664"/>
    <w:rsid w:val="000B2ED4"/>
    <w:rsid w:val="00512BBC"/>
    <w:rsid w:val="006061FB"/>
    <w:rsid w:val="00F21664"/>
    <w:rsid w:val="00FB742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1AEDB7"/>
  <w15:docId w15:val="{181F949B-EAAD-425B-8C1C-83B9F12D21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F21664"/>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qFormat/>
    <w:rsid w:val="00F21664"/>
    <w:pPr>
      <w:keepNext/>
      <w:numPr>
        <w:numId w:val="1"/>
      </w:numPr>
      <w:spacing w:before="120" w:after="60"/>
      <w:outlineLvl w:val="0"/>
    </w:pPr>
    <w:rPr>
      <w:b/>
      <w:bCs/>
      <w:caps/>
      <w:sz w:val="18"/>
      <w:szCs w:val="18"/>
    </w:rPr>
  </w:style>
  <w:style w:type="paragraph" w:styleId="Nadpis2">
    <w:name w:val="heading 2"/>
    <w:basedOn w:val="Normlny"/>
    <w:next w:val="Normlny"/>
    <w:link w:val="Nadpis2Char"/>
    <w:unhideWhenUsed/>
    <w:qFormat/>
    <w:rsid w:val="00F21664"/>
    <w:pPr>
      <w:keepNext/>
      <w:numPr>
        <w:numId w:val="2"/>
      </w:numPr>
      <w:outlineLvl w:val="1"/>
    </w:pPr>
    <w:rPr>
      <w:b/>
      <w:bCs/>
      <w:sz w:val="18"/>
      <w:szCs w:val="18"/>
    </w:rPr>
  </w:style>
  <w:style w:type="paragraph" w:styleId="Nadpis3">
    <w:name w:val="heading 3"/>
    <w:basedOn w:val="Normlny"/>
    <w:next w:val="Normlny"/>
    <w:link w:val="Nadpis3Char"/>
    <w:unhideWhenUsed/>
    <w:qFormat/>
    <w:rsid w:val="00F21664"/>
    <w:pPr>
      <w:keepNext/>
      <w:jc w:val="both"/>
      <w:outlineLvl w:val="2"/>
    </w:pPr>
    <w:rPr>
      <w:rFonts w:ascii="Book Antiqua" w:hAnsi="Book Antiqua"/>
      <w:b/>
      <w:szCs w:val="20"/>
      <w:lang w:eastAsia="cs-CZ"/>
    </w:rPr>
  </w:style>
  <w:style w:type="paragraph" w:styleId="Nadpis4">
    <w:name w:val="heading 4"/>
    <w:basedOn w:val="Normlny"/>
    <w:next w:val="Normlny"/>
    <w:link w:val="Nadpis4Char"/>
    <w:semiHidden/>
    <w:unhideWhenUsed/>
    <w:qFormat/>
    <w:rsid w:val="00F21664"/>
    <w:pPr>
      <w:keepNext/>
      <w:shd w:val="clear" w:color="auto" w:fill="FFFFFF"/>
      <w:ind w:left="1661"/>
      <w:jc w:val="center"/>
      <w:outlineLvl w:val="3"/>
    </w:pPr>
    <w:rPr>
      <w:b/>
      <w:bCs/>
      <w:color w:val="000000"/>
      <w:spacing w:val="-2"/>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F21664"/>
    <w:rPr>
      <w:rFonts w:ascii="Times New Roman" w:eastAsia="Times New Roman" w:hAnsi="Times New Roman" w:cs="Times New Roman"/>
      <w:b/>
      <w:bCs/>
      <w:caps/>
      <w:sz w:val="18"/>
      <w:szCs w:val="18"/>
      <w:lang w:eastAsia="sk-SK"/>
    </w:rPr>
  </w:style>
  <w:style w:type="character" w:customStyle="1" w:styleId="Nadpis2Char">
    <w:name w:val="Nadpis 2 Char"/>
    <w:basedOn w:val="Predvolenpsmoodseku"/>
    <w:link w:val="Nadpis2"/>
    <w:rsid w:val="00F21664"/>
    <w:rPr>
      <w:rFonts w:ascii="Times New Roman" w:eastAsia="Times New Roman" w:hAnsi="Times New Roman" w:cs="Times New Roman"/>
      <w:b/>
      <w:bCs/>
      <w:sz w:val="18"/>
      <w:szCs w:val="18"/>
      <w:lang w:eastAsia="sk-SK"/>
    </w:rPr>
  </w:style>
  <w:style w:type="character" w:customStyle="1" w:styleId="Nadpis3Char">
    <w:name w:val="Nadpis 3 Char"/>
    <w:basedOn w:val="Predvolenpsmoodseku"/>
    <w:link w:val="Nadpis3"/>
    <w:rsid w:val="00F21664"/>
    <w:rPr>
      <w:rFonts w:ascii="Book Antiqua" w:eastAsia="Times New Roman" w:hAnsi="Book Antiqua" w:cs="Times New Roman"/>
      <w:b/>
      <w:sz w:val="24"/>
      <w:szCs w:val="20"/>
      <w:lang w:eastAsia="cs-CZ"/>
    </w:rPr>
  </w:style>
  <w:style w:type="character" w:customStyle="1" w:styleId="Nadpis4Char">
    <w:name w:val="Nadpis 4 Char"/>
    <w:basedOn w:val="Predvolenpsmoodseku"/>
    <w:link w:val="Nadpis4"/>
    <w:semiHidden/>
    <w:rsid w:val="00F21664"/>
    <w:rPr>
      <w:rFonts w:ascii="Times New Roman" w:eastAsia="Times New Roman" w:hAnsi="Times New Roman" w:cs="Times New Roman"/>
      <w:b/>
      <w:bCs/>
      <w:color w:val="000000"/>
      <w:spacing w:val="-2"/>
      <w:sz w:val="24"/>
      <w:szCs w:val="28"/>
      <w:shd w:val="clear" w:color="auto" w:fill="FFFFFF"/>
      <w:lang w:eastAsia="sk-SK"/>
    </w:rPr>
  </w:style>
  <w:style w:type="paragraph" w:styleId="Hlavika">
    <w:name w:val="header"/>
    <w:basedOn w:val="Normlny"/>
    <w:link w:val="HlavikaChar"/>
    <w:semiHidden/>
    <w:unhideWhenUsed/>
    <w:rsid w:val="00F21664"/>
    <w:pPr>
      <w:tabs>
        <w:tab w:val="center" w:pos="4153"/>
        <w:tab w:val="right" w:pos="8306"/>
      </w:tabs>
    </w:pPr>
    <w:rPr>
      <w:sz w:val="20"/>
      <w:szCs w:val="20"/>
    </w:rPr>
  </w:style>
  <w:style w:type="character" w:customStyle="1" w:styleId="HlavikaChar">
    <w:name w:val="Hlavička Char"/>
    <w:basedOn w:val="Predvolenpsmoodseku"/>
    <w:link w:val="Hlavika"/>
    <w:semiHidden/>
    <w:rsid w:val="00F21664"/>
    <w:rPr>
      <w:rFonts w:ascii="Times New Roman" w:eastAsia="Times New Roman" w:hAnsi="Times New Roman" w:cs="Times New Roman"/>
      <w:sz w:val="20"/>
      <w:szCs w:val="20"/>
      <w:lang w:eastAsia="sk-SK"/>
    </w:rPr>
  </w:style>
  <w:style w:type="paragraph" w:styleId="Pta">
    <w:name w:val="footer"/>
    <w:basedOn w:val="Normlny"/>
    <w:link w:val="PtaChar"/>
    <w:semiHidden/>
    <w:unhideWhenUsed/>
    <w:rsid w:val="00F21664"/>
    <w:pPr>
      <w:tabs>
        <w:tab w:val="center" w:pos="4536"/>
        <w:tab w:val="right" w:pos="9072"/>
      </w:tabs>
    </w:pPr>
  </w:style>
  <w:style w:type="character" w:customStyle="1" w:styleId="PtaChar">
    <w:name w:val="Päta Char"/>
    <w:basedOn w:val="Predvolenpsmoodseku"/>
    <w:link w:val="Pta"/>
    <w:semiHidden/>
    <w:rsid w:val="00F21664"/>
    <w:rPr>
      <w:rFonts w:ascii="Times New Roman" w:eastAsia="Times New Roman" w:hAnsi="Times New Roman" w:cs="Times New Roman"/>
      <w:sz w:val="24"/>
      <w:szCs w:val="24"/>
      <w:lang w:eastAsia="sk-SK"/>
    </w:rPr>
  </w:style>
  <w:style w:type="paragraph" w:styleId="Zkladntext">
    <w:name w:val="Body Text"/>
    <w:basedOn w:val="Normlny"/>
    <w:link w:val="ZkladntextChar"/>
    <w:unhideWhenUsed/>
    <w:rsid w:val="00F21664"/>
    <w:pPr>
      <w:ind w:left="426"/>
      <w:jc w:val="both"/>
    </w:pPr>
    <w:rPr>
      <w:sz w:val="18"/>
      <w:szCs w:val="18"/>
    </w:rPr>
  </w:style>
  <w:style w:type="character" w:customStyle="1" w:styleId="ZkladntextChar">
    <w:name w:val="Základný text Char"/>
    <w:basedOn w:val="Predvolenpsmoodseku"/>
    <w:link w:val="Zkladntext"/>
    <w:rsid w:val="00F21664"/>
    <w:rPr>
      <w:rFonts w:ascii="Times New Roman" w:eastAsia="Times New Roman" w:hAnsi="Times New Roman" w:cs="Times New Roman"/>
      <w:sz w:val="18"/>
      <w:szCs w:val="18"/>
      <w:lang w:eastAsia="sk-SK"/>
    </w:rPr>
  </w:style>
  <w:style w:type="paragraph" w:styleId="Zkladntext2">
    <w:name w:val="Body Text 2"/>
    <w:basedOn w:val="Normlny"/>
    <w:link w:val="Zkladntext2Char"/>
    <w:semiHidden/>
    <w:unhideWhenUsed/>
    <w:rsid w:val="00F21664"/>
    <w:pPr>
      <w:jc w:val="both"/>
    </w:pPr>
  </w:style>
  <w:style w:type="character" w:customStyle="1" w:styleId="Zkladntext2Char">
    <w:name w:val="Základný text 2 Char"/>
    <w:basedOn w:val="Predvolenpsmoodseku"/>
    <w:link w:val="Zkladntext2"/>
    <w:semiHidden/>
    <w:rsid w:val="00F21664"/>
    <w:rPr>
      <w:rFonts w:ascii="Times New Roman" w:eastAsia="Times New Roman" w:hAnsi="Times New Roman" w:cs="Times New Roman"/>
      <w:sz w:val="24"/>
      <w:szCs w:val="24"/>
      <w:lang w:eastAsia="sk-SK"/>
    </w:rPr>
  </w:style>
  <w:style w:type="paragraph" w:styleId="Odsekzoznamu">
    <w:name w:val="List Paragraph"/>
    <w:basedOn w:val="Normlny"/>
    <w:uiPriority w:val="34"/>
    <w:qFormat/>
    <w:rsid w:val="00F21664"/>
    <w:pPr>
      <w:ind w:left="720"/>
      <w:contextualSpacing/>
    </w:pPr>
  </w:style>
  <w:style w:type="paragraph" w:customStyle="1" w:styleId="Pismenka">
    <w:name w:val="Pismenka"/>
    <w:basedOn w:val="Zkladntext"/>
    <w:rsid w:val="00F21664"/>
    <w:pPr>
      <w:tabs>
        <w:tab w:val="num" w:pos="426"/>
      </w:tabs>
      <w:ind w:hanging="426"/>
    </w:pPr>
    <w:rPr>
      <w:b/>
      <w:bCs/>
    </w:rPr>
  </w:style>
  <w:style w:type="character" w:customStyle="1" w:styleId="ra">
    <w:name w:val="ra"/>
    <w:rsid w:val="00F21664"/>
  </w:style>
  <w:style w:type="character" w:styleId="Hypertextovprepojenie">
    <w:name w:val="Hyperlink"/>
    <w:basedOn w:val="Predvolenpsmoodseku"/>
    <w:uiPriority w:val="99"/>
    <w:semiHidden/>
    <w:unhideWhenUsed/>
    <w:rsid w:val="00512BBC"/>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3577837">
      <w:bodyDiv w:val="1"/>
      <w:marLeft w:val="0"/>
      <w:marRight w:val="0"/>
      <w:marTop w:val="0"/>
      <w:marBottom w:val="0"/>
      <w:divBdr>
        <w:top w:val="none" w:sz="0" w:space="0" w:color="auto"/>
        <w:left w:val="none" w:sz="0" w:space="0" w:color="auto"/>
        <w:bottom w:val="none" w:sz="0" w:space="0" w:color="auto"/>
        <w:right w:val="none" w:sz="0" w:space="0" w:color="auto"/>
      </w:divBdr>
      <w:divsChild>
        <w:div w:id="1407923699">
          <w:marLeft w:val="255"/>
          <w:marRight w:val="0"/>
          <w:marTop w:val="75"/>
          <w:marBottom w:val="0"/>
          <w:divBdr>
            <w:top w:val="none" w:sz="0" w:space="0" w:color="auto"/>
            <w:left w:val="none" w:sz="0" w:space="0" w:color="auto"/>
            <w:bottom w:val="none" w:sz="0" w:space="0" w:color="auto"/>
            <w:right w:val="none" w:sz="0" w:space="0" w:color="auto"/>
          </w:divBdr>
          <w:divsChild>
            <w:div w:id="784809163">
              <w:marLeft w:val="255"/>
              <w:marRight w:val="0"/>
              <w:marTop w:val="75"/>
              <w:marBottom w:val="0"/>
              <w:divBdr>
                <w:top w:val="none" w:sz="0" w:space="0" w:color="auto"/>
                <w:left w:val="none" w:sz="0" w:space="0" w:color="auto"/>
                <w:bottom w:val="none" w:sz="0" w:space="0" w:color="auto"/>
                <w:right w:val="none" w:sz="0" w:space="0" w:color="auto"/>
              </w:divBdr>
            </w:div>
          </w:divsChild>
        </w:div>
        <w:div w:id="1531411171">
          <w:marLeft w:val="255"/>
          <w:marRight w:val="0"/>
          <w:marTop w:val="75"/>
          <w:marBottom w:val="0"/>
          <w:divBdr>
            <w:top w:val="none" w:sz="0" w:space="0" w:color="auto"/>
            <w:left w:val="none" w:sz="0" w:space="0" w:color="auto"/>
            <w:bottom w:val="none" w:sz="0" w:space="0" w:color="auto"/>
            <w:right w:val="none" w:sz="0" w:space="0" w:color="auto"/>
          </w:divBdr>
          <w:divsChild>
            <w:div w:id="876815945">
              <w:marLeft w:val="0"/>
              <w:marRight w:val="75"/>
              <w:marTop w:val="0"/>
              <w:marBottom w:val="0"/>
              <w:divBdr>
                <w:top w:val="none" w:sz="0" w:space="0" w:color="auto"/>
                <w:left w:val="none" w:sz="0" w:space="0" w:color="auto"/>
                <w:bottom w:val="none" w:sz="0" w:space="0" w:color="auto"/>
                <w:right w:val="none" w:sz="0" w:space="0" w:color="auto"/>
              </w:divBdr>
            </w:div>
            <w:div w:id="1368334984">
              <w:marLeft w:val="255"/>
              <w:marRight w:val="0"/>
              <w:marTop w:val="75"/>
              <w:marBottom w:val="0"/>
              <w:divBdr>
                <w:top w:val="none" w:sz="0" w:space="0" w:color="auto"/>
                <w:left w:val="none" w:sz="0" w:space="0" w:color="auto"/>
                <w:bottom w:val="none" w:sz="0" w:space="0" w:color="auto"/>
                <w:right w:val="none" w:sz="0" w:space="0" w:color="auto"/>
              </w:divBdr>
            </w:div>
          </w:divsChild>
        </w:div>
      </w:divsChild>
    </w:div>
    <w:div w:id="12139550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slov-lex.sk/pravne-predpisy/SK/ZZ/2013/97/" TargetMode="External"/><Relationship Id="rId3" Type="http://schemas.openxmlformats.org/officeDocument/2006/relationships/settings" Target="settings.xml"/><Relationship Id="rId7" Type="http://schemas.openxmlformats.org/officeDocument/2006/relationships/hyperlink" Target="https://www.slov-lex.sk/pravne-predpisy/SK/ZZ/2013/97/"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slov-lex.sk/pravne-predpisy/SK/ZZ/2013/97/" TargetMode="External"/><Relationship Id="rId11" Type="http://schemas.openxmlformats.org/officeDocument/2006/relationships/fontTable" Target="fontTable.xml"/><Relationship Id="rId5" Type="http://schemas.openxmlformats.org/officeDocument/2006/relationships/hyperlink" Target="https://www.slov-lex.sk/pravne-predpisy/SK/ZZ/1964/40/" TargetMode="External"/><Relationship Id="rId10" Type="http://schemas.openxmlformats.org/officeDocument/2006/relationships/hyperlink" Target="https://www.slov-lex.sk/pravne-predpisy/SK/ZZ/2013/97/" TargetMode="External"/><Relationship Id="rId4" Type="http://schemas.openxmlformats.org/officeDocument/2006/relationships/webSettings" Target="webSettings.xml"/><Relationship Id="rId9" Type="http://schemas.openxmlformats.org/officeDocument/2006/relationships/hyperlink" Target="https://www.slov-lex.sk/pravne-predpisy/SK/ZZ/2013/97/"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805</Words>
  <Characters>4594</Characters>
  <Application>Microsoft Office Word</Application>
  <DocSecurity>0</DocSecurity>
  <Lines>38</Lines>
  <Paragraphs>10</Paragraphs>
  <ScaleCrop>false</ScaleCrop>
  <HeadingPairs>
    <vt:vector size="2" baseType="variant">
      <vt:variant>
        <vt:lpstr>Názov</vt:lpstr>
      </vt:variant>
      <vt:variant>
        <vt:i4>1</vt:i4>
      </vt:variant>
    </vt:vector>
  </HeadingPairs>
  <TitlesOfParts>
    <vt:vector size="1" baseType="lpstr">
      <vt:lpstr/>
    </vt:vector>
  </TitlesOfParts>
  <Company>ATC</Company>
  <LinksUpToDate>false</LinksUpToDate>
  <CharactersWithSpaces>5389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WIN7</dc:creator>
  <cp:lastModifiedBy>Lenicka Sona</cp:lastModifiedBy>
  <cp:revision>2</cp:revision>
  <dcterms:created xsi:type="dcterms:W3CDTF">2024-06-26T09:25:00Z</dcterms:created>
  <dcterms:modified xsi:type="dcterms:W3CDTF">2024-06-26T09:25:00Z</dcterms:modified>
</cp:coreProperties>
</file>