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DERKOL,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36500950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v súlade so zákonom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nem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jednotky.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