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DERKOL,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36500950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v súlade so zákonom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nem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