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3EA" w:rsidRDefault="001E76ED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>
        <w:rPr>
          <w:i/>
          <w:szCs w:val="22"/>
        </w:rPr>
        <w:t xml:space="preserve">Čl.I - Všeobecné informácie </w:t>
      </w:r>
    </w:p>
    <w:p w:rsidR="00FD23EA" w:rsidRDefault="00FD23EA">
      <w:pPr>
        <w:pStyle w:val="Odsekzoznamu1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Look w:val="00A0"/>
      </w:tblPr>
      <w:tblGrid>
        <w:gridCol w:w="1988"/>
        <w:gridCol w:w="7084"/>
      </w:tblGrid>
      <w:tr w:rsidR="00FD23EA">
        <w:trPr>
          <w:trHeight w:val="1327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rPr>
                <w:rFonts w:cs="Arial Narrow"/>
                <w:szCs w:val="22"/>
              </w:rPr>
            </w:pPr>
          </w:p>
          <w:p w:rsidR="00FD23EA" w:rsidRDefault="001E76E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 NZ Elektro, s. r. o.</w:t>
            </w:r>
          </w:p>
        </w:tc>
      </w:tr>
      <w:tr w:rsidR="00FD23EA">
        <w:trPr>
          <w:trHeight w:val="340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Sídlo: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Samuela Nováka 2194, 02601 Dolný Kubín </w:t>
            </w:r>
          </w:p>
        </w:tc>
      </w:tr>
    </w:tbl>
    <w:p w:rsidR="00FD23EA" w:rsidRDefault="001E76ED">
      <w:pPr>
        <w:jc w:val="both"/>
        <w:rPr>
          <w:bCs/>
          <w:szCs w:val="22"/>
        </w:rPr>
      </w:pPr>
      <w:r>
        <w:rPr>
          <w:bCs/>
          <w:szCs w:val="22"/>
        </w:rPr>
        <w:t xml:space="preserve">Opis vykonávanej  činnosti účtovnej jednotky: Predaj elektromateriálu a poskytovanie služby SKILINK </w:t>
      </w:r>
    </w:p>
    <w:p w:rsidR="00FD23EA" w:rsidRDefault="00FD23EA">
      <w:pPr>
        <w:jc w:val="both"/>
        <w:rPr>
          <w:bCs/>
          <w:szCs w:val="22"/>
        </w:rPr>
      </w:pPr>
    </w:p>
    <w:p w:rsidR="00FD23EA" w:rsidRDefault="001E76ED">
      <w:pPr>
        <w:pStyle w:val="Odsekzoznamu1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</w:pPr>
      <w:r>
        <w:rPr>
          <w:szCs w:val="22"/>
        </w:rPr>
        <w:t xml:space="preserve">Dátum schválenia účtovnej závierky za bezprostredne predchádzajúce účtovné obdobie: </w:t>
      </w:r>
      <w:r w:rsidR="00571C7F">
        <w:rPr>
          <w:bCs/>
          <w:szCs w:val="22"/>
        </w:rPr>
        <w:t>30.06.2023</w:t>
      </w:r>
    </w:p>
    <w:p w:rsidR="00FD23EA" w:rsidRDefault="00FD23EA">
      <w:pPr>
        <w:pStyle w:val="Odsekzoznamu1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990"/>
        <w:gridCol w:w="3395"/>
        <w:gridCol w:w="2801"/>
        <w:gridCol w:w="1549"/>
        <w:gridCol w:w="337"/>
      </w:tblGrid>
      <w:tr w:rsidR="00FD23EA">
        <w:trPr>
          <w:trHeight w:hRule="exact" w:val="340"/>
        </w:trPr>
        <w:tc>
          <w:tcPr>
            <w:tcW w:w="99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pStyle w:val="Odsekzoznamu1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09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hRule="exact" w:val="340"/>
        </w:trPr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09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</w:tr>
      <w:tr w:rsidR="00FD23EA">
        <w:trPr>
          <w:trHeight w:hRule="exact" w:val="340"/>
        </w:trPr>
        <w:tc>
          <w:tcPr>
            <w:tcW w:w="99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</w:tr>
    </w:tbl>
    <w:p w:rsidR="00FD23EA" w:rsidRDefault="00FD23EA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FD23EA" w:rsidRDefault="001E76ED">
      <w:pPr>
        <w:pStyle w:val="Odsekzoznamu1"/>
        <w:keepNext/>
        <w:numPr>
          <w:ilvl w:val="0"/>
          <w:numId w:val="2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>
        <w:rPr>
          <w:szCs w:val="22"/>
        </w:rPr>
        <w:t>Údaje o skupine účtovných jednotiek:</w:t>
      </w:r>
    </w:p>
    <w:tbl>
      <w:tblPr>
        <w:tblW w:w="9072" w:type="dxa"/>
        <w:tblInd w:w="108" w:type="dxa"/>
        <w:tblLook w:val="04A0"/>
      </w:tblPr>
      <w:tblGrid>
        <w:gridCol w:w="3972"/>
        <w:gridCol w:w="566"/>
        <w:gridCol w:w="3971"/>
        <w:gridCol w:w="563"/>
      </w:tblGrid>
      <w:tr w:rsidR="00FD23EA"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Nie je </w:t>
            </w:r>
            <w:r>
              <w:rPr>
                <w:szCs w:val="22"/>
              </w:rPr>
              <w:t>súčasťou konsolidovaného celku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FD23EA" w:rsidRDefault="001E76ED">
      <w:pPr>
        <w:pStyle w:val="Odsekzoznamu1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 xml:space="preserve">obchodné meno a sídlo účtovnej jednotky, ktorá zostavuje konsolidovanú účtovnú závierku za najväčšiu skupinu, ktorej súčasťou je účtovná jednotka ako dcérska účtovná </w:t>
      </w:r>
      <w:r>
        <w:rPr>
          <w:sz w:val="20"/>
          <w:szCs w:val="22"/>
        </w:rPr>
        <w:t>jednotka,</w:t>
      </w:r>
    </w:p>
    <w:p w:rsidR="00FD23EA" w:rsidRDefault="001E76ED">
      <w:pPr>
        <w:pStyle w:val="Odsekzoznamu1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</w:t>
      </w:r>
      <w:r>
        <w:rPr>
          <w:sz w:val="20"/>
          <w:szCs w:val="22"/>
        </w:rPr>
        <w:t>ísmene a),</w:t>
      </w:r>
    </w:p>
    <w:p w:rsidR="00FD23EA" w:rsidRDefault="001E76ED">
      <w:pPr>
        <w:pStyle w:val="Odsekzoznamu1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adresa, kde sa môže vyžiadať kópia konsolidovaných účtovných závierok uvedených v písmenách a) a b),</w:t>
      </w:r>
    </w:p>
    <w:p w:rsidR="00FD23EA" w:rsidRDefault="001E76ED">
      <w:pPr>
        <w:pStyle w:val="Odsekzoznamu1"/>
        <w:keepNext/>
        <w:numPr>
          <w:ilvl w:val="0"/>
          <w:numId w:val="4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údaj, či účtovná jednotka je materskou účtovnou jednotkou a údaj, či je oslobodená od povinnosti zostaviť konsolidovanú účtovnú závierku a konso</w:t>
      </w:r>
      <w:r>
        <w:rPr>
          <w:sz w:val="20"/>
          <w:szCs w:val="22"/>
        </w:rPr>
        <w:t>lidovanú výročnú správu podľa § 22 zákona, pričom sa uvádzajú</w:t>
      </w:r>
    </w:p>
    <w:p w:rsidR="00FD23EA" w:rsidRDefault="001E76ED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FD23EA" w:rsidRDefault="001E76ED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>
        <w:rPr>
          <w:sz w:val="20"/>
          <w:szCs w:val="22"/>
        </w:rPr>
        <w:t>pri oslobodení podľa § 22 ods. 10</w:t>
      </w:r>
      <w:r>
        <w:rPr>
          <w:sz w:val="20"/>
          <w:szCs w:val="22"/>
        </w:rPr>
        <w:t xml:space="preserve"> a 12 zákona obchodné meno a sídlo dcérskych účtovných jednotiek.</w:t>
      </w:r>
    </w:p>
    <w:p w:rsidR="00FD23EA" w:rsidRDefault="00FD23EA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00" w:type="pct"/>
        <w:jc w:val="center"/>
        <w:tblCellMar>
          <w:left w:w="70" w:type="dxa"/>
          <w:right w:w="70" w:type="dxa"/>
        </w:tblCellMar>
        <w:tblLook w:val="04A0"/>
      </w:tblPr>
      <w:tblGrid>
        <w:gridCol w:w="788"/>
        <w:gridCol w:w="6572"/>
        <w:gridCol w:w="1299"/>
      </w:tblGrid>
      <w:tr w:rsidR="00FD23EA">
        <w:trPr>
          <w:trHeight w:val="340"/>
          <w:jc w:val="center"/>
        </w:trPr>
        <w:tc>
          <w:tcPr>
            <w:tcW w:w="7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pStyle w:val="Odsekzoznamu1"/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571C7F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D23EA">
        <w:trPr>
          <w:trHeight w:val="340"/>
          <w:jc w:val="center"/>
        </w:trPr>
        <w:tc>
          <w:tcPr>
            <w:tcW w:w="7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4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PO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FD23EA" w:rsidRDefault="00FD23EA">
      <w:pPr>
        <w:spacing w:after="0"/>
        <w:ind w:left="705" w:hanging="705"/>
        <w:jc w:val="both"/>
        <w:rPr>
          <w:i/>
          <w:szCs w:val="22"/>
        </w:rPr>
      </w:pPr>
    </w:p>
    <w:p w:rsidR="00FD23EA" w:rsidRDefault="00FD23EA">
      <w:pPr>
        <w:spacing w:after="0"/>
        <w:ind w:left="705" w:hanging="705"/>
        <w:jc w:val="both"/>
        <w:rPr>
          <w:i/>
          <w:szCs w:val="22"/>
        </w:rPr>
      </w:pPr>
    </w:p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 - Informácie o orgánoch spoločnosti</w:t>
      </w: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1E76ED">
      <w:pPr>
        <w:spacing w:after="0" w:line="240" w:lineRule="auto"/>
        <w:jc w:val="both"/>
        <w:rPr>
          <w:szCs w:val="22"/>
        </w:rPr>
      </w:pPr>
      <w:r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Look w:val="04A0"/>
      </w:tblPr>
      <w:tblGrid>
        <w:gridCol w:w="4241"/>
        <w:gridCol w:w="7"/>
        <w:gridCol w:w="1705"/>
        <w:gridCol w:w="277"/>
        <w:gridCol w:w="714"/>
        <w:gridCol w:w="985"/>
        <w:gridCol w:w="148"/>
        <w:gridCol w:w="143"/>
        <w:gridCol w:w="1278"/>
      </w:tblGrid>
      <w:tr w:rsidR="00FD23EA">
        <w:trPr>
          <w:trHeight w:val="57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b/>
                <w:szCs w:val="22"/>
              </w:rPr>
            </w:pPr>
            <w:r>
              <w:rPr>
                <w:szCs w:val="22"/>
              </w:rPr>
              <w:t>a</w:t>
            </w:r>
            <w:r>
              <w:rPr>
                <w:b/>
                <w:szCs w:val="22"/>
              </w:rPr>
              <w:t xml:space="preserve">)Výška jednotlivých druhov záruk alebo iných zabezpečení pre členov štatutárneho orgánu, </w:t>
            </w:r>
          </w:p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b/>
                <w:szCs w:val="22"/>
              </w:rPr>
              <w:t>dozorného orgánu a iného orgánu ÚJ</w:t>
            </w:r>
          </w:p>
        </w:tc>
      </w:tr>
      <w:tr w:rsidR="00FD23EA">
        <w:trPr>
          <w:trHeight w:val="57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Druh záruky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b</w:t>
            </w:r>
            <w:r>
              <w:rPr>
                <w:b/>
                <w:szCs w:val="22"/>
              </w:rPr>
              <w:t>)Pôžičky poskytnuté členom štatutárneho orgánu, dozorného orgánu a iného orgánu ÚJ</w:t>
            </w:r>
          </w:p>
        </w:tc>
      </w:tr>
      <w:tr w:rsidR="00FD23EA">
        <w:trPr>
          <w:trHeight w:val="340"/>
        </w:trPr>
        <w:tc>
          <w:tcPr>
            <w:tcW w:w="4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D23E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2.Celková suma splatených pôžičiek k poslednému dňu účtovného obdobia</w:t>
            </w:r>
          </w:p>
        </w:tc>
      </w:tr>
      <w:tr w:rsidR="00FD23EA">
        <w:trPr>
          <w:trHeight w:val="368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3.Celková suma odpustených pôžičiek a odpísaných </w:t>
            </w:r>
            <w:r>
              <w:rPr>
                <w:szCs w:val="22"/>
              </w:rPr>
              <w:t>pôžičiek k poslednému dňu účtovného obdobia</w:t>
            </w:r>
          </w:p>
        </w:tc>
      </w:tr>
      <w:tr w:rsidR="00FD23EA">
        <w:trPr>
          <w:trHeight w:val="422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949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d)</w:t>
            </w:r>
            <w:r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Plnenie na súkromné účely k vyúčtovaniu</w:t>
            </w: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Štatutárny orgán</w:t>
            </w: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6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Čl.III - Informácie o prijatých postupoch</w:t>
      </w: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571"/>
        <w:gridCol w:w="6431"/>
        <w:gridCol w:w="820"/>
        <w:gridCol w:w="337"/>
        <w:gridCol w:w="576"/>
        <w:gridCol w:w="337"/>
      </w:tblGrid>
      <w:tr w:rsidR="00FD23EA">
        <w:trPr>
          <w:trHeight w:hRule="exact" w:val="3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pStyle w:val="Odsekzoznamu1"/>
              <w:keepNext/>
              <w:numPr>
                <w:ilvl w:val="0"/>
                <w:numId w:val="6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hRule="exact" w:val="3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Zmeny účtovných zásad a metód</w:t>
            </w:r>
          </w:p>
        </w:tc>
        <w:tc>
          <w:tcPr>
            <w:tcW w:w="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D23EA" w:rsidRDefault="001E76ED">
      <w:pPr>
        <w:pStyle w:val="Odsekzoznamu1"/>
        <w:spacing w:after="0" w:line="240" w:lineRule="auto"/>
        <w:ind w:left="357"/>
        <w:jc w:val="both"/>
        <w:rPr>
          <w:szCs w:val="22"/>
        </w:rPr>
      </w:pPr>
      <w:r>
        <w:rPr>
          <w:szCs w:val="22"/>
        </w:rPr>
        <w:t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</w:t>
      </w:r>
      <w:r>
        <w:rPr>
          <w:szCs w:val="22"/>
        </w:rPr>
        <w:t xml:space="preserve">ich vplyvu na hodnotu majetku, záväzkov, vlastného imania a výsledku hospodárenia účtovnej jednotky. </w:t>
      </w:r>
      <w:r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</w:t>
      </w:r>
      <w:r>
        <w:rPr>
          <w:bCs/>
          <w:szCs w:val="22"/>
          <w:lang w:eastAsia="sk-SK"/>
        </w:rPr>
        <w:t>ierky porovnateľné, uvádza sa vysvetlenie o neporovnateľných hodnotách.</w:t>
      </w:r>
    </w:p>
    <w:p w:rsidR="00FD23EA" w:rsidRDefault="00FD23EA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FD23EA" w:rsidRDefault="001E76ED">
      <w:pPr>
        <w:numPr>
          <w:ilvl w:val="0"/>
          <w:numId w:val="6"/>
        </w:numPr>
        <w:spacing w:after="0" w:line="240" w:lineRule="auto"/>
        <w:rPr>
          <w:szCs w:val="22"/>
        </w:rPr>
      </w:pPr>
      <w:r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</w:t>
      </w:r>
      <w:r>
        <w:rPr>
          <w:szCs w:val="22"/>
        </w:rPr>
        <w:t xml:space="preserve"> z týchto transakcií významné a ak uvedenie týchto rizík alebo prínosov je potrebné na účely posúdenia finančnej situácie účtovnej jednotky.</w:t>
      </w:r>
    </w:p>
    <w:p w:rsidR="00FD23EA" w:rsidRDefault="00FD23EA">
      <w:pPr>
        <w:widowControl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577"/>
        <w:gridCol w:w="8495"/>
      </w:tblGrid>
      <w:tr w:rsidR="00FD23EA">
        <w:trPr>
          <w:trHeight w:hRule="exact" w:val="340"/>
        </w:trPr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Spôsob a  určenie ocenenia majetku a záväzkov vrátane  určenia rozhodujúcich účtovných odhadov a predpokladov, </w:t>
            </w:r>
            <w:r>
              <w:rPr>
                <w:b/>
                <w:szCs w:val="22"/>
              </w:rPr>
              <w:t>pričom sa zohľadňuje zásada významnosti</w:t>
            </w:r>
          </w:p>
        </w:tc>
      </w:tr>
    </w:tbl>
    <w:p w:rsidR="00FD23EA" w:rsidRDefault="00FD23EA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8735"/>
        <w:gridCol w:w="337"/>
      </w:tblGrid>
      <w:tr w:rsidR="00FD23EA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Obstarávacou cenou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4. pohľadávky pri odplatnom nadobudnutí alebo pohľadávky nadobudnuté vklado</w:t>
            </w:r>
            <w:r>
              <w:rPr>
                <w:szCs w:val="22"/>
              </w:rPr>
              <w:t xml:space="preserve">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Vlastnými nákladmi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menovitou hodnotou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Reálnou hodnotou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8735"/>
        <w:gridCol w:w="337"/>
      </w:tblGrid>
      <w:tr w:rsidR="00FD23EA">
        <w:trPr>
          <w:trHeight w:val="227"/>
        </w:trPr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Úbytok zásob rovnakého druhu sa účtuje v ocenení: </w:t>
            </w:r>
          </w:p>
        </w:tc>
      </w:tr>
      <w:tr w:rsidR="00FD23EA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Obstarávacia cena zásob sa rozdeľuje na cenu za ktoré sa zásoby obstarali</w:t>
            </w:r>
          </w:p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227"/>
        </w:trPr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Look w:val="04A0"/>
      </w:tblPr>
      <w:tblGrid>
        <w:gridCol w:w="8735"/>
        <w:gridCol w:w="337"/>
      </w:tblGrid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Výdavky budúcich období a príjmy budúcich období  (menovitá hodnota)sa vykazujú vo výške, ktorá je potrebná na dodržanie zásady vecnej a časovej súvislosti s úč</w:t>
            </w:r>
            <w:r>
              <w:rPr>
                <w:szCs w:val="22"/>
              </w:rPr>
              <w:t>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widowControl w:val="0"/>
              <w:spacing w:after="0"/>
              <w:jc w:val="center"/>
              <w:rPr>
                <w:szCs w:val="22"/>
              </w:rPr>
            </w:pP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daň sa  určuje z účtovného zisku pred zdanením pri sadzbe </w:t>
            </w:r>
          </w:p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21 % po úpravách na daňové účely podľa zákona o daniach z príjmov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a výnosy časovo rozlišujú. Časovo sa  nerozlišujú náklady a výnosy, ak ide o n</w:t>
            </w:r>
            <w:r>
              <w:rPr>
                <w:szCs w:val="22"/>
              </w:rPr>
              <w:t>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widowControl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tbl>
      <w:tblPr>
        <w:tblW w:w="8991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2949"/>
        <w:gridCol w:w="5741"/>
        <w:gridCol w:w="301"/>
      </w:tblGrid>
      <w:tr w:rsidR="00FD23EA">
        <w:trPr>
          <w:trHeight w:val="340"/>
        </w:trPr>
        <w:tc>
          <w:tcPr>
            <w:tcW w:w="89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Odsekzoznamu1"/>
              <w:numPr>
                <w:ilvl w:val="0"/>
                <w:numId w:val="7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FD23EA">
        <w:trPr>
          <w:trHeight w:val="350"/>
        </w:trPr>
        <w:tc>
          <w:tcPr>
            <w:tcW w:w="86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Trvalé zníženie hodnoty </w:t>
            </w:r>
            <w:r>
              <w:rPr>
                <w:szCs w:val="22"/>
              </w:rPr>
              <w:t>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29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29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294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 xml:space="preserve">Opravná položka </w:t>
            </w:r>
            <w:r>
              <w:rPr>
                <w:szCs w:val="22"/>
              </w:rPr>
              <w:t>k tovaru</w:t>
            </w: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294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57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rPr>
                <w:szCs w:val="22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tbl>
      <w:tblPr>
        <w:tblW w:w="8992" w:type="dxa"/>
        <w:tblInd w:w="70" w:type="dxa"/>
        <w:tblCellMar>
          <w:left w:w="70" w:type="dxa"/>
          <w:right w:w="70" w:type="dxa"/>
        </w:tblCellMar>
        <w:tblLook w:val="0000"/>
      </w:tblPr>
      <w:tblGrid>
        <w:gridCol w:w="3252"/>
        <w:gridCol w:w="5440"/>
        <w:gridCol w:w="300"/>
      </w:tblGrid>
      <w:tr w:rsidR="00FD23EA">
        <w:trPr>
          <w:trHeight w:val="340"/>
        </w:trPr>
        <w:tc>
          <w:tcPr>
            <w:tcW w:w="899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Odsekzoznamu1"/>
              <w:numPr>
                <w:ilvl w:val="0"/>
                <w:numId w:val="7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 w:rsidR="00FD23EA">
        <w:trPr>
          <w:trHeight w:val="340"/>
        </w:trPr>
        <w:tc>
          <w:tcPr>
            <w:tcW w:w="86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3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</w:t>
            </w:r>
            <w:r>
              <w:rPr>
                <w:szCs w:val="22"/>
              </w:rPr>
              <w:t xml:space="preserve">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3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2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2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p w:rsidR="00FD23EA" w:rsidRDefault="001E76ED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Určenie ocenenia finančných nástrojov alebo majetku, ktorý nie je finančným nástrojom pri oceňovaní reálnou hodnotou, a to: </w:t>
      </w:r>
      <w:r>
        <w:rPr>
          <w:szCs w:val="22"/>
          <w:u w:val="single"/>
        </w:rPr>
        <w:t>- bez náplne</w:t>
      </w:r>
    </w:p>
    <w:p w:rsidR="00FD23EA" w:rsidRDefault="001E76ED">
      <w:pPr>
        <w:pStyle w:val="Odsekzoznamu1"/>
        <w:numPr>
          <w:ilvl w:val="0"/>
          <w:numId w:val="8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 xml:space="preserve">určenie  ocenenia reálnou hodnotou, pričom sa uvádza </w:t>
      </w:r>
      <w:r>
        <w:rPr>
          <w:szCs w:val="22"/>
        </w:rPr>
        <w:t>aplikácia reálnej hodnoty podľa zákona; pri kvalifikovanom odhade sa uvádza stanovenie významných predpokladov slúžiacich ako základ modelov a postupov ocenenia,</w:t>
      </w:r>
    </w:p>
    <w:p w:rsidR="00FD23EA" w:rsidRDefault="001E76ED">
      <w:pPr>
        <w:pStyle w:val="Odsekzoznamu1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</w:t>
      </w:r>
      <w:r>
        <w:rPr>
          <w:szCs w:val="22"/>
        </w:rPr>
        <w:t>vádza reálna hodnota a údaj o tom, v akej sume sa zmeny reálnej hodnoty zahrnuli do výkazu ziskov a strát a v akej sume sa zahrnuli vo vlastnom imaní ako oceňovacie rozdiely,</w:t>
      </w:r>
    </w:p>
    <w:p w:rsidR="00FD23EA" w:rsidRDefault="001E76ED">
      <w:pPr>
        <w:pStyle w:val="Odsekzoznamu1"/>
        <w:numPr>
          <w:ilvl w:val="0"/>
          <w:numId w:val="8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</w:t>
      </w:r>
      <w:r>
        <w:rPr>
          <w:szCs w:val="22"/>
        </w:rPr>
        <w:t xml:space="preserve">týchto nástrojov vrátane hlavných podmienok a okolností, ktoré môžu ovplyvniť sumu, časový priebeh a mieru istoty budúcich peňažných tokov, </w:t>
      </w:r>
    </w:p>
    <w:p w:rsidR="00FD23EA" w:rsidRDefault="001E76ED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Určenie ocenenia finančných nástrojov alebo majetku, ktorý nie je finančným nástrojom pri oceňovaní obstarávacou ce</w:t>
      </w:r>
      <w:r>
        <w:rPr>
          <w:szCs w:val="22"/>
        </w:rPr>
        <w:t>nou alebo vlastnými nákladmi, a to</w:t>
      </w:r>
      <w:r>
        <w:rPr>
          <w:b/>
          <w:szCs w:val="22"/>
        </w:rPr>
        <w:t xml:space="preserve">: </w:t>
      </w:r>
      <w:r>
        <w:rPr>
          <w:szCs w:val="22"/>
          <w:u w:val="single"/>
        </w:rPr>
        <w:t>- bez náplne</w:t>
      </w:r>
    </w:p>
    <w:p w:rsidR="00FD23EA" w:rsidRDefault="001E76ED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D23EA" w:rsidRDefault="001E76ED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D23EA" w:rsidRDefault="001E76ED">
      <w:pPr>
        <w:pStyle w:val="Odsekzoznamu1"/>
        <w:numPr>
          <w:ilvl w:val="0"/>
          <w:numId w:val="10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účtovná hodnota a reálna hodnota za jednotlivé položky majetku alebo skupiny týchto jednotlivých položiek majetku,</w:t>
      </w:r>
    </w:p>
    <w:p w:rsidR="00FD23EA" w:rsidRDefault="001E76ED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>
        <w:rPr>
          <w:szCs w:val="22"/>
        </w:rPr>
        <w:t>dôvod pre nezníženie účtovnej hod</w:t>
      </w:r>
      <w:r>
        <w:rPr>
          <w:szCs w:val="22"/>
        </w:rPr>
        <w:t>noty vrátane povahy dôkazov pre predpoklad, že sa účtovná hodnota opätovne dosiahne,</w:t>
      </w:r>
    </w:p>
    <w:p w:rsidR="00FD23EA" w:rsidRDefault="001E76ED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 xml:space="preserve">Stanovenie metódy vlastného imania </w:t>
      </w:r>
      <w:r>
        <w:rPr>
          <w:szCs w:val="22"/>
          <w:u w:val="single"/>
        </w:rPr>
        <w:t>:- bez náplne</w:t>
      </w:r>
    </w:p>
    <w:p w:rsidR="00FD23EA" w:rsidRDefault="001E76ED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2"/>
          <w:szCs w:val="22"/>
          <w:lang w:eastAsia="sk-SK"/>
        </w:rPr>
        <w:t>Tvorba odpisového plánu pre dlhodobý majetok, pričom sa uvádza doba odpisovania, sadzby odpisov a odpisové metódy pre účto</w:t>
      </w:r>
      <w:r>
        <w:rPr>
          <w:bCs/>
          <w:kern w:val="2"/>
          <w:szCs w:val="22"/>
          <w:lang w:eastAsia="sk-SK"/>
        </w:rPr>
        <w:t>vné odpisy:</w:t>
      </w:r>
    </w:p>
    <w:tbl>
      <w:tblPr>
        <w:tblW w:w="9072" w:type="dxa"/>
        <w:tblLook w:val="04A0"/>
      </w:tblPr>
      <w:tblGrid>
        <w:gridCol w:w="7195"/>
        <w:gridCol w:w="1539"/>
        <w:gridCol w:w="338"/>
      </w:tblGrid>
      <w:tr w:rsidR="00FD23EA"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Nehmotný majetok odpisuje účtovná jednotka počas predpokladanej doby používania zodpovedajúcej spotrebe budúcich ekonomických úžitkov z majetku. Nehmotný majetok, ktorým sú náklady na vývoj sa odpisuje  najneskôr do piatich rokov od jeho obstar</w:t>
            </w:r>
            <w:r>
              <w:rPr>
                <w:szCs w:val="22"/>
              </w:rPr>
              <w:t xml:space="preserve">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</w:tr>
      <w:tr w:rsidR="00FD23EA">
        <w:trPr>
          <w:trHeight w:val="963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</w:t>
            </w:r>
            <w:r>
              <w:rPr>
                <w:szCs w:val="22"/>
              </w:rPr>
              <w:t xml:space="preserve">ostredníctvom majetku .Účtovné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  <w:p w:rsidR="00FD23EA" w:rsidRDefault="00FD23EA">
            <w:pPr>
              <w:spacing w:after="0" w:line="240" w:lineRule="auto"/>
              <w:rPr>
                <w:szCs w:val="22"/>
              </w:rPr>
            </w:pPr>
          </w:p>
        </w:tc>
      </w:tr>
      <w:tr w:rsidR="00FD23EA">
        <w:trPr>
          <w:trHeight w:val="1217"/>
        </w:trPr>
        <w:tc>
          <w:tcPr>
            <w:tcW w:w="87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</w:t>
            </w:r>
            <w:r>
              <w:rPr>
                <w:szCs w:val="22"/>
              </w:rPr>
              <w:t xml:space="preserve"> podobných jednotiek, u ktorých sa predpokladá ich získanie prostredníctvom majetku. Účtovné a daňové odpisy sa </w:t>
            </w:r>
            <w:r>
              <w:rPr>
                <w:b/>
                <w:szCs w:val="22"/>
              </w:rPr>
              <w:t>rovnajú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D23EA">
        <w:trPr>
          <w:trHeight w:val="340"/>
        </w:trPr>
        <w:tc>
          <w:tcPr>
            <w:tcW w:w="7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Samostatné hnuteľné veci sú </w:t>
            </w:r>
            <w:r>
              <w:rPr>
                <w:szCs w:val="22"/>
              </w:rPr>
              <w:t>dlhodobým hmotným majetkom ak doba použiteľnosti je viac ako rok a vstupná cena viac ako: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widowControl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1700,-eur</w:t>
            </w:r>
          </w:p>
        </w:tc>
        <w:tc>
          <w:tcPr>
            <w:tcW w:w="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FD23EA" w:rsidRDefault="00FD23EA"/>
    <w:tbl>
      <w:tblPr>
        <w:tblW w:w="9072" w:type="dxa"/>
        <w:tblLook w:val="04A0"/>
      </w:tblPr>
      <w:tblGrid>
        <w:gridCol w:w="3084"/>
        <w:gridCol w:w="979"/>
        <w:gridCol w:w="1179"/>
        <w:gridCol w:w="1177"/>
        <w:gridCol w:w="1009"/>
        <w:gridCol w:w="1644"/>
      </w:tblGrid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Odpisová skupina 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Doba odpisovania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Lineárne odpisy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Zrýchlené odpisy</w:t>
            </w: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Áno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Traktor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Ano</w:t>
            </w: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  <w:tr w:rsidR="00FD23EA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D23EA" w:rsidRDefault="00FD23EA">
      <w:pPr>
        <w:spacing w:after="0"/>
        <w:jc w:val="both"/>
        <w:rPr>
          <w:szCs w:val="22"/>
        </w:rPr>
      </w:pPr>
    </w:p>
    <w:p w:rsidR="00FD23EA" w:rsidRDefault="001E76ED">
      <w:pPr>
        <w:pStyle w:val="Odsekzoznamu1"/>
        <w:numPr>
          <w:ilvl w:val="0"/>
          <w:numId w:val="7"/>
        </w:numPr>
        <w:spacing w:after="0" w:line="240" w:lineRule="auto"/>
        <w:ind w:left="641" w:hanging="284"/>
        <w:jc w:val="both"/>
        <w:rPr>
          <w:bCs/>
          <w:kern w:val="2"/>
          <w:szCs w:val="22"/>
          <w:lang w:eastAsia="sk-SK"/>
        </w:rPr>
      </w:pPr>
      <w:r>
        <w:rPr>
          <w:bCs/>
          <w:kern w:val="2"/>
          <w:szCs w:val="22"/>
          <w:lang w:eastAsia="sk-SK"/>
        </w:rPr>
        <w:t>Informácia o poskytnutých dotáciách a pri dotáciách na obstaranie majetku sa uvedú zložky majetku a ich ocenenie: - bez náplne</w:t>
      </w:r>
    </w:p>
    <w:p w:rsidR="00FD23EA" w:rsidRDefault="00FD23EA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Look w:val="04A0"/>
      </w:tblPr>
      <w:tblGrid>
        <w:gridCol w:w="3686"/>
        <w:gridCol w:w="851"/>
        <w:gridCol w:w="2125"/>
        <w:gridCol w:w="2411"/>
      </w:tblGrid>
      <w:tr w:rsidR="00FD23EA">
        <w:tc>
          <w:tcPr>
            <w:tcW w:w="90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numPr>
                <w:ilvl w:val="0"/>
                <w:numId w:val="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Informácia </w:t>
            </w:r>
            <w:r>
              <w:rPr>
                <w:b/>
                <w:szCs w:val="22"/>
              </w:rPr>
              <w:t xml:space="preserve">o </w:t>
            </w:r>
            <w:r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>
              <w:rPr>
                <w:szCs w:val="22"/>
                <w:lang w:eastAsia="sk-SK"/>
              </w:rPr>
              <w:t xml:space="preserve">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</w:t>
            </w:r>
            <w:r>
              <w:rPr>
                <w:szCs w:val="22"/>
                <w:lang w:eastAsia="sk-SK"/>
              </w:rPr>
              <w:t>bí s uvedením sumy vplyvu na výsledok hospodárenia bežného účtovného obdobia.</w:t>
            </w:r>
          </w:p>
        </w:tc>
      </w:tr>
      <w:tr w:rsidR="00FD23EA">
        <w:trPr>
          <w:trHeight w:val="397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D23EA" w:rsidRDefault="00FD23EA">
      <w:pPr>
        <w:pStyle w:val="Nzov"/>
        <w:spacing w:beforeAutospacing="0" w:after="0"/>
        <w:ind w:left="360"/>
        <w:jc w:val="left"/>
        <w:rPr>
          <w:szCs w:val="22"/>
        </w:rPr>
      </w:pPr>
    </w:p>
    <w:p w:rsidR="00FD23EA" w:rsidRDefault="00FD23EA"/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Čl.IV – Informácie, ktoré vysvetľujú a dopĺňajú súvahu a výkaz ziskov a strát </w:t>
      </w:r>
    </w:p>
    <w:p w:rsidR="00FD23EA" w:rsidRDefault="00FD23EA"/>
    <w:p w:rsidR="00FD23EA" w:rsidRDefault="001E76ED">
      <w:pPr>
        <w:pStyle w:val="Odsekzoznamu1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>
        <w:rPr>
          <w:szCs w:val="22"/>
          <w:u w:val="single"/>
        </w:rPr>
        <w:t xml:space="preserve"> - bez náplne</w:t>
      </w:r>
    </w:p>
    <w:p w:rsidR="00FD23EA" w:rsidRDefault="001E76ED">
      <w:pPr>
        <w:pStyle w:val="Odsekzoznamu1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významných položkách derivátov, majetku a záv</w:t>
      </w:r>
      <w:r>
        <w:rPr>
          <w:bCs/>
          <w:szCs w:val="22"/>
          <w:lang w:eastAsia="sk-SK"/>
        </w:rPr>
        <w:t>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</w:t>
      </w:r>
      <w:r>
        <w:rPr>
          <w:bCs/>
          <w:szCs w:val="22"/>
          <w:lang w:eastAsia="sk-SK"/>
        </w:rPr>
        <w:t>umu, načasovanie a mieru istoty budúcich peňažných tokov a v tabuľkovej forme informácia zobrazujúca pohyby v oceňovacích rozdieloch z ocenenia reálnou hodnotou počas účtovného obdobia:</w:t>
      </w:r>
      <w:r>
        <w:rPr>
          <w:szCs w:val="22"/>
          <w:u w:val="single"/>
        </w:rPr>
        <w:t xml:space="preserve"> - bez náplne</w:t>
      </w: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D23EA" w:rsidRDefault="001E76ED">
      <w:pPr>
        <w:pStyle w:val="Odsekzoznamu1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Look w:val="04A0"/>
      </w:tblPr>
      <w:tblGrid>
        <w:gridCol w:w="4502"/>
        <w:gridCol w:w="2583"/>
        <w:gridCol w:w="2203"/>
      </w:tblGrid>
      <w:tr w:rsidR="00FD23EA">
        <w:trPr>
          <w:trHeight w:val="340"/>
        </w:trPr>
        <w:tc>
          <w:tcPr>
            <w:tcW w:w="439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numPr>
                <w:ilvl w:val="0"/>
                <w:numId w:val="15"/>
              </w:numPr>
              <w:spacing w:after="0"/>
              <w:rPr>
                <w:b/>
                <w:szCs w:val="22"/>
              </w:rPr>
            </w:pPr>
            <w:r>
              <w:rPr>
                <w:bCs/>
                <w:color w:val="000000"/>
                <w:szCs w:val="22"/>
                <w:lang w:eastAsia="sk-SK"/>
              </w:rPr>
              <w:t>Celková sume záväzkov so zostatko</w:t>
            </w:r>
            <w:r>
              <w:rPr>
                <w:bCs/>
                <w:color w:val="000000"/>
                <w:szCs w:val="22"/>
                <w:lang w:eastAsia="sk-SK"/>
              </w:rPr>
              <w:t>vou dobou splatnosti dlhšou ako päť rokov: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BO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</w:t>
            </w:r>
          </w:p>
        </w:tc>
      </w:tr>
      <w:tr w:rsidR="00FD23EA">
        <w:trPr>
          <w:trHeight w:val="340"/>
        </w:trPr>
        <w:tc>
          <w:tcPr>
            <w:tcW w:w="439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D23EA">
        <w:trPr>
          <w:trHeight w:val="340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numPr>
                <w:ilvl w:val="0"/>
                <w:numId w:val="15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Celková suma zabezpečených záväzkov, opis a spôsoby zabezpečenia záväzkov:</w:t>
            </w:r>
          </w:p>
        </w:tc>
      </w:tr>
      <w:tr w:rsidR="00FD23EA">
        <w:trPr>
          <w:trHeight w:val="340"/>
        </w:trPr>
        <w:tc>
          <w:tcPr>
            <w:tcW w:w="907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TopHeader"/>
              <w:jc w:val="left"/>
              <w:rPr>
                <w:b w:val="0"/>
              </w:rPr>
            </w:pPr>
            <w:r>
              <w:rPr>
                <w:b w:val="0"/>
              </w:rPr>
              <w:t>Spôsob zabezpečenia:</w:t>
            </w:r>
          </w:p>
        </w:tc>
      </w:tr>
      <w:tr w:rsidR="00FD23EA">
        <w:trPr>
          <w:trHeight w:val="340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bCs/>
                <w:szCs w:val="22"/>
              </w:rPr>
              <w:t>Záložné právo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FD23EA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D23EA">
        <w:trPr>
          <w:trHeight w:val="340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Inak zabezpečené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FD23EA">
        <w:trPr>
          <w:trHeight w:val="340"/>
        </w:trPr>
        <w:tc>
          <w:tcPr>
            <w:tcW w:w="4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1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FD23EA" w:rsidRDefault="00FD23EA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FD23EA" w:rsidRDefault="001E76ED">
      <w:pPr>
        <w:pStyle w:val="Odsekzoznamu1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lastRenderedPageBreak/>
        <w:t xml:space="preserve">Informácie o vlastných </w:t>
      </w:r>
      <w:r>
        <w:rPr>
          <w:bCs/>
          <w:szCs w:val="22"/>
          <w:lang w:eastAsia="sk-SK"/>
        </w:rPr>
        <w:t>akciách:</w:t>
      </w:r>
    </w:p>
    <w:p w:rsidR="00FD23EA" w:rsidRDefault="001E76ED">
      <w:pPr>
        <w:pStyle w:val="Odsekzoznamu1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 nadobudnutia vlastných akcií počas účtovného obdobia,</w:t>
      </w:r>
    </w:p>
    <w:p w:rsidR="00FD23EA" w:rsidRDefault="001E76ED">
      <w:pPr>
        <w:pStyle w:val="Odsekzoznamu1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informácie </w:t>
      </w:r>
    </w:p>
    <w:p w:rsidR="00FD23EA" w:rsidRDefault="001E76ED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</w:t>
      </w:r>
      <w:r>
        <w:rPr>
          <w:bCs/>
          <w:szCs w:val="22"/>
          <w:lang w:eastAsia="sk-SK"/>
        </w:rPr>
        <w:t xml:space="preserve"> percentuálna hodnota týchto vlastných akcií na upísanom základnom imaní,</w:t>
      </w:r>
    </w:p>
    <w:p w:rsidR="00FD23EA" w:rsidRDefault="001E76ED">
      <w:pPr>
        <w:pStyle w:val="Odsekzoznamu1"/>
        <w:numPr>
          <w:ilvl w:val="0"/>
          <w:numId w:val="13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FD23EA" w:rsidRDefault="001E76ED">
      <w:pPr>
        <w:pStyle w:val="Odsekzoznamu1"/>
        <w:numPr>
          <w:ilvl w:val="0"/>
          <w:numId w:val="14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počet, </w:t>
      </w:r>
      <w:r>
        <w:rPr>
          <w:bCs/>
          <w:szCs w:val="22"/>
          <w:lang w:eastAsia="sk-SK"/>
        </w:rPr>
        <w:t>menovitá hodnote a protihodnota, za ktorú sa vlastné akcie nadobudli a ktoré účtovná jednotka má v držbe k poslednému dňu účtovného obdobia; uvádza sa aj ich percentuálny podiel na upísanom základnom imaní.</w:t>
      </w:r>
    </w:p>
    <w:p w:rsidR="00FD23EA" w:rsidRDefault="00FD23EA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FD23EA" w:rsidRDefault="001E76ED">
      <w:pPr>
        <w:pStyle w:val="Odsekzoznamu1"/>
        <w:numPr>
          <w:ilvl w:val="0"/>
          <w:numId w:val="12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Informácia o sume a dôvodoch vzniku jednotlivých</w:t>
      </w:r>
      <w:r>
        <w:rPr>
          <w:bCs/>
          <w:szCs w:val="22"/>
          <w:lang w:eastAsia="sk-SK"/>
        </w:rPr>
        <w:t xml:space="preserve">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Look w:val="04A0"/>
      </w:tblPr>
      <w:tblGrid>
        <w:gridCol w:w="4110"/>
        <w:gridCol w:w="3968"/>
        <w:gridCol w:w="1420"/>
      </w:tblGrid>
      <w:tr w:rsidR="00FD23EA">
        <w:trPr>
          <w:trHeight w:val="34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Popis nákladov ,výnosov výnimočného r</w:t>
            </w:r>
            <w:r>
              <w:rPr>
                <w:b w:val="0"/>
              </w:rPr>
              <w:t>ozsahu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Dôvod vzniku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D23EA" w:rsidRDefault="001E76ED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EUR</w:t>
            </w:r>
          </w:p>
        </w:tc>
      </w:tr>
      <w:tr w:rsidR="00FD23EA">
        <w:trPr>
          <w:trHeight w:val="34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</w:tr>
      <w:tr w:rsidR="00FD23EA">
        <w:trPr>
          <w:trHeight w:val="340"/>
        </w:trPr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FD23EA" w:rsidRDefault="00FD23EA"/>
    <w:p w:rsidR="00FD23EA" w:rsidRDefault="00FD23EA"/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 - Informácie o iných aktívach a iných pasívach </w:t>
      </w:r>
    </w:p>
    <w:p w:rsidR="00FD23EA" w:rsidRDefault="00FD23EA"/>
    <w:p w:rsidR="00FD23EA" w:rsidRDefault="001E76ED">
      <w:pPr>
        <w:pStyle w:val="Odsekzoznamu1"/>
        <w:numPr>
          <w:ilvl w:val="0"/>
          <w:numId w:val="16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k iným aktívam a iným pasívam :</w:t>
      </w:r>
    </w:p>
    <w:p w:rsidR="00FD23EA" w:rsidRDefault="001E76ED">
      <w:pPr>
        <w:pStyle w:val="Odsekzoznamu1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opis a hodnota podmieneného majetku, ktorým sa rozumie možný majetok, ktorý vznikol v dôsledku minulých udalostí a ktorého </w:t>
      </w:r>
      <w:r>
        <w:rPr>
          <w:bCs/>
          <w:szCs w:val="22"/>
          <w:lang w:eastAsia="sk-SK"/>
        </w:rPr>
        <w:t>existencia alebo vlastníctvo závisí od toho, či nastane alebo nenastane jedna alebo viac neistých udalostí v budúcnosti, ktorých vznik nezávisí od účtovnej jednotky; takýmto majetkom sú napríklad práva zo servisných zmlúv, poistných zmlúv, koncesionárskych</w:t>
      </w:r>
      <w:r>
        <w:rPr>
          <w:bCs/>
          <w:szCs w:val="22"/>
          <w:lang w:eastAsia="sk-SK"/>
        </w:rPr>
        <w:t xml:space="preserve"> zmlúv, licenčných zmlúv,</w:t>
      </w:r>
    </w:p>
    <w:p w:rsidR="00FD23EA" w:rsidRDefault="001E76ED">
      <w:pPr>
        <w:pStyle w:val="Odsekzoznamu1"/>
        <w:numPr>
          <w:ilvl w:val="0"/>
          <w:numId w:val="17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FD23EA" w:rsidRDefault="001E76ED">
      <w:pPr>
        <w:pStyle w:val="Odsekzoznamu1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FD23EA" w:rsidRDefault="001E76ED">
      <w:pPr>
        <w:pStyle w:val="Odsekzoznamu1"/>
        <w:numPr>
          <w:ilvl w:val="0"/>
          <w:numId w:val="18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povinnosť, ktorá vznikla ako dôs</w:t>
      </w:r>
      <w:r>
        <w:rPr>
          <w:bCs/>
          <w:szCs w:val="22"/>
          <w:lang w:eastAsia="sk-SK"/>
        </w:rPr>
        <w:t>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D23EA" w:rsidRDefault="00FD23EA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Look w:val="04A0"/>
      </w:tblPr>
      <w:tblGrid>
        <w:gridCol w:w="5669"/>
        <w:gridCol w:w="1984"/>
        <w:gridCol w:w="1845"/>
      </w:tblGrid>
      <w:tr w:rsidR="00FD23EA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Odsekzoznamu1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Významné položky ostatných finančnýc</w:t>
            </w:r>
            <w:r>
              <w:rPr>
                <w:bCs/>
                <w:szCs w:val="22"/>
                <w:lang w:eastAsia="sk-SK"/>
              </w:rPr>
              <w:t>h povinností, ktoré sa nevykazujú v účtovných výkazoch, napríklad zákonná povinnosť alebo zmluvná povinnosť odobrať určité množstvo produktu, uskutočniť investície a  veľké opravy:</w:t>
            </w: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D23EA" w:rsidRDefault="00FD23EA">
      <w:pPr>
        <w:spacing w:after="0"/>
        <w:ind w:right="-471"/>
        <w:rPr>
          <w:szCs w:val="22"/>
        </w:rPr>
      </w:pP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FD23EA" w:rsidRDefault="00FD23EA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Look w:val="04A0"/>
      </w:tblPr>
      <w:tblGrid>
        <w:gridCol w:w="5669"/>
        <w:gridCol w:w="1984"/>
        <w:gridCol w:w="1845"/>
      </w:tblGrid>
      <w:tr w:rsidR="00FD23EA">
        <w:tc>
          <w:tcPr>
            <w:tcW w:w="949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pStyle w:val="Odsekzoznamu1"/>
              <w:numPr>
                <w:ilvl w:val="0"/>
                <w:numId w:val="16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účty-Informácie o významných položkách </w:t>
            </w:r>
            <w:r>
              <w:rPr>
                <w:bCs/>
                <w:szCs w:val="22"/>
                <w:lang w:eastAsia="sk-SK"/>
              </w:rPr>
              <w:t>prenajatého majetku, majetku prijatého do úschovy, o pohľadávkach a záväzkoch z opcií, odpísaných pohľadávkach a podobne:</w:t>
            </w: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1E76ED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  <w:tr w:rsidR="00FD23EA">
        <w:trPr>
          <w:trHeight w:val="340"/>
        </w:trPr>
        <w:tc>
          <w:tcPr>
            <w:tcW w:w="5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D23EA" w:rsidRDefault="00FD23EA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FD23EA" w:rsidRDefault="00FD23EA"/>
    <w:p w:rsidR="00FD23EA" w:rsidRDefault="00FD23EA"/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 – Udalosti ,ktoré nastali po dni ,ku ktorému sa zostavuje účtovná závierka </w:t>
      </w:r>
    </w:p>
    <w:p w:rsidR="00FD23EA" w:rsidRDefault="00FD23EA"/>
    <w:p w:rsidR="00FD23EA" w:rsidRDefault="001E76ED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Charakter a finančný </w:t>
      </w:r>
      <w:r>
        <w:rPr>
          <w:bCs/>
          <w:szCs w:val="22"/>
          <w:lang w:eastAsia="sk-SK"/>
        </w:rPr>
        <w:t>vplyv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pokles alebo zvýšenie trhovej ceny finan</w:t>
      </w:r>
      <w:r>
        <w:rPr>
          <w:bCs/>
          <w:szCs w:val="22"/>
          <w:lang w:eastAsia="sk-SK"/>
        </w:rPr>
        <w:t>čného majetku ako dôsledku udalostí, ktoré nastali po dni, ku ktorému sa zostavuje účtovná závierka do dňa zostavenia účtovnej závierky, s uvedením dôvodu týchto zmien,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dôvody pre zmenu výšky rezerv a opravných položiek, ktoré nastali v dôsledku udalostí p</w:t>
      </w:r>
      <w:r>
        <w:rPr>
          <w:bCs/>
          <w:szCs w:val="22"/>
          <w:lang w:eastAsia="sk-SK"/>
        </w:rPr>
        <w:t>o dni, ku ktorému sa zostavuje účtovná závierka do dňa zostavenia účtovnej závierky,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zmena spoločníkov účtovnej jednotky,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 predaji účtovnej jednotky alebo jej časti,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 významných položiek dlhodobého finančného majetku,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</w:t>
      </w:r>
      <w:r>
        <w:rPr>
          <w:bCs/>
          <w:szCs w:val="22"/>
          <w:lang w:eastAsia="sk-SK"/>
        </w:rPr>
        <w:t>bo ukončení činnosti časti účtovnej jednotky, napríklad odštepného závodu, organizačnej zložky, prevádzkarne,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 dlhopisov a iných cenných papierov,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zlúčenie, splynutie, rozdelenie a zmena právnej formy účtovnej jednotky,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udalosti, ak majú </w:t>
      </w:r>
      <w:r>
        <w:rPr>
          <w:bCs/>
          <w:szCs w:val="22"/>
          <w:lang w:eastAsia="sk-SK"/>
        </w:rPr>
        <w:t>vplyv na hospodárenie účtovnej jednotky, napríklad o živelnej  pohrome,</w:t>
      </w:r>
    </w:p>
    <w:p w:rsidR="00FD23EA" w:rsidRDefault="001E76ED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získanie alebo odobratie licencií alebo iných povolení významných pre činnosť účtovnej jednotky a podobne.</w:t>
      </w:r>
    </w:p>
    <w:p w:rsidR="00FD23EA" w:rsidRDefault="00FD23EA">
      <w:pPr>
        <w:pStyle w:val="Nzov"/>
        <w:spacing w:beforeAutospacing="0" w:after="0"/>
        <w:ind w:left="360"/>
        <w:jc w:val="left"/>
        <w:rPr>
          <w:szCs w:val="22"/>
        </w:rPr>
      </w:pPr>
    </w:p>
    <w:p w:rsidR="00FD23EA" w:rsidRDefault="001E76E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>
        <w:rPr>
          <w:i/>
          <w:szCs w:val="22"/>
        </w:rPr>
        <w:t>Čl.VII – Ostatné informácie</w:t>
      </w:r>
    </w:p>
    <w:p w:rsidR="00FD23EA" w:rsidRDefault="00FD23EA"/>
    <w:p w:rsidR="00FD23EA" w:rsidRDefault="001E76ED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>Informácia o udelení výlučného práva alebo osob</w:t>
      </w:r>
      <w:r>
        <w:rPr>
          <w:szCs w:val="22"/>
        </w:rPr>
        <w:t>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FD23EA" w:rsidRDefault="001E76ED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formách prijatej náhrady,</w:t>
      </w:r>
    </w:p>
    <w:p w:rsidR="00FD23EA" w:rsidRDefault="001E76ED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 xml:space="preserve">účtovných </w:t>
      </w:r>
      <w:r>
        <w:rPr>
          <w:szCs w:val="22"/>
        </w:rPr>
        <w:t>zásadách použitých pri prideľovaní nákladov a výnosov,</w:t>
      </w:r>
    </w:p>
    <w:p w:rsidR="00FD23EA" w:rsidRDefault="001E76ED">
      <w:pPr>
        <w:numPr>
          <w:ilvl w:val="0"/>
          <w:numId w:val="19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 činností účtovnej jednotky.</w:t>
      </w:r>
    </w:p>
    <w:p w:rsidR="00FD23EA" w:rsidRDefault="00FD23EA">
      <w:pPr>
        <w:spacing w:after="0" w:line="240" w:lineRule="auto"/>
        <w:ind w:left="641"/>
        <w:jc w:val="both"/>
        <w:rPr>
          <w:szCs w:val="22"/>
        </w:rPr>
      </w:pPr>
    </w:p>
    <w:p w:rsidR="00FD23EA" w:rsidRDefault="001E76ED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D23EA" w:rsidRDefault="001E76ED">
      <w:pPr>
        <w:numPr>
          <w:ilvl w:val="0"/>
          <w:numId w:val="5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>Informácie  účtovnej jednotky, na ktorú sa vzťahuje</w:t>
      </w:r>
      <w:r>
        <w:rPr>
          <w:rFonts w:cs="Arial"/>
          <w:szCs w:val="22"/>
        </w:rPr>
        <w:t xml:space="preserve"> § 23d ods. 6 zákona</w:t>
      </w:r>
    </w:p>
    <w:p w:rsidR="00FD23EA" w:rsidRDefault="00FD23EA">
      <w:pPr>
        <w:spacing w:after="0" w:line="240" w:lineRule="auto"/>
        <w:rPr>
          <w:szCs w:val="22"/>
        </w:rPr>
      </w:pPr>
    </w:p>
    <w:p w:rsidR="00FD23EA" w:rsidRDefault="00FD23EA">
      <w:pPr>
        <w:spacing w:after="0" w:line="240" w:lineRule="auto"/>
        <w:rPr>
          <w:szCs w:val="22"/>
        </w:rPr>
      </w:pPr>
    </w:p>
    <w:p w:rsidR="00FD23EA" w:rsidRDefault="001E76ED">
      <w:pPr>
        <w:spacing w:after="0" w:line="240" w:lineRule="auto"/>
        <w:rPr>
          <w:szCs w:val="22"/>
        </w:rPr>
      </w:pPr>
      <w:r>
        <w:rPr>
          <w:szCs w:val="22"/>
        </w:rPr>
        <w:t xml:space="preserve">Použité  </w:t>
      </w:r>
      <w:r>
        <w:rPr>
          <w:szCs w:val="22"/>
        </w:rPr>
        <w:t>skratky:</w:t>
      </w:r>
    </w:p>
    <w:p w:rsidR="00FD23EA" w:rsidRDefault="001E76ED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FD23EA" w:rsidRDefault="001E76ED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FD23EA" w:rsidRDefault="001E76ED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FD23EA" w:rsidRDefault="001E76ED">
      <w:pPr>
        <w:spacing w:after="0" w:line="240" w:lineRule="auto"/>
      </w:pPr>
      <w:r>
        <w:rPr>
          <w:szCs w:val="22"/>
        </w:rPr>
        <w:t>X-položka sa vzťahuje na účtovnú jednotku</w:t>
      </w:r>
    </w:p>
    <w:sectPr w:rsidR="00FD23EA" w:rsidSect="00FD23E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6ED" w:rsidRDefault="001E76ED" w:rsidP="00FD23EA">
      <w:pPr>
        <w:spacing w:after="0" w:line="240" w:lineRule="auto"/>
      </w:pPr>
      <w:r>
        <w:separator/>
      </w:r>
    </w:p>
  </w:endnote>
  <w:endnote w:type="continuationSeparator" w:id="0">
    <w:p w:rsidR="001E76ED" w:rsidRDefault="001E76ED" w:rsidP="00FD23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Liberation Sans">
    <w:altName w:val="Arial"/>
    <w:charset w:val="EE"/>
    <w:family w:val="swiss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23EA" w:rsidRDefault="00FD23EA">
    <w:pPr>
      <w:pStyle w:val="Footer"/>
      <w:jc w:val="center"/>
    </w:pPr>
    <w:r>
      <w:fldChar w:fldCharType="begin"/>
    </w:r>
    <w:r w:rsidR="001E76ED">
      <w:instrText>PAGE</w:instrText>
    </w:r>
    <w:r>
      <w:fldChar w:fldCharType="separate"/>
    </w:r>
    <w:r w:rsidR="00571C7F">
      <w:rPr>
        <w:noProof/>
      </w:rPr>
      <w:t>3</w:t>
    </w:r>
    <w:r>
      <w:fldChar w:fldCharType="end"/>
    </w:r>
  </w:p>
  <w:p w:rsidR="00FD23EA" w:rsidRDefault="00FD23E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6ED" w:rsidRDefault="001E76ED" w:rsidP="00FD23EA">
      <w:pPr>
        <w:spacing w:after="0" w:line="240" w:lineRule="auto"/>
      </w:pPr>
      <w:r>
        <w:separator/>
      </w:r>
    </w:p>
  </w:footnote>
  <w:footnote w:type="continuationSeparator" w:id="0">
    <w:p w:rsidR="001E76ED" w:rsidRDefault="001E76ED" w:rsidP="00FD23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23EA" w:rsidRDefault="00FD23EA">
    <w:pPr>
      <w:pStyle w:val="Header"/>
    </w:pPr>
  </w:p>
  <w:tbl>
    <w:tblPr>
      <w:tblW w:w="8957" w:type="dxa"/>
      <w:tblInd w:w="93" w:type="dxa"/>
      <w:tblCellMar>
        <w:left w:w="70" w:type="dxa"/>
        <w:right w:w="70" w:type="dxa"/>
      </w:tblCellMar>
      <w:tblLook w:val="0000"/>
    </w:tblPr>
    <w:tblGrid>
      <w:gridCol w:w="2244"/>
      <w:gridCol w:w="1700"/>
      <w:gridCol w:w="2410"/>
      <w:gridCol w:w="443"/>
      <w:gridCol w:w="2160"/>
    </w:tblGrid>
    <w:tr w:rsidR="00FD23EA">
      <w:trPr>
        <w:trHeight w:val="326"/>
      </w:trPr>
      <w:tc>
        <w:tcPr>
          <w:tcW w:w="224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D23EA" w:rsidRDefault="001E76ED">
          <w:pPr>
            <w:pStyle w:val="Header"/>
          </w:pPr>
          <w:r>
            <w:t>Poznámky Úč POD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</w:tcPr>
        <w:p w:rsidR="00FD23EA" w:rsidRDefault="001E76ED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D23EA" w:rsidRDefault="001E76ED">
          <w:pPr>
            <w:spacing w:after="0" w:line="240" w:lineRule="auto"/>
          </w:pPr>
          <w:r>
            <w:t>IČO: 36823201</w:t>
          </w:r>
        </w:p>
      </w:tc>
      <w:tc>
        <w:tcPr>
          <w:tcW w:w="443" w:type="dxa"/>
          <w:tcBorders>
            <w:left w:val="single" w:sz="4" w:space="0" w:color="000000"/>
            <w:right w:val="single" w:sz="4" w:space="0" w:color="000000"/>
          </w:tcBorders>
          <w:shd w:val="clear" w:color="auto" w:fill="auto"/>
        </w:tcPr>
        <w:p w:rsidR="00FD23EA" w:rsidRDefault="00FD23EA">
          <w:pPr>
            <w:spacing w:after="0" w:line="240" w:lineRule="auto"/>
          </w:pP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</w:tcPr>
        <w:p w:rsidR="00FD23EA" w:rsidRDefault="001E76ED">
          <w:pPr>
            <w:spacing w:after="0" w:line="240" w:lineRule="auto"/>
          </w:pPr>
          <w:r>
            <w:t>DIČ: 2022429574</w:t>
          </w:r>
        </w:p>
      </w:tc>
    </w:tr>
  </w:tbl>
  <w:p w:rsidR="00FD23EA" w:rsidRDefault="00FD23E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647755"/>
    <w:multiLevelType w:val="multilevel"/>
    <w:tmpl w:val="13EE1570"/>
    <w:lvl w:ilvl="0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/>
        <w:b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3790205"/>
    <w:multiLevelType w:val="multilevel"/>
    <w:tmpl w:val="3C32A10C"/>
    <w:lvl w:ilvl="0">
      <w:start w:val="2"/>
      <w:numFmt w:val="decimal"/>
      <w:lvlText w:val="%1a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CE4E3F"/>
    <w:multiLevelType w:val="multilevel"/>
    <w:tmpl w:val="231400BA"/>
    <w:lvl w:ilvl="0">
      <w:start w:val="1"/>
      <w:numFmt w:val="lowerLetter"/>
      <w:lvlText w:val="%1)"/>
      <w:lvlJc w:val="left"/>
      <w:pPr>
        <w:ind w:left="4329" w:hanging="360"/>
      </w:pPr>
      <w:rPr>
        <w:b/>
        <w:sz w:val="20"/>
      </w:rPr>
    </w:lvl>
    <w:lvl w:ilvl="1">
      <w:start w:val="1"/>
      <w:numFmt w:val="lowerLetter"/>
      <w:lvlText w:val="%2."/>
      <w:lvlJc w:val="left"/>
      <w:pPr>
        <w:ind w:left="5049" w:hanging="360"/>
      </w:pPr>
    </w:lvl>
    <w:lvl w:ilvl="2">
      <w:start w:val="1"/>
      <w:numFmt w:val="lowerRoman"/>
      <w:lvlText w:val="%3."/>
      <w:lvlJc w:val="right"/>
      <w:pPr>
        <w:ind w:left="5769" w:hanging="180"/>
      </w:pPr>
    </w:lvl>
    <w:lvl w:ilvl="3">
      <w:start w:val="1"/>
      <w:numFmt w:val="decimal"/>
      <w:lvlText w:val="%4."/>
      <w:lvlJc w:val="left"/>
      <w:pPr>
        <w:ind w:left="6489" w:hanging="360"/>
      </w:pPr>
    </w:lvl>
    <w:lvl w:ilvl="4">
      <w:start w:val="1"/>
      <w:numFmt w:val="lowerLetter"/>
      <w:lvlText w:val="%5."/>
      <w:lvlJc w:val="left"/>
      <w:pPr>
        <w:ind w:left="7209" w:hanging="360"/>
      </w:pPr>
    </w:lvl>
    <w:lvl w:ilvl="5">
      <w:start w:val="1"/>
      <w:numFmt w:val="lowerRoman"/>
      <w:lvlText w:val="%6."/>
      <w:lvlJc w:val="right"/>
      <w:pPr>
        <w:ind w:left="7929" w:hanging="180"/>
      </w:pPr>
    </w:lvl>
    <w:lvl w:ilvl="6">
      <w:start w:val="1"/>
      <w:numFmt w:val="decimal"/>
      <w:lvlText w:val="%7."/>
      <w:lvlJc w:val="left"/>
      <w:pPr>
        <w:ind w:left="8649" w:hanging="360"/>
      </w:pPr>
    </w:lvl>
    <w:lvl w:ilvl="7">
      <w:start w:val="1"/>
      <w:numFmt w:val="lowerLetter"/>
      <w:lvlText w:val="%8."/>
      <w:lvlJc w:val="left"/>
      <w:pPr>
        <w:ind w:left="9369" w:hanging="360"/>
      </w:pPr>
    </w:lvl>
    <w:lvl w:ilvl="8">
      <w:start w:val="1"/>
      <w:numFmt w:val="lowerRoman"/>
      <w:lvlText w:val="%9."/>
      <w:lvlJc w:val="right"/>
      <w:pPr>
        <w:ind w:left="10089" w:hanging="180"/>
      </w:pPr>
    </w:lvl>
  </w:abstractNum>
  <w:abstractNum w:abstractNumId="3">
    <w:nsid w:val="24C37FF6"/>
    <w:multiLevelType w:val="multilevel"/>
    <w:tmpl w:val="9E521672"/>
    <w:lvl w:ilvl="0">
      <w:start w:val="1"/>
      <w:numFmt w:val="decimal"/>
      <w:lvlText w:val="(%1)"/>
      <w:lvlJc w:val="left"/>
      <w:pPr>
        <w:ind w:left="1481" w:hanging="360"/>
      </w:pPr>
      <w:rPr>
        <w:rFonts w:cs="Times New Roman"/>
        <w:b w:val="0"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663F50"/>
    <w:multiLevelType w:val="multilevel"/>
    <w:tmpl w:val="435A694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303F2963"/>
    <w:multiLevelType w:val="multilevel"/>
    <w:tmpl w:val="C77A35F8"/>
    <w:lvl w:ilvl="0">
      <w:start w:val="1"/>
      <w:numFmt w:val="decimal"/>
      <w:lvlText w:val="%1."/>
      <w:lvlJc w:val="left"/>
      <w:pPr>
        <w:ind w:left="1440" w:hanging="360"/>
      </w:p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0E048DB"/>
    <w:multiLevelType w:val="multilevel"/>
    <w:tmpl w:val="708AF704"/>
    <w:lvl w:ilvl="0">
      <w:start w:val="1"/>
      <w:numFmt w:val="lowerLetter"/>
      <w:lvlText w:val="%1)"/>
      <w:lvlJc w:val="left"/>
      <w:pPr>
        <w:ind w:left="1636" w:hanging="360"/>
      </w:pPr>
      <w:rPr>
        <w:rFonts w:cs="Times New Roman"/>
        <w:b/>
        <w:sz w:val="22"/>
      </w:r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7">
    <w:nsid w:val="3988546D"/>
    <w:multiLevelType w:val="multilevel"/>
    <w:tmpl w:val="4104A85A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8">
    <w:nsid w:val="3DCC6AF1"/>
    <w:multiLevelType w:val="multilevel"/>
    <w:tmpl w:val="CE961138"/>
    <w:lvl w:ilvl="0">
      <w:start w:val="1"/>
      <w:numFmt w:val="decimal"/>
      <w:lvlText w:val="(%1)"/>
      <w:lvlJc w:val="left"/>
      <w:pPr>
        <w:ind w:left="1637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F3E767A"/>
    <w:multiLevelType w:val="multilevel"/>
    <w:tmpl w:val="DEB2D558"/>
    <w:lvl w:ilvl="0">
      <w:start w:val="1"/>
      <w:numFmt w:val="decimal"/>
      <w:lvlText w:val="%1."/>
      <w:lvlJc w:val="left"/>
      <w:pPr>
        <w:ind w:left="2870" w:hanging="360"/>
      </w:pPr>
    </w:lvl>
    <w:lvl w:ilvl="1">
      <w:start w:val="1"/>
      <w:numFmt w:val="lowerLetter"/>
      <w:lvlText w:val="%2."/>
      <w:lvlJc w:val="left"/>
      <w:pPr>
        <w:ind w:left="3590" w:hanging="360"/>
      </w:pPr>
    </w:lvl>
    <w:lvl w:ilvl="2">
      <w:start w:val="1"/>
      <w:numFmt w:val="lowerRoman"/>
      <w:lvlText w:val="%3."/>
      <w:lvlJc w:val="right"/>
      <w:pPr>
        <w:ind w:left="4310" w:hanging="180"/>
      </w:pPr>
    </w:lvl>
    <w:lvl w:ilvl="3">
      <w:start w:val="1"/>
      <w:numFmt w:val="decimal"/>
      <w:lvlText w:val="%4."/>
      <w:lvlJc w:val="left"/>
      <w:pPr>
        <w:ind w:left="5030" w:hanging="360"/>
      </w:pPr>
    </w:lvl>
    <w:lvl w:ilvl="4">
      <w:start w:val="1"/>
      <w:numFmt w:val="lowerLetter"/>
      <w:lvlText w:val="%5."/>
      <w:lvlJc w:val="left"/>
      <w:pPr>
        <w:ind w:left="5750" w:hanging="360"/>
      </w:pPr>
    </w:lvl>
    <w:lvl w:ilvl="5">
      <w:start w:val="1"/>
      <w:numFmt w:val="lowerRoman"/>
      <w:lvlText w:val="%6."/>
      <w:lvlJc w:val="right"/>
      <w:pPr>
        <w:ind w:left="6470" w:hanging="180"/>
      </w:pPr>
    </w:lvl>
    <w:lvl w:ilvl="6">
      <w:start w:val="1"/>
      <w:numFmt w:val="decimal"/>
      <w:lvlText w:val="%7."/>
      <w:lvlJc w:val="left"/>
      <w:pPr>
        <w:ind w:left="7190" w:hanging="360"/>
      </w:pPr>
    </w:lvl>
    <w:lvl w:ilvl="7">
      <w:start w:val="1"/>
      <w:numFmt w:val="lowerLetter"/>
      <w:lvlText w:val="%8."/>
      <w:lvlJc w:val="left"/>
      <w:pPr>
        <w:ind w:left="7910" w:hanging="360"/>
      </w:pPr>
    </w:lvl>
    <w:lvl w:ilvl="8">
      <w:start w:val="1"/>
      <w:numFmt w:val="lowerRoman"/>
      <w:lvlText w:val="%9."/>
      <w:lvlJc w:val="right"/>
      <w:pPr>
        <w:ind w:left="8630" w:hanging="180"/>
      </w:pPr>
    </w:lvl>
  </w:abstractNum>
  <w:abstractNum w:abstractNumId="10">
    <w:nsid w:val="43776EC5"/>
    <w:multiLevelType w:val="multilevel"/>
    <w:tmpl w:val="83D63B22"/>
    <w:lvl w:ilvl="0">
      <w:start w:val="1"/>
      <w:numFmt w:val="lowerLetter"/>
      <w:lvlText w:val="%1)"/>
      <w:lvlJc w:val="left"/>
      <w:pPr>
        <w:ind w:left="641" w:hanging="284"/>
      </w:pPr>
      <w:rPr>
        <w:b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11">
    <w:nsid w:val="4A9C1177"/>
    <w:multiLevelType w:val="multilevel"/>
    <w:tmpl w:val="62188A8A"/>
    <w:lvl w:ilvl="0">
      <w:start w:val="1"/>
      <w:numFmt w:val="decimal"/>
      <w:lvlText w:val="(%1)"/>
      <w:lvlJc w:val="left"/>
      <w:pPr>
        <w:ind w:left="360" w:hanging="360"/>
      </w:pPr>
      <w:rPr>
        <w:b w:val="0"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52663C0"/>
    <w:multiLevelType w:val="multilevel"/>
    <w:tmpl w:val="03F076CA"/>
    <w:lvl w:ilvl="0">
      <w:start w:val="1"/>
      <w:numFmt w:val="decimal"/>
      <w:lvlText w:val="(%1)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2A4B44"/>
    <w:multiLevelType w:val="multilevel"/>
    <w:tmpl w:val="4420F56A"/>
    <w:lvl w:ilvl="0">
      <w:start w:val="1"/>
      <w:numFmt w:val="lowerLetter"/>
      <w:lvlText w:val="%1)"/>
      <w:lvlJc w:val="left"/>
      <w:pPr>
        <w:ind w:left="1440" w:hanging="360"/>
      </w:pPr>
      <w:rPr>
        <w:rFonts w:cs="Times New Roman"/>
        <w:sz w:val="22"/>
        <w:szCs w:val="22"/>
      </w:rPr>
    </w:lvl>
    <w:lvl w:ilvl="1">
      <w:start w:val="1"/>
      <w:numFmt w:val="lowerLetter"/>
      <w:lvlText w:val="%2."/>
      <w:lvlJc w:val="left"/>
      <w:pPr>
        <w:ind w:left="2160" w:hanging="360"/>
      </w:pPr>
    </w:lvl>
    <w:lvl w:ilvl="2">
      <w:start w:val="1"/>
      <w:numFmt w:val="lowerRoman"/>
      <w:lvlText w:val="%3."/>
      <w:lvlJc w:val="right"/>
      <w:pPr>
        <w:ind w:left="2880" w:hanging="180"/>
      </w:pPr>
    </w:lvl>
    <w:lvl w:ilvl="3">
      <w:start w:val="1"/>
      <w:numFmt w:val="decimal"/>
      <w:lvlText w:val="%4."/>
      <w:lvlJc w:val="left"/>
      <w:pPr>
        <w:ind w:left="3600" w:hanging="360"/>
      </w:pPr>
    </w:lvl>
    <w:lvl w:ilvl="4">
      <w:start w:val="1"/>
      <w:numFmt w:val="lowerLetter"/>
      <w:lvlText w:val="%5."/>
      <w:lvlJc w:val="left"/>
      <w:pPr>
        <w:ind w:left="4320" w:hanging="360"/>
      </w:pPr>
    </w:lvl>
    <w:lvl w:ilvl="5">
      <w:start w:val="1"/>
      <w:numFmt w:val="lowerRoman"/>
      <w:lvlText w:val="%6."/>
      <w:lvlJc w:val="right"/>
      <w:pPr>
        <w:ind w:left="5040" w:hanging="180"/>
      </w:pPr>
    </w:lvl>
    <w:lvl w:ilvl="6">
      <w:start w:val="1"/>
      <w:numFmt w:val="decimal"/>
      <w:lvlText w:val="%7."/>
      <w:lvlJc w:val="left"/>
      <w:pPr>
        <w:ind w:left="5760" w:hanging="360"/>
      </w:pPr>
    </w:lvl>
    <w:lvl w:ilvl="7">
      <w:start w:val="1"/>
      <w:numFmt w:val="lowerLetter"/>
      <w:lvlText w:val="%8."/>
      <w:lvlJc w:val="left"/>
      <w:pPr>
        <w:ind w:left="6480" w:hanging="360"/>
      </w:pPr>
    </w:lvl>
    <w:lvl w:ilvl="8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6046222F"/>
    <w:multiLevelType w:val="multilevel"/>
    <w:tmpl w:val="1AB01E72"/>
    <w:lvl w:ilvl="0">
      <w:start w:val="2"/>
      <w:numFmt w:val="decimal"/>
      <w:lvlText w:val="%1b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1621803"/>
    <w:multiLevelType w:val="multilevel"/>
    <w:tmpl w:val="E28E21AE"/>
    <w:lvl w:ilvl="0">
      <w:start w:val="1"/>
      <w:numFmt w:val="lowerLetter"/>
      <w:lvlText w:val="%1)"/>
      <w:lvlJc w:val="left"/>
      <w:pPr>
        <w:ind w:left="862" w:hanging="360"/>
      </w:pPr>
    </w:lvl>
    <w:lvl w:ilvl="1">
      <w:start w:val="1"/>
      <w:numFmt w:val="lowerLetter"/>
      <w:lvlText w:val="%2."/>
      <w:lvlJc w:val="left"/>
      <w:pPr>
        <w:ind w:left="1582" w:hanging="360"/>
      </w:pPr>
    </w:lvl>
    <w:lvl w:ilvl="2">
      <w:start w:val="1"/>
      <w:numFmt w:val="lowerRoman"/>
      <w:lvlText w:val="%3."/>
      <w:lvlJc w:val="right"/>
      <w:pPr>
        <w:ind w:left="2302" w:hanging="180"/>
      </w:pPr>
    </w:lvl>
    <w:lvl w:ilvl="3">
      <w:start w:val="1"/>
      <w:numFmt w:val="decimal"/>
      <w:lvlText w:val="%4."/>
      <w:lvlJc w:val="left"/>
      <w:pPr>
        <w:ind w:left="3022" w:hanging="360"/>
      </w:pPr>
    </w:lvl>
    <w:lvl w:ilvl="4">
      <w:start w:val="1"/>
      <w:numFmt w:val="lowerLetter"/>
      <w:lvlText w:val="%5."/>
      <w:lvlJc w:val="left"/>
      <w:pPr>
        <w:ind w:left="3742" w:hanging="360"/>
      </w:pPr>
    </w:lvl>
    <w:lvl w:ilvl="5">
      <w:start w:val="1"/>
      <w:numFmt w:val="lowerRoman"/>
      <w:lvlText w:val="%6."/>
      <w:lvlJc w:val="right"/>
      <w:pPr>
        <w:ind w:left="4462" w:hanging="180"/>
      </w:pPr>
    </w:lvl>
    <w:lvl w:ilvl="6">
      <w:start w:val="1"/>
      <w:numFmt w:val="decimal"/>
      <w:lvlText w:val="%7."/>
      <w:lvlJc w:val="left"/>
      <w:pPr>
        <w:ind w:left="5182" w:hanging="360"/>
      </w:pPr>
    </w:lvl>
    <w:lvl w:ilvl="7">
      <w:start w:val="1"/>
      <w:numFmt w:val="lowerLetter"/>
      <w:lvlText w:val="%8."/>
      <w:lvlJc w:val="left"/>
      <w:pPr>
        <w:ind w:left="5902" w:hanging="360"/>
      </w:pPr>
    </w:lvl>
    <w:lvl w:ilvl="8">
      <w:start w:val="1"/>
      <w:numFmt w:val="lowerRoman"/>
      <w:lvlText w:val="%9."/>
      <w:lvlJc w:val="right"/>
      <w:pPr>
        <w:ind w:left="6622" w:hanging="180"/>
      </w:pPr>
    </w:lvl>
  </w:abstractNum>
  <w:abstractNum w:abstractNumId="16">
    <w:nsid w:val="718E2E63"/>
    <w:multiLevelType w:val="multilevel"/>
    <w:tmpl w:val="8834AF3E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6D93B0F"/>
    <w:multiLevelType w:val="multilevel"/>
    <w:tmpl w:val="C9CC457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73047C8"/>
    <w:multiLevelType w:val="multilevel"/>
    <w:tmpl w:val="F3EC2604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78A9426C"/>
    <w:multiLevelType w:val="multilevel"/>
    <w:tmpl w:val="BF942C0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2"/>
  </w:num>
  <w:num w:numId="3">
    <w:abstractNumId w:val="9"/>
  </w:num>
  <w:num w:numId="4">
    <w:abstractNumId w:val="2"/>
  </w:num>
  <w:num w:numId="5">
    <w:abstractNumId w:val="3"/>
  </w:num>
  <w:num w:numId="6">
    <w:abstractNumId w:val="11"/>
  </w:num>
  <w:num w:numId="7">
    <w:abstractNumId w:val="6"/>
  </w:num>
  <w:num w:numId="8">
    <w:abstractNumId w:val="16"/>
  </w:num>
  <w:num w:numId="9">
    <w:abstractNumId w:val="4"/>
  </w:num>
  <w:num w:numId="10">
    <w:abstractNumId w:val="1"/>
  </w:num>
  <w:num w:numId="11">
    <w:abstractNumId w:val="14"/>
  </w:num>
  <w:num w:numId="12">
    <w:abstractNumId w:val="8"/>
  </w:num>
  <w:num w:numId="13">
    <w:abstractNumId w:val="18"/>
  </w:num>
  <w:num w:numId="14">
    <w:abstractNumId w:val="15"/>
  </w:num>
  <w:num w:numId="15">
    <w:abstractNumId w:val="10"/>
  </w:num>
  <w:num w:numId="16">
    <w:abstractNumId w:val="17"/>
  </w:num>
  <w:num w:numId="17">
    <w:abstractNumId w:val="19"/>
  </w:num>
  <w:num w:numId="18">
    <w:abstractNumId w:val="5"/>
  </w:num>
  <w:num w:numId="19">
    <w:abstractNumId w:val="13"/>
  </w:num>
  <w:num w:numId="2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23EA"/>
    <w:rsid w:val="001E76ED"/>
    <w:rsid w:val="00571C7F"/>
    <w:rsid w:val="00FD23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D23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eading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customStyle="1" w:styleId="Heading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customStyle="1" w:styleId="Heading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customStyle="1" w:styleId="Heading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customStyle="1" w:styleId="Heading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customStyle="1" w:styleId="Heading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customStyle="1" w:styleId="Heading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customStyle="1" w:styleId="Heading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customStyle="1" w:styleId="Nadpis1Char">
    <w:name w:val="Nadpis 1 Char"/>
    <w:link w:val="Heading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link w:val="Heading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Heading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Heading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Heading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Heading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Heading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Heading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Heading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link w:val="Header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link w:val="Footer"/>
    <w:uiPriority w:val="99"/>
    <w:qFormat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link w:val="FootnoteText"/>
    <w:uiPriority w:val="99"/>
    <w:semiHidden/>
    <w:qFormat/>
    <w:locked/>
    <w:rsid w:val="00FD23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qFormat/>
    <w:rsid w:val="00FD23EA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">
    <w:name w:val="Názov Char"/>
    <w:link w:val="Nzov"/>
    <w:uiPriority w:val="99"/>
    <w:qFormat/>
    <w:locked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7">
    <w:name w:val="Názov Char127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6">
    <w:name w:val="Názov Char126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5">
    <w:name w:val="Názov Char125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4">
    <w:name w:val="Názov Char124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3">
    <w:name w:val="Názov Char123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2">
    <w:name w:val="Názov Char122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1">
    <w:name w:val="Názov Char121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0">
    <w:name w:val="Názov Char120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9">
    <w:name w:val="Názov Char119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8">
    <w:name w:val="Názov Char118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7">
    <w:name w:val="Názov Char117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6">
    <w:name w:val="Názov Char116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5">
    <w:name w:val="Názov Char115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4">
    <w:name w:val="Názov Char114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3">
    <w:name w:val="Názov Char113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2">
    <w:name w:val="Názov Char112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1">
    <w:name w:val="Názov Char111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0">
    <w:name w:val="Názov Char110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9">
    <w:name w:val="Názov Char19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8">
    <w:name w:val="Názov Char18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7">
    <w:name w:val="Názov Char17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6">
    <w:name w:val="Názov Char16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5">
    <w:name w:val="Názov Char15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4">
    <w:name w:val="Názov Char14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3">
    <w:name w:val="Názov Char13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2">
    <w:name w:val="Názov Char12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zovChar11">
    <w:name w:val="Názov Char11"/>
    <w:uiPriority w:val="10"/>
    <w:qFormat/>
    <w:rsid w:val="00FD23EA"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ZkladntextChar128">
    <w:name w:val="Základný text Char12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">
    <w:name w:val="Základný text Char"/>
    <w:link w:val="Zkladntext"/>
    <w:uiPriority w:val="99"/>
    <w:semiHidden/>
    <w:qFormat/>
    <w:locked/>
    <w:rsid w:val="00FD23EA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">
    <w:name w:val="Podtitul Char"/>
    <w:link w:val="Podtitul"/>
    <w:uiPriority w:val="11"/>
    <w:qFormat/>
    <w:locked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qFormat/>
    <w:rsid w:val="00FD23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">
    <w:name w:val="Základný text 2 Char"/>
    <w:link w:val="Zkladntext2"/>
    <w:uiPriority w:val="99"/>
    <w:semiHidden/>
    <w:qFormat/>
    <w:locked/>
    <w:rsid w:val="00FD23EA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qFormat/>
    <w:locked/>
    <w:rsid w:val="00FD23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qFormat/>
    <w:rsid w:val="00FD23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qFormat/>
    <w:locked/>
    <w:rsid w:val="00FD23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qFormat/>
    <w:rsid w:val="00FD23EA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qFormat/>
    <w:locked/>
    <w:rsid w:val="00FD23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qFormat/>
    <w:rsid w:val="00FD23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qFormat/>
    <w:rsid w:val="00FD23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qFormat/>
    <w:rsid w:val="00FD23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qFormat/>
    <w:rsid w:val="00FD23EA"/>
    <w:rPr>
      <w:rFonts w:ascii="Tahoma" w:hAnsi="Tahoma" w:cs="Tahoma"/>
      <w:sz w:val="16"/>
      <w:szCs w:val="16"/>
    </w:rPr>
  </w:style>
  <w:style w:type="character" w:customStyle="1" w:styleId="Ukotveniepoznmkypodiarou">
    <w:name w:val="Ukotvenie poznámky pod čiarou"/>
    <w:rsid w:val="00FD23EA"/>
    <w:rPr>
      <w:vertAlign w:val="superscript"/>
    </w:rPr>
  </w:style>
  <w:style w:type="character" w:customStyle="1" w:styleId="FootnoteCharacters">
    <w:name w:val="Footnote Characters"/>
    <w:uiPriority w:val="99"/>
    <w:qFormat/>
    <w:rsid w:val="00686076"/>
    <w:rPr>
      <w:vertAlign w:val="superscript"/>
    </w:rPr>
  </w:style>
  <w:style w:type="character" w:customStyle="1" w:styleId="ListLabel1">
    <w:name w:val="ListLabel 1"/>
    <w:qFormat/>
    <w:rsid w:val="00FD23EA"/>
    <w:rPr>
      <w:rFonts w:cs="Times New Roman"/>
      <w:b/>
    </w:rPr>
  </w:style>
  <w:style w:type="character" w:customStyle="1" w:styleId="ListLabel2">
    <w:name w:val="ListLabel 2"/>
    <w:qFormat/>
    <w:rsid w:val="00FD23EA"/>
    <w:rPr>
      <w:rFonts w:cs="Times New Roman"/>
    </w:rPr>
  </w:style>
  <w:style w:type="character" w:customStyle="1" w:styleId="ListLabel3">
    <w:name w:val="ListLabel 3"/>
    <w:qFormat/>
    <w:rsid w:val="00FD23EA"/>
    <w:rPr>
      <w:rFonts w:cs="Times New Roman"/>
    </w:rPr>
  </w:style>
  <w:style w:type="character" w:customStyle="1" w:styleId="ListLabel4">
    <w:name w:val="ListLabel 4"/>
    <w:qFormat/>
    <w:rsid w:val="00FD23EA"/>
    <w:rPr>
      <w:rFonts w:cs="Times New Roman"/>
    </w:rPr>
  </w:style>
  <w:style w:type="character" w:customStyle="1" w:styleId="ListLabel5">
    <w:name w:val="ListLabel 5"/>
    <w:qFormat/>
    <w:rsid w:val="00FD23EA"/>
    <w:rPr>
      <w:rFonts w:cs="Times New Roman"/>
    </w:rPr>
  </w:style>
  <w:style w:type="character" w:customStyle="1" w:styleId="ListLabel6">
    <w:name w:val="ListLabel 6"/>
    <w:qFormat/>
    <w:rsid w:val="00FD23EA"/>
    <w:rPr>
      <w:rFonts w:cs="Times New Roman"/>
    </w:rPr>
  </w:style>
  <w:style w:type="character" w:customStyle="1" w:styleId="ListLabel7">
    <w:name w:val="ListLabel 7"/>
    <w:qFormat/>
    <w:rsid w:val="00FD23EA"/>
    <w:rPr>
      <w:rFonts w:cs="Times New Roman"/>
    </w:rPr>
  </w:style>
  <w:style w:type="character" w:customStyle="1" w:styleId="ListLabel8">
    <w:name w:val="ListLabel 8"/>
    <w:qFormat/>
    <w:rsid w:val="00FD23EA"/>
    <w:rPr>
      <w:rFonts w:cs="Times New Roman"/>
    </w:rPr>
  </w:style>
  <w:style w:type="character" w:customStyle="1" w:styleId="ListLabel9">
    <w:name w:val="ListLabel 9"/>
    <w:qFormat/>
    <w:rsid w:val="00FD23EA"/>
    <w:rPr>
      <w:rFonts w:cs="Times New Roman"/>
    </w:rPr>
  </w:style>
  <w:style w:type="character" w:customStyle="1" w:styleId="ListLabel10">
    <w:name w:val="ListLabel 10"/>
    <w:qFormat/>
    <w:rsid w:val="00FD23EA"/>
    <w:rPr>
      <w:rFonts w:cs="Times New Roman"/>
    </w:rPr>
  </w:style>
  <w:style w:type="character" w:customStyle="1" w:styleId="ListLabel11">
    <w:name w:val="ListLabel 11"/>
    <w:qFormat/>
    <w:rsid w:val="00FD23EA"/>
    <w:rPr>
      <w:b/>
      <w:sz w:val="20"/>
      <w:szCs w:val="20"/>
    </w:rPr>
  </w:style>
  <w:style w:type="character" w:customStyle="1" w:styleId="ListLabel12">
    <w:name w:val="ListLabel 12"/>
    <w:qFormat/>
    <w:rsid w:val="00FD23EA"/>
    <w:rPr>
      <w:b/>
      <w:sz w:val="20"/>
    </w:rPr>
  </w:style>
  <w:style w:type="character" w:customStyle="1" w:styleId="ListLabel13">
    <w:name w:val="ListLabel 13"/>
    <w:qFormat/>
    <w:rsid w:val="00FD23EA"/>
    <w:rPr>
      <w:rFonts w:cs="Times New Roman"/>
      <w:b w:val="0"/>
      <w:i w:val="0"/>
      <w:sz w:val="20"/>
      <w:szCs w:val="24"/>
    </w:rPr>
  </w:style>
  <w:style w:type="character" w:customStyle="1" w:styleId="ListLabel14">
    <w:name w:val="ListLabel 14"/>
    <w:qFormat/>
    <w:rsid w:val="00FD23EA"/>
    <w:rPr>
      <w:b w:val="0"/>
      <w:sz w:val="20"/>
      <w:szCs w:val="20"/>
    </w:rPr>
  </w:style>
  <w:style w:type="character" w:customStyle="1" w:styleId="ListLabel15">
    <w:name w:val="ListLabel 15"/>
    <w:qFormat/>
    <w:rsid w:val="00FD23EA"/>
    <w:rPr>
      <w:rFonts w:cs="Times New Roman"/>
      <w:b/>
      <w:sz w:val="22"/>
    </w:rPr>
  </w:style>
  <w:style w:type="character" w:customStyle="1" w:styleId="ListLabel16">
    <w:name w:val="ListLabel 16"/>
    <w:qFormat/>
    <w:rsid w:val="00FD23EA"/>
    <w:rPr>
      <w:b/>
    </w:rPr>
  </w:style>
  <w:style w:type="character" w:customStyle="1" w:styleId="ListLabel17">
    <w:name w:val="ListLabel 17"/>
    <w:qFormat/>
    <w:rsid w:val="00FD23EA"/>
    <w:rPr>
      <w:rFonts w:cs="Times New Roman"/>
      <w:sz w:val="22"/>
      <w:szCs w:val="22"/>
    </w:rPr>
  </w:style>
  <w:style w:type="paragraph" w:customStyle="1" w:styleId="Nadpis">
    <w:name w:val="Nadpis"/>
    <w:basedOn w:val="Normlny"/>
    <w:next w:val="Zkladntext"/>
    <w:qFormat/>
    <w:rsid w:val="00FD23EA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sid w:val="00FD23EA"/>
    <w:rPr>
      <w:rFonts w:cs="Arial"/>
    </w:rPr>
  </w:style>
  <w:style w:type="paragraph" w:customStyle="1" w:styleId="Caption">
    <w:name w:val="Caption"/>
    <w:basedOn w:val="Normlny"/>
    <w:qFormat/>
    <w:rsid w:val="00FD23EA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FD23EA"/>
    <w:pPr>
      <w:suppressLineNumbers/>
    </w:pPr>
    <w:rPr>
      <w:rFonts w:cs="Arial"/>
    </w:rPr>
  </w:style>
  <w:style w:type="paragraph" w:customStyle="1" w:styleId="Header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er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FootnoteText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qFormat/>
    <w:rsid w:val="00236906"/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qFormat/>
    <w:rsid w:val="00710A71"/>
    <w:rPr>
      <w:bCs w:val="0"/>
      <w:sz w:val="18"/>
      <w:szCs w:val="20"/>
      <w:lang w:eastAsia="en-US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2433</Words>
  <Characters>13869</Characters>
  <Application>Microsoft Office Word</Application>
  <DocSecurity>0</DocSecurity>
  <Lines>115</Lines>
  <Paragraphs>32</Paragraphs>
  <ScaleCrop>false</ScaleCrop>
  <Company/>
  <LinksUpToDate>false</LinksUpToDate>
  <CharactersWithSpaces>16270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NZ Elektro</cp:lastModifiedBy>
  <cp:revision>2</cp:revision>
  <cp:lastPrinted>2016-01-30T12:57:00Z</cp:lastPrinted>
  <dcterms:created xsi:type="dcterms:W3CDTF">2024-06-29T11:57:00Z</dcterms:created>
  <dcterms:modified xsi:type="dcterms:W3CDTF">2024-06-29T11:57:00Z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