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D5AAF3" w14:textId="77777777" w:rsidR="007F25B7" w:rsidRDefault="007F25B7" w:rsidP="007F25B7">
      <w:pPr>
        <w:pStyle w:val="Default"/>
      </w:pPr>
    </w:p>
    <w:p w14:paraId="07926EE7" w14:textId="225625A0" w:rsidR="007F25B7" w:rsidRDefault="007F25B7" w:rsidP="007F25B7">
      <w:pPr>
        <w:pStyle w:val="Default"/>
        <w:jc w:val="center"/>
        <w:rPr>
          <w:b/>
          <w:bCs/>
          <w:color w:val="FF0000"/>
          <w:sz w:val="32"/>
          <w:szCs w:val="32"/>
        </w:rPr>
      </w:pPr>
      <w:r>
        <w:rPr>
          <w:b/>
          <w:bCs/>
          <w:color w:val="FF0000"/>
          <w:sz w:val="32"/>
          <w:szCs w:val="32"/>
        </w:rPr>
        <w:t xml:space="preserve">Poznámky k </w:t>
      </w:r>
      <w:proofErr w:type="spellStart"/>
      <w:r>
        <w:rPr>
          <w:b/>
          <w:bCs/>
          <w:color w:val="FF0000"/>
          <w:sz w:val="32"/>
          <w:szCs w:val="32"/>
        </w:rPr>
        <w:t>mikro</w:t>
      </w:r>
      <w:proofErr w:type="spellEnd"/>
      <w:r>
        <w:rPr>
          <w:b/>
          <w:bCs/>
          <w:color w:val="FF0000"/>
          <w:sz w:val="32"/>
          <w:szCs w:val="32"/>
        </w:rPr>
        <w:t xml:space="preserve"> účtovnej uzávierke k</w:t>
      </w:r>
      <w:r>
        <w:rPr>
          <w:b/>
          <w:bCs/>
          <w:color w:val="FF0000"/>
          <w:sz w:val="32"/>
          <w:szCs w:val="32"/>
        </w:rPr>
        <w:t> 31.12.2023</w:t>
      </w:r>
    </w:p>
    <w:p w14:paraId="1C0BECF1" w14:textId="3AFC9950" w:rsidR="007F25B7" w:rsidRDefault="007F25B7" w:rsidP="007F25B7">
      <w:pPr>
        <w:pStyle w:val="Default"/>
        <w:rPr>
          <w:sz w:val="32"/>
          <w:szCs w:val="32"/>
        </w:rPr>
      </w:pPr>
      <w:r>
        <w:rPr>
          <w:b/>
          <w:bCs/>
          <w:color w:val="FF0000"/>
          <w:sz w:val="32"/>
          <w:szCs w:val="32"/>
        </w:rPr>
        <w:t xml:space="preserve"> </w:t>
      </w:r>
    </w:p>
    <w:p w14:paraId="108DAA07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</w:t>
      </w:r>
      <w:proofErr w:type="spellStart"/>
      <w:r>
        <w:rPr>
          <w:sz w:val="23"/>
          <w:szCs w:val="23"/>
        </w:rPr>
        <w:t>mikro</w:t>
      </w:r>
      <w:proofErr w:type="spellEnd"/>
      <w:r>
        <w:rPr>
          <w:sz w:val="23"/>
          <w:szCs w:val="23"/>
        </w:rPr>
        <w:t xml:space="preserve"> účtovné jednotky v znení neskorších predpisov. </w:t>
      </w:r>
    </w:p>
    <w:p w14:paraId="248CDED0" w14:textId="77777777" w:rsidR="007F25B7" w:rsidRDefault="007F25B7" w:rsidP="007F25B7">
      <w:pPr>
        <w:pStyle w:val="Default"/>
        <w:rPr>
          <w:sz w:val="23"/>
          <w:szCs w:val="23"/>
        </w:rPr>
      </w:pPr>
    </w:p>
    <w:p w14:paraId="25C0852B" w14:textId="0901C91C" w:rsidR="007F25B7" w:rsidRDefault="007F25B7" w:rsidP="007F25B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Článok I.</w:t>
      </w:r>
    </w:p>
    <w:p w14:paraId="65C1860E" w14:textId="49B39256" w:rsidR="007F25B7" w:rsidRDefault="007F25B7" w:rsidP="007F25B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14:paraId="59C9FE0C" w14:textId="77777777" w:rsidR="007F25B7" w:rsidRDefault="007F25B7" w:rsidP="007F25B7">
      <w:pPr>
        <w:pStyle w:val="Default"/>
        <w:rPr>
          <w:sz w:val="23"/>
          <w:szCs w:val="23"/>
        </w:rPr>
      </w:pPr>
    </w:p>
    <w:p w14:paraId="4C40B335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1.Identifikácia účtovnej jednotky /názov, IČO, sídlo/: </w:t>
      </w:r>
    </w:p>
    <w:p w14:paraId="6927D636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FATALI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 xml:space="preserve">. </w:t>
      </w:r>
    </w:p>
    <w:p w14:paraId="3851CD47" w14:textId="77777777" w:rsidR="007F25B7" w:rsidRDefault="007F25B7" w:rsidP="007F25B7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Zd</w:t>
      </w:r>
      <w:proofErr w:type="spellEnd"/>
      <w:r>
        <w:rPr>
          <w:sz w:val="23"/>
          <w:szCs w:val="23"/>
        </w:rPr>
        <w:t xml:space="preserve">. Nejedlého 1708/2 </w:t>
      </w:r>
    </w:p>
    <w:p w14:paraId="353CF9B4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934 01 Levice </w:t>
      </w:r>
    </w:p>
    <w:p w14:paraId="7F445138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 50864408 </w:t>
      </w:r>
    </w:p>
    <w:p w14:paraId="3F0C47FC" w14:textId="77777777" w:rsidR="007F25B7" w:rsidRDefault="007F25B7" w:rsidP="007F25B7">
      <w:pPr>
        <w:pStyle w:val="Default"/>
        <w:rPr>
          <w:sz w:val="23"/>
          <w:szCs w:val="23"/>
        </w:rPr>
      </w:pPr>
    </w:p>
    <w:p w14:paraId="06FE709E" w14:textId="77777777" w:rsidR="007F25B7" w:rsidRDefault="007F25B7" w:rsidP="007F25B7">
      <w:pPr>
        <w:pStyle w:val="Default"/>
        <w:rPr>
          <w:sz w:val="23"/>
          <w:szCs w:val="23"/>
        </w:rPr>
      </w:pPr>
    </w:p>
    <w:p w14:paraId="7AECC195" w14:textId="49F800CE" w:rsidR="007F25B7" w:rsidRDefault="007F25B7" w:rsidP="007F25B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Článok II.</w:t>
      </w:r>
    </w:p>
    <w:p w14:paraId="67CB753A" w14:textId="4A43BDEB" w:rsidR="007F25B7" w:rsidRDefault="007F25B7" w:rsidP="007F25B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Informácie o prijatých postupoch</w:t>
      </w:r>
    </w:p>
    <w:p w14:paraId="3A1CA784" w14:textId="77777777" w:rsidR="007F25B7" w:rsidRDefault="007F25B7" w:rsidP="007F25B7">
      <w:pPr>
        <w:pStyle w:val="Default"/>
        <w:ind w:left="2124" w:firstLine="708"/>
        <w:rPr>
          <w:sz w:val="23"/>
          <w:szCs w:val="23"/>
        </w:rPr>
      </w:pPr>
    </w:p>
    <w:p w14:paraId="2D2C0B23" w14:textId="77777777" w:rsidR="007F25B7" w:rsidRDefault="007F25B7" w:rsidP="007F25B7">
      <w:pPr>
        <w:pStyle w:val="Default"/>
        <w:ind w:left="2124" w:firstLine="708"/>
        <w:rPr>
          <w:sz w:val="23"/>
          <w:szCs w:val="23"/>
        </w:rPr>
      </w:pPr>
    </w:p>
    <w:p w14:paraId="035D14E8" w14:textId="7415A0EF" w:rsidR="007F25B7" w:rsidRDefault="007F25B7" w:rsidP="007F25B7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 xml:space="preserve">Informácia, či je účtovná závierka zostavenia za splnenia predpokladu, že účtovná jednotka bude nepretržite pokračovať vo svojej činnosti: </w:t>
      </w:r>
    </w:p>
    <w:p w14:paraId="343BC587" w14:textId="77777777" w:rsidR="007F25B7" w:rsidRDefault="007F25B7" w:rsidP="007F25B7">
      <w:pPr>
        <w:pStyle w:val="Default"/>
        <w:ind w:left="720"/>
        <w:rPr>
          <w:sz w:val="23"/>
          <w:szCs w:val="23"/>
        </w:rPr>
      </w:pPr>
    </w:p>
    <w:p w14:paraId="24F7ABCD" w14:textId="3046E31B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Účtovná závierka spoločnosti k</w:t>
      </w:r>
      <w:r>
        <w:rPr>
          <w:sz w:val="23"/>
          <w:szCs w:val="23"/>
        </w:rPr>
        <w:t> 31.12.2023</w:t>
      </w:r>
      <w:r>
        <w:rPr>
          <w:sz w:val="23"/>
          <w:szCs w:val="23"/>
        </w:rPr>
        <w:t xml:space="preserve"> je zostavená ako riadna účtovná závierka podľa § 17 ods. 6 zákona NR SR č. 431/2002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účtovníctve v znení neskorších predpisov, a to za účtovné obdobie od </w:t>
      </w:r>
      <w:r>
        <w:rPr>
          <w:sz w:val="23"/>
          <w:szCs w:val="23"/>
        </w:rPr>
        <w:t>01.01.2023 do 31.12.2023</w:t>
      </w:r>
      <w:r>
        <w:rPr>
          <w:sz w:val="23"/>
          <w:szCs w:val="23"/>
        </w:rPr>
        <w:t xml:space="preserve"> </w:t>
      </w:r>
    </w:p>
    <w:p w14:paraId="4C868EB2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závierka je zostavená za predpokladu nepretržitého pokračovania spoločnosti vo svojej činnosti. Táto účtovná závierka je účtovnou závierkou spoločnosti FATALI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 xml:space="preserve">. </w:t>
      </w:r>
    </w:p>
    <w:p w14:paraId="611D177B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Prezenčná mena je EURO. Všetky hodnoty sa uvádzajú v celých eurách pokiaľ to nie je uvedené inak. </w:t>
      </w:r>
    </w:p>
    <w:p w14:paraId="115AFEC1" w14:textId="77777777" w:rsidR="007F25B7" w:rsidRDefault="007F25B7" w:rsidP="007F25B7">
      <w:pPr>
        <w:pStyle w:val="Default"/>
        <w:rPr>
          <w:sz w:val="23"/>
          <w:szCs w:val="23"/>
        </w:rPr>
      </w:pPr>
    </w:p>
    <w:p w14:paraId="341ABB33" w14:textId="1AE8A479" w:rsidR="007F25B7" w:rsidRDefault="007F25B7" w:rsidP="007F25B7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 , a to : </w:t>
      </w:r>
    </w:p>
    <w:p w14:paraId="0D8E2CB7" w14:textId="77777777" w:rsidR="007F25B7" w:rsidRDefault="007F25B7" w:rsidP="007F25B7">
      <w:pPr>
        <w:pStyle w:val="Default"/>
        <w:ind w:left="720"/>
        <w:rPr>
          <w:sz w:val="23"/>
          <w:szCs w:val="23"/>
        </w:rPr>
      </w:pPr>
    </w:p>
    <w:p w14:paraId="49353BC5" w14:textId="1A42C352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nehmotný majetok: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275D9489" w14:textId="7349638F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hmotný majetok: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4C181D4B" w14:textId="617D4AB3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finančný majetok: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54289D33" w14:textId="1EA7A8A5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Zásoby obstarné kúpou: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352392AE" w14:textId="20FD7FD6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Zásoby vytvorené vlastnou činnosťou: </w:t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30BEFF4B" w14:textId="0DB4286C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Vlastné pohľadávky: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Menovitá hodnota </w:t>
      </w:r>
    </w:p>
    <w:p w14:paraId="2A54B12C" w14:textId="10C881FD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Kúpené pohľadávky: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0E1D9F0F" w14:textId="738B18BB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Krátkodobý finančný majetok: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Obstarávacia cena </w:t>
      </w:r>
    </w:p>
    <w:p w14:paraId="216BAD29" w14:textId="57E0FA39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Záväzky</w:t>
      </w:r>
      <w:r>
        <w:rPr>
          <w:sz w:val="23"/>
          <w:szCs w:val="23"/>
        </w:rPr>
        <w:t xml:space="preserve"> vrátane rezerv: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Menovitá hodnota </w:t>
      </w:r>
    </w:p>
    <w:p w14:paraId="3ADEC5E7" w14:textId="3A64C57F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Dlhopisy: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Menovitá hodnota </w:t>
      </w:r>
    </w:p>
    <w:p w14:paraId="0F5AF7C0" w14:textId="6C38F082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Pôžičky a úvery: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Menovitá hodnota </w:t>
      </w:r>
    </w:p>
    <w:p w14:paraId="2FDF4982" w14:textId="7C34EED4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Derivátové operácie :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Menovitá hodnota </w:t>
      </w:r>
    </w:p>
    <w:p w14:paraId="2506D95D" w14:textId="77777777" w:rsidR="007F25B7" w:rsidRDefault="007F25B7" w:rsidP="007F25B7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Dlhodobý nehmotný majetok nakupovaný sa oceňuje obstarávacou cenou, ktorá zahŕňa cenu obstarania a náklady súvisiace s obstaraním / clo, prepravu, montáž, poistné a pod. /. </w:t>
      </w:r>
    </w:p>
    <w:p w14:paraId="12CD8A52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dlhodobého nehmotného majetku sú úroky z úverov súvisiacich s obstaraním majetku, ktoré vznikli do momentu zaradenia majetku do užívania. </w:t>
      </w:r>
    </w:p>
    <w:p w14:paraId="724034D7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nehmotného majetku sú stanovené predpokladanej doby používania a predpokladaného priebehu opotrebenia. Odpisovať sa začína v mesiaci zaradenia dlhodobo nehmotného majetku do používania. Nehmotný majetok , ktorého obstarávacia cena je 2400 € a nižšia, s dobou použiteľnosti dlhšou ako jeden rok, sa účtuje na účet 518 - Ostatné služby. </w:t>
      </w:r>
    </w:p>
    <w:p w14:paraId="24382022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hmotný majetok nakupovaný sa oceňuje obstarávacou cenou, ktorá zahŕňa cenu obstarania a náklady súvisiace s obstaraním / clo, prepravu, montáž, poistné a pod. /. Súčasťou obstarávacej ceny dlhodobého hmotného majetku sú úroky z úverov súvisiacich s obstaraním majetku, ktoré vznikli do momentu zaradenia majetku do užívania. </w:t>
      </w:r>
    </w:p>
    <w:p w14:paraId="18356DEE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hmotného majetku sú stanovené podľa predpokladanej doby jeho používania a predpokladaného priebehu jeho opotrebenia. Odpisovať sa začne v mesiaci zaradenia dlhodobého hmotného majetku do používania. O dlhodobom hmotnom majetku, ktorého obstarávacia cena je v ocenení rovnom alebo nižšom ako 1700 € a zároveň s dobou použiteľnosti dlhšou ako jeden rok, sa účtuje ako o zásobách. </w:t>
      </w:r>
    </w:p>
    <w:p w14:paraId="54C6F211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Technické zhodnotenie dlhodobého hmotného majetku nie je technickým zhodnotením, ak neprevyšuje úhrne za účtovné obdobie sumu 1700 €. </w:t>
      </w:r>
    </w:p>
    <w:p w14:paraId="6F414F43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Do zásob účtovnej jednotky patrí nakúpený tovar. Zásoby sa oceňujú obstarávacou cenou / nakupované zásoby / - zahŕňa cenu zásob a náklady súvisiace s obstaraním / prepravné, poistné, provízie, skonto/. </w:t>
      </w:r>
    </w:p>
    <w:p w14:paraId="378ABC6B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nehmotný a hmotný majetok nakupovaný sa oceňuje obstarávacou cenou, ktorá </w:t>
      </w:r>
    </w:p>
    <w:p w14:paraId="606B311B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zahŕňa cenu obstarania a náklady súvisiace s obstaraním / clo, prepravu, montáž a pod./ </w:t>
      </w:r>
    </w:p>
    <w:p w14:paraId="0B47C9A7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5C0FD446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sa oceňujú ich menovitou hodnotou. Zníženie ich hodnoty sa vyjadruje opravnou položkou. </w:t>
      </w:r>
    </w:p>
    <w:p w14:paraId="664F5BA4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dodržiavanie zásady vecnej a časovej súvislosti s účtovným obdobím. </w:t>
      </w:r>
    </w:p>
    <w:p w14:paraId="0D7B9718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výškou, tvoria sa na krytie známych rizík alebo strát z podnikania. Oceňujú sa v očakávanej výške záväzku. </w:t>
      </w:r>
    </w:p>
    <w:p w14:paraId="59603880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Záväzky, vrátane úverov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B647CF6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71FBC2C1" w14:textId="6AEBED14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Finančný prenájom - majetok prenajatý na základe zmluvy uzatvorenej od 1. januára 2004 a neskôr vykazuje ako svoj majetok jeho nájomca nie vlastník. Cudzia mena - majetok a záväzky vyjadrené v cudzej mene sa prepočítavajú na eurá referenčným výmenným kurzom určeným a vyhláseným ECB v deň predchádzajúci dňu uskutočnenia účtovného prípadu a v účtovnej závierke platným ku dňu jej zostavenia. </w:t>
      </w:r>
    </w:p>
    <w:p w14:paraId="626B55AE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menu Euro, sa používa kurz, za ktorý bola táto cudzia mena nakúpená. Na ocenenie pohľadávky a záväzkov v cudzej mene spojených s účtovaním poskytnutého a lebo prijatého preddavku v cudzej mene sa používa kurz v čase prijatia alebo poskytnutia preddavku. </w:t>
      </w:r>
    </w:p>
    <w:p w14:paraId="4AC2DFE2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3.Zmeny účtovných zásad a zmeny účtovných metód s uvedením dôvodu týchto zmien a vyčíslením ich vplyvu na finančnú hodnotu majetku , záväzkov, základného imania a výsledku hospodárenia účtovnej jednotky. </w:t>
      </w:r>
    </w:p>
    <w:p w14:paraId="3113BB9E" w14:textId="77777777" w:rsidR="007F25B7" w:rsidRDefault="007F25B7" w:rsidP="007F25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metódy a všeobecné účtovné zásady boli účtovnou jednotkou konzistentne aplikované počas celého účtovného obdobia v súlade s postupmi účtovania pre podnikateľov účtujúcich v sústave podvojného účtovníctva. </w:t>
      </w:r>
    </w:p>
    <w:p w14:paraId="22C3E532" w14:textId="77F31697" w:rsidR="00934907" w:rsidRDefault="00934907" w:rsidP="007F25B7"/>
    <w:sectPr w:rsidR="00934907" w:rsidSect="007F25B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BCA4389"/>
    <w:multiLevelType w:val="hybridMultilevel"/>
    <w:tmpl w:val="BA1EA5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3751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5B7"/>
    <w:rsid w:val="003F0BB4"/>
    <w:rsid w:val="007F25B7"/>
    <w:rsid w:val="00934907"/>
    <w:rsid w:val="00E85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78347"/>
  <w15:chartTrackingRefBased/>
  <w15:docId w15:val="{3BCC639B-762E-44CC-8A3C-14CD5274F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F25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F25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F25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F25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F25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F25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F25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F25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F25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25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F25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F25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F25B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F25B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F25B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F25B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F25B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F25B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F25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F25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F25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F25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F25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F25B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F25B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F25B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F25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F25B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F25B7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7F25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901</Words>
  <Characters>5136</Characters>
  <Application>Microsoft Office Word</Application>
  <DocSecurity>0</DocSecurity>
  <Lines>42</Lines>
  <Paragraphs>12</Paragraphs>
  <ScaleCrop>false</ScaleCrop>
  <Company/>
  <LinksUpToDate>false</LinksUpToDate>
  <CharactersWithSpaces>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Edina Arvay</dc:creator>
  <cp:keywords/>
  <dc:description/>
  <cp:lastModifiedBy>Edina Arvay</cp:lastModifiedBy>
  <cp:revision>1</cp:revision>
  <dcterms:created xsi:type="dcterms:W3CDTF">2024-06-28T10:54:00Z</dcterms:created>
  <dcterms:modified xsi:type="dcterms:W3CDTF">2024-06-28T11:03:00Z</dcterms:modified>
</cp:coreProperties>
</file>