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2" w:line="140" w:lineRule="auto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after="120" w:lineRule="auto"/>
        <w:jc w:val="center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Poznámky účtovnej závierke za rok 2023</w:t>
      </w:r>
    </w:p>
    <w:p w:rsidR="00000000" w:rsidDel="00000000" w:rsidP="00000000" w:rsidRDefault="00000000" w:rsidRPr="00000000" w14:paraId="00000003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jc w:val="center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účtovné jednotky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v znení neskorších predpisov</w:t>
      </w:r>
    </w:p>
    <w:p w:rsidR="00000000" w:rsidDel="00000000" w:rsidP="00000000" w:rsidRDefault="00000000" w:rsidRPr="00000000" w14:paraId="00000004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jc w:val="center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(ostatná novela č.MF/18008/2014-74 – FS č.10/2014)</w:t>
      </w:r>
    </w:p>
    <w:p w:rsidR="00000000" w:rsidDel="00000000" w:rsidP="00000000" w:rsidRDefault="00000000" w:rsidRPr="00000000" w14:paraId="00000005">
      <w:pPr>
        <w:spacing w:before="7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spacing w:before="69" w:lineRule="auto"/>
        <w:ind w:right="836"/>
        <w:jc w:val="center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Článok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841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Všeobecné údaje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7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Identifikácia účtovnej jednotky (názov, IČO, sídlo):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87.0" w:type="dxa"/>
        <w:jc w:val="left"/>
        <w:tblInd w:w="216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3085"/>
        <w:gridCol w:w="6602"/>
        <w:tblGridChange w:id="0">
          <w:tblGrid>
            <w:gridCol w:w="3085"/>
            <w:gridCol w:w="6602"/>
          </w:tblGrid>
        </w:tblGridChange>
      </w:tblGrid>
      <w:tr>
        <w:trPr>
          <w:cantSplit w:val="0"/>
          <w:trHeight w:val="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B">
            <w:pPr>
              <w:spacing w:line="26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Názov: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C">
            <w:pPr>
              <w:spacing w:line="26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Doop trade s. r. 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D">
            <w:pPr>
              <w:spacing w:line="26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IČO: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E">
            <w:pPr>
              <w:spacing w:line="26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52476481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F">
            <w:pPr>
              <w:spacing w:line="26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Sídlo: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0">
            <w:pPr>
              <w:spacing w:line="26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Karpatské námestie 10A 831 06 Bratislava - mestská časť Rača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ind w:left="108" w:hanging="108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Údaje o konsolidovanom celku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- obchodné meno a sídlo konsolidujúcej účtovnej jednotky:   nemáme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3.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Priemerný prepočítaný počet zamestnancov</w:t>
      </w:r>
      <w:r w:rsidDel="00000000" w:rsidR="00000000" w:rsidRPr="00000000">
        <w:rPr>
          <w:rFonts w:ascii="Arial" w:cs="Arial" w:eastAsia="Arial" w:hAnsi="Arial"/>
          <w:rtl w:val="0"/>
        </w:rPr>
        <w:t xml:space="preserve">:</w:t>
      </w:r>
    </w:p>
    <w:p w:rsidR="00000000" w:rsidDel="00000000" w:rsidP="00000000" w:rsidRDefault="00000000" w:rsidRPr="00000000" w14:paraId="00000019">
      <w:pPr>
        <w:spacing w:line="2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87.0" w:type="dxa"/>
        <w:jc w:val="left"/>
        <w:tblInd w:w="216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4219"/>
        <w:gridCol w:w="2126"/>
        <w:gridCol w:w="3342"/>
        <w:tblGridChange w:id="0">
          <w:tblGrid>
            <w:gridCol w:w="4219"/>
            <w:gridCol w:w="2126"/>
            <w:gridCol w:w="3342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A">
            <w:pPr>
              <w:spacing w:line="26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Názov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B">
            <w:pPr>
              <w:spacing w:line="26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Bežné účtovné</w:t>
            </w:r>
          </w:p>
          <w:p w:rsidR="00000000" w:rsidDel="00000000" w:rsidP="00000000" w:rsidRDefault="00000000" w:rsidRPr="00000000" w14:paraId="0000001C">
            <w:pPr>
              <w:spacing w:line="26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obdobie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D">
            <w:pPr>
              <w:spacing w:line="26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Bezprostredne predchádzajúce účtovné obdobie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E">
            <w:pPr>
              <w:spacing w:line="2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Priemerný prepočítaný počet zamestnancov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F">
            <w:pPr>
              <w:spacing w:line="26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0">
            <w:pPr>
              <w:spacing w:line="26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ind w:left="108" w:hanging="108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before="1" w:line="2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1"/>
        <w:ind w:right="839"/>
        <w:jc w:val="center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Článok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right="836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Informácie o prijatých postupoch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before="11" w:line="2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color w:val="000000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Informácia, či je účtovná závierka zostavená za splnenia predpokladu, že účtovná jednotka bude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nepretržite pokračovať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vo svojej činnosti: pokračujem vo svojej činnosti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Spôsob oceňovania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jednotlivých položiek majetku a záväzkov, a to: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87.0" w:type="dxa"/>
        <w:jc w:val="left"/>
        <w:tblInd w:w="216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4843"/>
        <w:gridCol w:w="4844"/>
        <w:tblGridChange w:id="0">
          <w:tblGrid>
            <w:gridCol w:w="4843"/>
            <w:gridCol w:w="4844"/>
          </w:tblGrid>
        </w:tblGridChange>
      </w:tblGrid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 položky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Spôsob oceňovania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nehmotný majetok: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hmotný majetok: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finančný majetok: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Zásoby obstarané kúpou: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Zásoby vytvorené vlastnou činnosťou: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Vlastné náklady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Vlastné pohľadávky: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Menovitá hodnota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Kúpené pohľadávky: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Krátkodobý finančný majetok: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Záväzky vrátane rezerv: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Menovitá hodnota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Dlhopisy: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Menovitá hodnota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Pôžičky a úvery: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Menovitá hodnota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Derivátové operácie: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Menovitá hodnota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108" w:right="0" w:hanging="10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Spôsob zostavenia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odpisového plánu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pre jednotlivé druhy dlhodobého hmotného majetku a dlhodobého nehmotného majetku, pričom sa uvádza doba odpisovania, použité sadzby odpisov a odpisové metódy pri určení odpisov: rovnomerné odpisovanie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Zmeny účtovných  zásad  a zmeny účtovných  metód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s uvedením  dôvodu  týchto  zmien a vyčíslením ich  vplyvu  na  finančnú  hodnotu  majetku,  záväzkov,  základného  imania a výsledku hospodárenia účtovnej jednotky: nemáme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Informácie o dotáciách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 ich oceňovanie v účtovníctve:  nemáme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 Informácie o účtovaní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významných opráv chýb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nemáme</w:t>
      </w:r>
    </w:p>
    <w:p w:rsidR="00000000" w:rsidDel="00000000" w:rsidP="00000000" w:rsidRDefault="00000000" w:rsidRPr="00000000" w14:paraId="00000053">
      <w:pPr>
        <w:spacing w:before="1" w:line="2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1"/>
        <w:ind w:right="157"/>
        <w:jc w:val="center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Článok III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right="157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Informácie, ktoré vysvetľujú a dopĺňajú súvahu a výkaz ziskov a strát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before="11" w:line="2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Informácia o sume a dôvodoch vzniku jednotlivých položiek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nákladov alebo výnosov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ktoré majú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výnimočný rozsah alebo výskyt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napríklad výnosy z predaja podniku alebo časti podniku, náklady z dôvodu predaja podniku alebo časti podniku, škody z dôvodu živelných pohrôm: nemáme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Informácie o záväzkoch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a to: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celkovej sume záväzkov so zostatkovou dobou splatnosti dlhšou ako päť rokov: nemáme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celkovej sume zabezpečených záväzkov, opis a spôsoby zabezpečenia záväzkov: nemáme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Informácie o vlastných akciách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imaní: nemáme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Informácie o orgánoch účtovnej jednotky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a to: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a) výške jednotlivých druhov záruk alebo iných zabezpečení poskytnutých pre členov štatutárneho orgánu,  dozorného  orgánu  a  iného  orgánu  účtovnej  jednotky,  a to v členení za jednotlivé orgány: nemáme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nemáme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c) hlavných podmienkach, na základe ktorých im boli záruky alebo iné zabezpečenie a pôžičky poskytnuté; pri pôžičkách sa uvádzajú úrokové sadzby: nemáme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d) celkovej sume použitých finančných prostriedkov alebo iného plnenia na súkromné účely členmi štatutárneho orgánu, dozorného orgánu a iného orgánu účtovnej jednotky, ktoré je potrebné vyúčtovať: nemáme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Informácie o povinnostiach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účtovnej jednotky, a to: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a) celkovej sume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finančných povinností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nemáme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b) celkovej sume významných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podmienených záväzkov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nemáme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opise významných finančných povinností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 významných podmienených záväzkov, a to celkovej sume významných finančných povinností a významných podmienených záväzkoch voči dcérskej účtovnej jednotke a účtovnej jednotke s podstatným vplyvom: nemáme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opise významných povinností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účtovnej jednotky vyplývajúcich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z dôchodkových programov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pre zamestnancov: nemáme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 Informácie o udelení výlučného práva alebo osobitného práva, ktorým sa udelilo právo poskytovať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služby vo verejnom záujme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nemáme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60" w:w="11900" w:orient="portrait"/>
      <w:pgMar w:bottom="800" w:top="1340" w:left="1060" w:right="1300" w:header="0" w:footer="6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6136006</wp:posOffset>
              </wp:positionH>
              <wp:positionV relativeFrom="page">
                <wp:posOffset>10151111</wp:posOffset>
              </wp:positionV>
              <wp:extent cx="560070" cy="196850"/>
              <wp:effectExtent b="0" l="0" r="0" t="0"/>
              <wp:wrapNone/>
              <wp:docPr descr="Text Box 1"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075490" y="369110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64.99999046325684"/>
                            <w:ind w:left="20" w:right="0" w:firstLine="4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Strana  PAGE 1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6136006</wp:posOffset>
              </wp:positionH>
              <wp:positionV relativeFrom="page">
                <wp:posOffset>10151111</wp:posOffset>
              </wp:positionV>
              <wp:extent cx="560070" cy="196850"/>
              <wp:effectExtent b="0" l="0" r="0" t="0"/>
              <wp:wrapNone/>
              <wp:docPr descr="Text Box 1" id="1" name="image1.png"/>
              <a:graphic>
                <a:graphicData uri="http://schemas.openxmlformats.org/drawingml/2006/picture">
                  <pic:pic>
                    <pic:nvPicPr>
                      <pic:cNvPr descr="Text Box 1"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0070" cy="1968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2990"/>
        <w:tab w:val="left" w:leader="none" w:pos="634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rtl w:val="0"/>
      </w:rPr>
      <w:t xml:space="preserve">Poznámky                               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IČO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52476481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DIČ: 2121036379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60" w:hanging="302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302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302"/>
      </w:pPr>
      <w:rPr>
        <w:smallCaps w:val="0"/>
        <w:strike w:val="0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sk-SK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