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účtovnej závierke</w:t>
      </w:r>
    </w:p>
    <w:p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zostavenej k 31.12. </w:t>
      </w:r>
      <w:r>
        <w:rPr>
          <w:rFonts w:ascii="Arial" w:hAnsi="Arial" w:cs="Arial"/>
          <w:b/>
          <w:iCs/>
          <w:sz w:val="28"/>
          <w:szCs w:val="28"/>
        </w:rPr>
        <w:t>2023</w:t>
      </w:r>
    </w:p>
    <w:p>
      <w:pPr>
        <w:pStyle w:val="odstavec"/>
      </w:pPr>
    </w:p>
    <w:p>
      <w:pPr>
        <w:pStyle w:val="odstavec"/>
      </w:pPr>
    </w:p>
    <w:p>
      <w:pPr>
        <w:pStyle w:val="odstavec"/>
      </w:pPr>
    </w:p>
    <w:p>
      <w:pPr>
        <w:pStyle w:val="odstavec"/>
      </w:pPr>
    </w:p>
    <w:p>
      <w:pPr>
        <w:pStyle w:val="berschrift1"/>
      </w:pPr>
      <w:r>
        <w:t>ZÁKLADNÉ INFORMÁCIE</w:t>
      </w:r>
    </w:p>
    <w:p>
      <w:pPr>
        <w:rPr>
          <w:rFonts w:ascii="Arial" w:hAnsi="Arial" w:cs="Arial"/>
          <w:sz w:val="20"/>
          <w:szCs w:val="20"/>
        </w:rPr>
      </w:pPr>
    </w:p>
    <w:p>
      <w:pPr>
        <w:pStyle w:val="berschrift2"/>
      </w:pPr>
      <w:r>
        <w:t>Obchodné meno a sídlo</w:t>
      </w:r>
    </w:p>
    <w:p>
      <w:pPr>
        <w:pStyle w:val="odstavec"/>
      </w:pPr>
      <w:r>
        <w:t>QUANTEX, s..ro.</w:t>
      </w:r>
    </w:p>
    <w:p>
      <w:pPr>
        <w:pStyle w:val="odstavec"/>
      </w:pPr>
      <w:r>
        <w:t>Pivonkova 1755/12A</w:t>
      </w:r>
    </w:p>
    <w:p>
      <w:pPr>
        <w:pStyle w:val="odstavec"/>
      </w:pPr>
      <w:r>
        <w:t>900 41 Rovinka</w:t>
      </w:r>
    </w:p>
    <w:p>
      <w:pPr>
        <w:pStyle w:val="odstavec"/>
      </w:pPr>
    </w:p>
    <w:p>
      <w:pPr>
        <w:pStyle w:val="odstavec"/>
      </w:pPr>
      <w:r>
        <w:t>IČO: 35732024</w:t>
      </w:r>
    </w:p>
    <w:p>
      <w:pPr>
        <w:pStyle w:val="odstavec"/>
      </w:pPr>
      <w:r>
        <w:t>DIČ: 2020251222</w:t>
      </w:r>
    </w:p>
    <w:p>
      <w:pPr>
        <w:pStyle w:val="odstavec"/>
      </w:pPr>
      <w:r>
        <w:t>IČ DPH: SK2020251222</w:t>
      </w:r>
    </w:p>
    <w:p>
      <w:pPr>
        <w:pStyle w:val="odstavec"/>
      </w:pPr>
    </w:p>
    <w:p>
      <w:pPr>
        <w:pStyle w:val="odstavec"/>
      </w:pPr>
      <w:r>
        <w:t xml:space="preserve">Spoločnosť QUANTEX, s.r.o.. (ďalej len „Spoločnosť“) bola založená zakladateľskou zmluvou zo dňa 20.10 1997. Deň vzniku je 11.11.1997. Spoločnosť je zapísaná v Obchodnom registri Okresného súdu Bratislava I, v oddiel Sro, vo vložke číslo </w:t>
      </w:r>
      <w:r>
        <w:rPr>
          <w:b/>
          <w:bCs w:val="0"/>
          <w:color w:val="000000"/>
          <w:shd w:val="clear" w:color="auto" w:fill="FFFFFF"/>
        </w:rPr>
        <w:t>15942/</w:t>
      </w:r>
    </w:p>
    <w:p>
      <w:pPr>
        <w:pStyle w:val="odstavec"/>
      </w:pPr>
    </w:p>
    <w:p>
      <w:pPr>
        <w:pStyle w:val="odstavec"/>
      </w:pPr>
    </w:p>
    <w:p>
      <w:pPr>
        <w:pStyle w:val="berschrift2"/>
      </w:pPr>
      <w:r>
        <w:t>Hlavné činnosti Spoločnosti podľa výpisu z Obchodného registra</w:t>
      </w:r>
    </w:p>
    <w:p>
      <w:pPr>
        <w:numPr>
          <w:ilvl w:val="0"/>
          <w:numId w:val="5"/>
        </w:numPr>
        <w:tabs>
          <w:tab w:val="clear" w:pos="840"/>
        </w:tabs>
        <w:ind w:left="658" w:hanging="23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vedenie účtovníctva</w:t>
      </w:r>
      <w:r>
        <w:rPr>
          <w:rFonts w:ascii="Arial" w:hAnsi="Arial" w:cs="Arial"/>
          <w:sz w:val="20"/>
          <w:szCs w:val="20"/>
        </w:rPr>
        <w:t>.</w:t>
      </w:r>
    </w:p>
    <w:p>
      <w:pPr>
        <w:ind w:left="658"/>
        <w:jc w:val="both"/>
        <w:rPr>
          <w:rFonts w:ascii="Arial" w:hAnsi="Arial" w:cs="Arial"/>
          <w:sz w:val="20"/>
          <w:szCs w:val="20"/>
        </w:rPr>
      </w:pPr>
    </w:p>
    <w:p>
      <w:pPr>
        <w:pStyle w:val="odstavec"/>
      </w:pPr>
    </w:p>
    <w:p>
      <w:pPr>
        <w:pStyle w:val="berschrift2"/>
      </w:pPr>
      <w:r>
        <w:t>Neobmedzené ručenie</w:t>
      </w:r>
    </w:p>
    <w:p>
      <w:pPr>
        <w:pStyle w:val="berschrift2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Spoločnosť nie je neobmedzene ručiacim spoločníkom v iných účtovných jednotkách.</w:t>
      </w:r>
    </w:p>
    <w:p>
      <w:pPr>
        <w:rPr>
          <w:rFonts w:ascii="Arial" w:hAnsi="Arial" w:cs="Arial"/>
          <w:sz w:val="20"/>
          <w:szCs w:val="20"/>
        </w:rPr>
      </w:pPr>
    </w:p>
    <w:p>
      <w:pPr>
        <w:pStyle w:val="berschrift2"/>
      </w:pPr>
      <w:r>
        <w:t>Dátum schválenia účtovnej závierky za predchádzajúce účtovné obdobie</w:t>
      </w:r>
    </w:p>
    <w:p>
      <w:pPr>
        <w:pStyle w:val="odstavec"/>
      </w:pPr>
      <w:r>
        <w:t>31.12.2023</w:t>
      </w:r>
    </w:p>
    <w:p>
      <w:pPr>
        <w:pStyle w:val="odstavec"/>
      </w:pPr>
    </w:p>
    <w:p>
      <w:pPr>
        <w:pStyle w:val="odstavec"/>
      </w:pPr>
    </w:p>
    <w:p>
      <w:pPr>
        <w:pStyle w:val="berschrift2"/>
      </w:pPr>
      <w:r>
        <w:t xml:space="preserve">Právny dôvod na zostavenie účtovnej závierky </w:t>
      </w:r>
    </w:p>
    <w:p>
      <w:pPr>
        <w:pStyle w:val="berschrift2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Účtovná závierka Spoločnosti k 31.12.2019 je zostavená ako riadna účtovná závierka podľa § 17 ods. 6 zákona NR SR č. 431/2002 Z.z. o účtovníctve v znení neskorších predpisov (ďalej len „zákon o účtovníctve“).</w:t>
      </w:r>
    </w:p>
    <w:p>
      <w:pPr>
        <w:pStyle w:val="odstavec"/>
        <w:ind w:left="0" w:firstLine="0"/>
      </w:pPr>
    </w:p>
    <w:p>
      <w:pPr>
        <w:pStyle w:val="odstavec"/>
      </w:pPr>
    </w:p>
    <w:p>
      <w:pPr>
        <w:pStyle w:val="berschrift1"/>
      </w:pPr>
      <w:r>
        <w:t>ÚČTOVNÉ METÓDY A VŠEOBECNÉ ÚČTOVNÉ ZÁSADY</w:t>
      </w:r>
    </w:p>
    <w:p>
      <w:pPr>
        <w:pStyle w:val="abc"/>
        <w:suppressAutoHyphens/>
      </w:pPr>
      <w:r>
        <w:t>Východiská pre zostavenie účtovnej závierky</w:t>
      </w:r>
    </w:p>
    <w:p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>
      <w:pPr>
        <w:pStyle w:val="odstavec"/>
      </w:pPr>
    </w:p>
    <w:p>
      <w:pPr>
        <w:pStyle w:val="odstavec"/>
      </w:pPr>
      <w:r>
        <w:lastRenderedPageBreak/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>
      <w:pPr>
        <w:pStyle w:val="odstavec"/>
      </w:pPr>
    </w:p>
    <w:p>
      <w:pPr>
        <w:pStyle w:val="odstavec"/>
      </w:pPr>
      <w:r>
        <w:t>Peňažné údaje v účtovnej závierke sú uvedené v celých EUR, pokiaľ nie je určené inak.</w:t>
      </w:r>
    </w:p>
    <w:p>
      <w:pPr>
        <w:rPr>
          <w:rFonts w:ascii="Arial" w:hAnsi="Arial" w:cs="Arial"/>
          <w:sz w:val="20"/>
          <w:szCs w:val="20"/>
        </w:rPr>
      </w:pPr>
    </w:p>
    <w:p>
      <w:pPr>
        <w:pStyle w:val="odstavec"/>
      </w:pPr>
      <w:r>
        <w:t xml:space="preserve">Účtovné metódy a všeobecné účtovné zásady Spoločnosť aplikovala konzistentne s predchádzajúcim účtovným obdobím. </w:t>
      </w:r>
    </w:p>
    <w:p>
      <w:pPr>
        <w:pStyle w:val="odstavec"/>
      </w:pPr>
    </w:p>
    <w:p>
      <w:pPr>
        <w:pStyle w:val="odstavec"/>
      </w:pPr>
      <w:r>
        <w:t>V účtovnom období od 1.1.2022 do 31.12.2022 Spoločnosť nevykonala žiadne opravy významných chýb minulých účtovných období.</w:t>
      </w:r>
    </w:p>
    <w:p>
      <w:pPr>
        <w:pStyle w:val="odstavec"/>
      </w:pPr>
    </w:p>
    <w:p>
      <w:pPr>
        <w:pStyle w:val="odstavec"/>
      </w:pPr>
      <w:r>
        <w:t>Zmeny metódy, dôvod zmeny a ich vplyv na vlastné imanie, hospodársky výsledok, celkovú výšku majetku a záväzkov sú podrobne popísané nižšie (v relevantných častiach).</w:t>
      </w:r>
    </w:p>
    <w:p>
      <w:pPr>
        <w:rPr>
          <w:rFonts w:ascii="Arial" w:hAnsi="Arial" w:cs="Arial"/>
          <w:b/>
          <w:sz w:val="20"/>
          <w:szCs w:val="20"/>
        </w:rPr>
      </w:pPr>
    </w:p>
    <w:p>
      <w:pPr>
        <w:pStyle w:val="abc"/>
        <w:suppressAutoHyphens/>
      </w:pPr>
      <w:r>
        <w:t>Dlhodobý nehmotný, dlhodobý hmotný majetok, dlhodobý finančný majetok</w:t>
      </w:r>
    </w:p>
    <w:p>
      <w:pPr>
        <w:pStyle w:val="odstavec"/>
      </w:pPr>
      <w:r>
        <w:t xml:space="preserve">Dlhodobý majetok nakupovaný sa oceňuje obstarávacou cenou, ktorá zahrňuje cenu, za ktorú sa majetok obstaral, a náklady súvisiace s obstaraním (clo, prepravu, montáž, poistné a pod.). </w:t>
      </w:r>
    </w:p>
    <w:p>
      <w:pPr>
        <w:pStyle w:val="odstavec"/>
      </w:pPr>
    </w:p>
    <w:p>
      <w:pPr>
        <w:pStyle w:val="odstavec"/>
        <w:rPr>
          <w:color w:val="00B0F0"/>
        </w:rPr>
      </w:pPr>
      <w:r>
        <w:t>Dlhodobý nehmotný majetok sa odpisuje podľa odpisového plánu, ktorý bol zostavený na základe predpokladanej doby jeho používania zodpovedajúcej spotrebe budúcich ekonomických úžitkov z majetku. Odpisovať sa začína prvým dňom mesiaca v mesiaci zaradenia majetku do používania. Nehmotný majetok – elektronické aplikácie zaradí Spoločnosť do dlhodobého majetku bez ohľadu na výšku obstarávacej hodnoty a odpisuje dva roky. Doba odpisovania bola určená na dva roky podľa predpokladanej doby budúcich ekonomických úžitkov. Nehmotný majetok, ktorého obstarávacia cena je vyššia ako 332 EUR a zároveň neprevýši 2 400 EUR, sa zaraďuje na účty dlhodobého majetku ako drobný dlhodobý majetok a odpisuje sa 2 roky. Nehmotný majetok, ktorého obstarávacia cena neprevýši 332 EUR sa jednorazovo odpíše do nákladov Spoločnosti pri uvedení do používania. Pri účtovaní goodwillu Spoločnosť zisťuje v akej výške sa v budúcnosti v súvislosti s goodwillom zvýšia ekonomické úžitky a v súvislosti so záporným goodwillom znížia ekonomické úžitky. Spoločnosť uvedený postup uskutoční pri prvotnej identifikácii goodwillu za tým účelom, aby nebol v majetku účtovnej jednotky vykázaný nadhodnotený goodwill. Ak zistí, že prvotne identifikovaný goodwill je vyšší ako predpokladané ekonomické úžitky plynúce z majetku v súvislosti s ktorým bol goodwill identifikovaný, tento rozdiel účtovná jednotka zaúčtuje jednorázovo do nákladov.</w:t>
      </w:r>
    </w:p>
    <w:p>
      <w:pPr>
        <w:pStyle w:val="odstavec"/>
      </w:pPr>
    </w:p>
    <w:p>
      <w:pPr>
        <w:pStyle w:val="odstavec"/>
      </w:pPr>
      <w:r>
        <w:t>Predpokladaná doba používania, metóda odpisovania a odpisová sadzba sú uvedené v nasledujúcej tabuľke:</w:t>
      </w:r>
    </w:p>
    <w:p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2268"/>
        <w:gridCol w:w="1701"/>
        <w:gridCol w:w="1640"/>
      </w:tblGrid>
      <w:tr>
        <w:trPr>
          <w:cantSplit/>
          <w:trHeight w:val="170"/>
        </w:trPr>
        <w:tc>
          <w:tcPr>
            <w:tcW w:w="3677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640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>
        <w:trPr>
          <w:cantSplit/>
          <w:trHeight w:val="170"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rPr>
          <w:cantSplit/>
          <w:trHeight w:val="170"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Softvér  nad 2 400 EUR</w:t>
            </w:r>
          </w:p>
        </w:tc>
        <w:tc>
          <w:tcPr>
            <w:tcW w:w="2268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>
        <w:trPr>
          <w:cantSplit/>
          <w:trHeight w:val="170"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Softvér – elektronické aplikácie v obstarávacej hodnote</w:t>
            </w:r>
          </w:p>
        </w:tc>
        <w:tc>
          <w:tcPr>
            <w:tcW w:w="2268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>
        <w:trPr>
          <w:cantSplit/>
          <w:trHeight w:val="170"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Softvér, ktorého obstarávacia cena je &gt; 332 EUR a neprevýši 2 400 EUR</w:t>
            </w:r>
          </w:p>
        </w:tc>
        <w:tc>
          <w:tcPr>
            <w:tcW w:w="2268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>
      <w:pPr>
        <w:pStyle w:val="odstavec"/>
      </w:pPr>
    </w:p>
    <w:p>
      <w:pPr>
        <w:pStyle w:val="odstavec"/>
      </w:pPr>
      <w:r>
        <w:t>Dlhodobý hmotný majetok sa odpisuje podľa odpisového plánu, ktorý bol zostavený na základe predpokladanej doby jeho používania zodpovedajúcej spotrebe budúcich ekonomických úžitkov z majetku. Odpisovať sa začína prvým dňom v mesiaci zaradenia majetku do používania. Hmotný majetok, ktorého obstarávacia cena je vyššia ako 332 EUR a zároveň neprevýši 1 700 EUR, sa zaraďuje na účty dlhodobého majetku ako drobný dlhodobý majetok a odpisuje sa 2 roky. Hmotný majetok, ktorého obstarávacia cena neprevýši 332 EUR sa jednorazovo odpíše do nákladov Spoločnosti pri uvedení do používania.</w:t>
      </w:r>
    </w:p>
    <w:p>
      <w:pPr>
        <w:pStyle w:val="odstavec"/>
      </w:pPr>
    </w:p>
    <w:p>
      <w:pPr>
        <w:pStyle w:val="odstavec"/>
      </w:pPr>
      <w:r>
        <w:t>Pre jednotlivé druhy dlhodobého hmotného majetku je v nasledujúcej tabuľke uvedená predpokladaná doba používania, metóda odpisovania a odpisová sadzba: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77"/>
        <w:gridCol w:w="142"/>
        <w:gridCol w:w="2126"/>
        <w:gridCol w:w="1701"/>
        <w:gridCol w:w="1559"/>
        <w:gridCol w:w="81"/>
      </w:tblGrid>
      <w:tr>
        <w:trPr>
          <w:gridAfter w:val="1"/>
          <w:wAfter w:w="81" w:type="dxa"/>
          <w:cantSplit/>
        </w:trPr>
        <w:tc>
          <w:tcPr>
            <w:tcW w:w="3819" w:type="dxa"/>
            <w:gridSpan w:val="2"/>
            <w:tcBorders>
              <w:bottom w:val="single" w:sz="4" w:space="0" w:color="auto"/>
            </w:tcBorders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>
        <w:trPr>
          <w:cantSplit/>
        </w:trPr>
        <w:tc>
          <w:tcPr>
            <w:tcW w:w="3677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auto"/>
            </w:tcBorders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 – odpisová skupina 6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 – odpisová skupina 5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Stroje, prístroje a zariadenia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6,67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16,67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>
        <w:trPr>
          <w:cantSplit/>
        </w:trPr>
        <w:tc>
          <w:tcPr>
            <w:tcW w:w="3677" w:type="dxa"/>
            <w:vAlign w:val="bottom"/>
          </w:tcPr>
          <w:p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Hmotný majetok, ktorého obstarávacia cena je väčšia ako 332 EUR a neprevýši 1 700 EUR</w:t>
            </w:r>
          </w:p>
        </w:tc>
        <w:tc>
          <w:tcPr>
            <w:tcW w:w="2268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01" w:type="dxa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640" w:type="dxa"/>
            <w:gridSpan w:val="2"/>
            <w:vAlign w:val="bottom"/>
          </w:tcPr>
          <w:p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>
      <w:pPr>
        <w:pStyle w:val="odstavec"/>
      </w:pPr>
    </w:p>
    <w:p>
      <w:pPr>
        <w:pStyle w:val="abc"/>
        <w:suppressAutoHyphens/>
      </w:pPr>
      <w:r>
        <w:t>Zásoby</w:t>
      </w:r>
    </w:p>
    <w:p>
      <w:pPr>
        <w:pStyle w:val="odstavec"/>
      </w:pPr>
      <w: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FIFO.</w:t>
      </w:r>
    </w:p>
    <w:p>
      <w:pPr>
        <w:pStyle w:val="odstavec"/>
      </w:pPr>
    </w:p>
    <w:p>
      <w:pPr>
        <w:pStyle w:val="odstavec"/>
      </w:pPr>
      <w:r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>
      <w:pPr>
        <w:pStyle w:val="odstavec"/>
      </w:pPr>
    </w:p>
    <w:p>
      <w:pPr>
        <w:pStyle w:val="odstavec"/>
      </w:pPr>
      <w:r>
        <w:t>Pre zabezpečenie vernejšieho a pravdivejšieho obrazu o stave zásob, spoločnosť k dátumu zostavenia účtovnej závierky zaúčtuje cenové odchýlky k stavu zásob výrobkov, ktoré sú na sklade k 30.06. Cenovú odchýlku tvorí rozdiel medzi kalkulovanou cenou, ktorou sa výrobky naskladňujú a skutočnou výrobnou cenou.</w:t>
      </w:r>
    </w:p>
    <w:p>
      <w:pPr>
        <w:pStyle w:val="odstavec"/>
      </w:pPr>
    </w:p>
    <w:p>
      <w:pPr>
        <w:pStyle w:val="odstavec"/>
      </w:pPr>
      <w:r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>
      <w:pPr>
        <w:pStyle w:val="odstavec"/>
      </w:pPr>
    </w:p>
    <w:p>
      <w:pPr>
        <w:pStyle w:val="odstavec"/>
      </w:pPr>
      <w:r>
        <w:t>Spoločnosť nettvoríla opravnú položku k zásobám podľa vnútropodnikovej smernice nasledovne:</w:t>
      </w:r>
    </w:p>
    <w:p>
      <w:pPr>
        <w:pStyle w:val="odstavec"/>
      </w:pPr>
    </w:p>
    <w:p>
      <w:pPr>
        <w:pStyle w:val="Kopfzeile"/>
        <w:numPr>
          <w:ilvl w:val="0"/>
          <w:numId w:val="7"/>
        </w:numPr>
        <w:tabs>
          <w:tab w:val="clear" w:pos="4536"/>
          <w:tab w:val="clear" w:pos="9072"/>
        </w:tabs>
        <w:ind w:hanging="25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.).</w:t>
      </w:r>
    </w:p>
    <w:p>
      <w:pPr>
        <w:pStyle w:val="odstavec"/>
      </w:pPr>
    </w:p>
    <w:p>
      <w:pPr>
        <w:pStyle w:val="abc"/>
        <w:suppressAutoHyphens/>
      </w:pPr>
      <w:r>
        <w:t>Pohľadávky</w:t>
      </w:r>
    </w:p>
    <w:p>
      <w:pPr>
        <w:pStyle w:val="odstavec"/>
      </w:pPr>
      <w:r>
        <w:t>Pohľadávky sa pri ich vzniku oceňujú ich menovitou hodnotou. Opravná položka sa vytvára k pochybným a nedobytným pohľadávkam, kde existuje riziko nevymožiteľnosti pohľadávok.</w:t>
      </w:r>
    </w:p>
    <w:p>
      <w:pPr>
        <w:pStyle w:val="odstavec"/>
      </w:pPr>
    </w:p>
    <w:p>
      <w:pPr>
        <w:pStyle w:val="odstavec"/>
      </w:pPr>
      <w: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>
      <w:pPr>
        <w:pStyle w:val="odstavec"/>
      </w:pPr>
    </w:p>
    <w:p>
      <w:pPr>
        <w:pStyle w:val="odstavec"/>
      </w:pPr>
      <w:r>
        <w:t>Spoločnosť tvorí opravnú položku k pohľadávkam podľa vnútropodnikovej smernice nasledovne:</w:t>
      </w:r>
    </w:p>
    <w:p>
      <w:pPr>
        <w:pStyle w:val="odstavec"/>
      </w:pPr>
    </w:p>
    <w:tbl>
      <w:tblPr>
        <w:tblW w:w="9261" w:type="dxa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5"/>
        <w:gridCol w:w="2856"/>
      </w:tblGrid>
      <w:tr>
        <w:tc>
          <w:tcPr>
            <w:tcW w:w="6405" w:type="dxa"/>
          </w:tcPr>
          <w:p>
            <w:pPr>
              <w:ind w:left="-7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Kritéria </w:t>
            </w:r>
          </w:p>
        </w:tc>
        <w:tc>
          <w:tcPr>
            <w:tcW w:w="2856" w:type="dxa"/>
          </w:tcPr>
          <w:p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Opravná položka v %</w:t>
            </w:r>
          </w:p>
        </w:tc>
      </w:tr>
      <w:tr>
        <w:tc>
          <w:tcPr>
            <w:tcW w:w="6405" w:type="dxa"/>
          </w:tcPr>
          <w:p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Pochybné a sporné pohľadávky </w:t>
            </w:r>
          </w:p>
          <w:p>
            <w:pPr>
              <w:ind w:left="-7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v konkurze</w:t>
            </w:r>
          </w:p>
        </w:tc>
        <w:tc>
          <w:tcPr>
            <w:tcW w:w="2856" w:type="dxa"/>
            <w:vAlign w:val="bottom"/>
          </w:tcPr>
          <w:p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  <w:p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</w:tbl>
    <w:p>
      <w:pPr>
        <w:pStyle w:val="odstavec"/>
      </w:pPr>
    </w:p>
    <w:p>
      <w:pPr>
        <w:pStyle w:val="abc"/>
        <w:suppressAutoHyphens/>
      </w:pPr>
      <w:r>
        <w:t>Finančné účty</w:t>
      </w:r>
    </w:p>
    <w:p>
      <w:pPr>
        <w:pStyle w:val="odstavec"/>
        <w:rPr>
          <w:color w:val="00B0F0"/>
        </w:rPr>
      </w:pPr>
      <w:r>
        <w:t>Finančné účty tvorí peňažná hotovosť a zostatky na bankových účtoch v ich menovitej hodnote, pričom riziko zmeny hodnoty tohto majetku je zanedbateľne nízke.</w:t>
      </w:r>
    </w:p>
    <w:p>
      <w:pPr>
        <w:pStyle w:val="odstavec"/>
      </w:pPr>
    </w:p>
    <w:p>
      <w:pPr>
        <w:pStyle w:val="abc"/>
        <w:suppressAutoHyphens/>
      </w:pPr>
      <w:r>
        <w:t>Náklady budúcich období a príjmy budúcich období</w:t>
      </w:r>
    </w:p>
    <w:p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>
      <w:pPr>
        <w:pStyle w:val="odstavec"/>
      </w:pPr>
    </w:p>
    <w:p>
      <w:pPr>
        <w:pStyle w:val="abc"/>
        <w:suppressAutoHyphens/>
      </w:pPr>
      <w:r>
        <w:t>Opravné položky</w:t>
      </w:r>
    </w:p>
    <w:p>
      <w:pPr>
        <w:pStyle w:val="odstavec"/>
      </w:pPr>
      <w: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>
      <w:pPr>
        <w:pStyle w:val="odstavec"/>
      </w:pPr>
    </w:p>
    <w:p>
      <w:pPr>
        <w:pStyle w:val="abc"/>
        <w:suppressAutoHyphens/>
      </w:pPr>
      <w:r>
        <w:t>Rezervy</w:t>
      </w:r>
    </w:p>
    <w:p>
      <w:pPr>
        <w:pStyle w:val="odstavec"/>
      </w:pPr>
      <w: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>
      <w:pPr>
        <w:pStyle w:val="odstavec"/>
      </w:pPr>
    </w:p>
    <w:p>
      <w:pPr>
        <w:pStyle w:val="odstavec"/>
      </w:pPr>
      <w: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>
      <w:pPr>
        <w:pStyle w:val="odstavec"/>
      </w:pPr>
    </w:p>
    <w:p>
      <w:pPr>
        <w:pStyle w:val="odstavec"/>
      </w:pPr>
      <w:r>
        <w:t>Rezerva na bonusy, rabaty, skontá a vrátenie kúpnej ceny pri reklamácii sa tvorí ako zníženie pôvodne dosiahnutých výnosov so súvzťažným zápisom v prospech účtu rezerv.</w:t>
      </w:r>
    </w:p>
    <w:p>
      <w:pPr>
        <w:pStyle w:val="odstavec"/>
      </w:pPr>
    </w:p>
    <w:p>
      <w:pPr>
        <w:pStyle w:val="odstavec"/>
      </w:pPr>
      <w:r>
        <w:t>Spoločnosť vytvorila rezervy na mzdové náklady, náklady súvisiace s obstaraním zásob, a nevyfakturované dodávky materiálov a služieb.</w:t>
      </w:r>
    </w:p>
    <w:p>
      <w:pPr>
        <w:pStyle w:val="odstavec"/>
      </w:pPr>
    </w:p>
    <w:p>
      <w:pPr>
        <w:pStyle w:val="abc"/>
        <w:suppressAutoHyphens/>
      </w:pPr>
      <w:r>
        <w:t>Záväzky</w:t>
      </w:r>
    </w:p>
    <w:p>
      <w:pPr>
        <w:pStyle w:val="odstavec"/>
      </w:pPr>
      <w: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>
      <w:pPr>
        <w:pStyle w:val="odstavec"/>
      </w:pPr>
    </w:p>
    <w:p>
      <w:pPr>
        <w:pStyle w:val="abc"/>
        <w:suppressAutoHyphens/>
      </w:pPr>
      <w:r>
        <w:t>Zamestnanecké požitky</w:t>
      </w:r>
    </w:p>
    <w:p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  <w:r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s ktorým vecne a časovo súvisia.</w:t>
      </w:r>
    </w:p>
    <w:p>
      <w:pPr>
        <w:pStyle w:val="ABC-paragrahinNotes"/>
        <w:suppressAutoHyphens/>
        <w:spacing w:after="0"/>
        <w:ind w:left="426"/>
        <w:rPr>
          <w:rFonts w:cs="Arial"/>
          <w:sz w:val="20"/>
          <w:lang w:val="sk-SK"/>
        </w:rPr>
      </w:pPr>
    </w:p>
    <w:p>
      <w:pPr>
        <w:pStyle w:val="odstavec"/>
      </w:pPr>
      <w:r>
        <w:t xml:space="preserve">Spoločnosť poskytuje zamestnanecké pôžitky v rozmedzí určenom Zákonníkom práce. </w:t>
      </w:r>
    </w:p>
    <w:p>
      <w:pPr>
        <w:pStyle w:val="odstavec"/>
      </w:pPr>
    </w:p>
    <w:p>
      <w:pPr>
        <w:pStyle w:val="odstavec"/>
      </w:pPr>
      <w:r>
        <w:t>Nadštandardné pôžitky pre zamestnancov sú dané Vnútropodnikovou smernicou. Spoločnosť podľa nej vypláca odmeny pri životných a pracovných jubileách a svadbách.</w:t>
      </w:r>
    </w:p>
    <w:p>
      <w:pPr>
        <w:pStyle w:val="odstavec"/>
      </w:pPr>
    </w:p>
    <w:p>
      <w:pPr>
        <w:pStyle w:val="abc"/>
        <w:suppressAutoHyphens/>
      </w:pPr>
      <w:r>
        <w:t>Splatná daň z príjmu</w:t>
      </w:r>
    </w:p>
    <w:p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 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>
      <w:pPr>
        <w:pStyle w:val="odstavec"/>
      </w:pPr>
    </w:p>
    <w:p>
      <w:pPr>
        <w:pStyle w:val="abc"/>
        <w:suppressAutoHyphens/>
      </w:pPr>
      <w:r>
        <w:t>Odložená daň z príjmu</w:t>
      </w:r>
    </w:p>
    <w:p>
      <w:pPr>
        <w:pStyle w:val="odstavec"/>
      </w:pPr>
      <w:r>
        <w:t>Odložená daň z príjmu vyplýva z:</w:t>
      </w:r>
    </w:p>
    <w:p>
      <w:pPr>
        <w:pStyle w:val="odstavec"/>
      </w:pPr>
    </w:p>
    <w:p>
      <w:pPr>
        <w:pStyle w:val="odstavec"/>
      </w:pPr>
      <w:r>
        <w:t>a)</w:t>
      </w:r>
      <w:r>
        <w:tab/>
        <w:t xml:space="preserve">rozdielov medzi účtovnou hodnotou majetku a účtovnou hodnotou záväzkov vykázanou v súvahe </w:t>
      </w:r>
      <w:r>
        <w:tab/>
        <w:t>a ich daňovou základňou,</w:t>
      </w:r>
    </w:p>
    <w:p>
      <w:pPr>
        <w:pStyle w:val="odstavec"/>
      </w:pPr>
      <w:r>
        <w:t>b)</w:t>
      </w:r>
      <w:r>
        <w:tab/>
        <w:t xml:space="preserve">možnosti umorovať daňovú stratu v budúcnosti, pod ktorou sa rozumie možnosť odpočítať daňovú </w:t>
      </w:r>
      <w:r>
        <w:tab/>
        <w:t>stratu od základu dane v budúcnosti,</w:t>
      </w:r>
    </w:p>
    <w:p>
      <w:pPr>
        <w:pStyle w:val="odstavec"/>
      </w:pPr>
      <w:r>
        <w:t>c)</w:t>
      </w:r>
      <w:r>
        <w:tab/>
        <w:t>možnosti previesť nevyužité daňové odpočty a iné daňové nároky do budúcich období.</w:t>
      </w:r>
    </w:p>
    <w:p>
      <w:pPr>
        <w:rPr>
          <w:rFonts w:ascii="Arial" w:hAnsi="Arial" w:cs="Arial"/>
          <w:bCs/>
          <w:iCs/>
          <w:sz w:val="20"/>
          <w:szCs w:val="20"/>
        </w:rPr>
      </w:pPr>
    </w:p>
    <w:p>
      <w:pPr>
        <w:pStyle w:val="odstavec"/>
      </w:pPr>
      <w:r>
        <w:t>Odložená daňová pohľadávka sa účtuje iba do takej výšky, do akej je pravdepodobné, že bude možné dočasné rozdiely vyrovnať voči budúcemu základu dane.</w:t>
      </w:r>
    </w:p>
    <w:p>
      <w:pPr>
        <w:pStyle w:val="odstavec"/>
      </w:pPr>
    </w:p>
    <w:p>
      <w:pPr>
        <w:pStyle w:val="odstavec"/>
      </w:pPr>
      <w:r>
        <w:t>Pri výpočte odloženej dane sa použije sadzba dane z príjmov, o ktorej sa predpokladá, že bude platiť v čase vyrovnania odloženej dane.</w:t>
      </w:r>
    </w:p>
    <w:p>
      <w:pPr>
        <w:pStyle w:val="odstavec"/>
      </w:pPr>
    </w:p>
    <w:p>
      <w:pPr>
        <w:pStyle w:val="abc"/>
        <w:suppressAutoHyphens/>
      </w:pPr>
      <w:r>
        <w:t>Výdavky budúcich období a výnosy budúcich období</w:t>
      </w:r>
    </w:p>
    <w:p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>
      <w:pPr>
        <w:pStyle w:val="odstavec"/>
      </w:pPr>
    </w:p>
    <w:p>
      <w:pPr>
        <w:pStyle w:val="abc"/>
        <w:suppressAutoHyphens/>
      </w:pPr>
      <w:r>
        <w:t>Leasing - neevidujeme</w:t>
      </w:r>
    </w:p>
    <w:p>
      <w:pPr>
        <w:pStyle w:val="odstavec"/>
      </w:pPr>
    </w:p>
    <w:p>
      <w:pPr>
        <w:pStyle w:val="abc"/>
        <w:suppressAutoHyphens/>
      </w:pPr>
      <w:r>
        <w:t>Cudzia mena</w:t>
      </w:r>
    </w:p>
    <w:p>
      <w:pPr>
        <w:pStyle w:val="odstavec"/>
      </w:pPr>
      <w:r>
        <w:t xml:space="preserve"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 </w:t>
      </w:r>
    </w:p>
    <w:p>
      <w:pPr>
        <w:pStyle w:val="odstavec"/>
      </w:pPr>
    </w:p>
    <w:p>
      <w:pPr>
        <w:pStyle w:val="abc"/>
        <w:suppressAutoHyphens/>
      </w:pPr>
      <w:r>
        <w:t>Vykazovanie výnosov</w:t>
      </w:r>
    </w:p>
    <w:p>
      <w:pPr>
        <w:pStyle w:val="odstavec"/>
      </w:pPr>
      <w: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>
      <w:pPr>
        <w:pStyle w:val="odstavec"/>
      </w:pPr>
    </w:p>
    <w:p>
      <w:pPr>
        <w:pStyle w:val="odstavec"/>
      </w:pPr>
      <w:r>
        <w:t>Výnosy z predaja služieb sa vykazujú v účtovnom období, v ktorom boli služby poskytnuté s ohľadom na stav rozpracovanosti danej služby. Tento je zistený na základe skutočne poskytnutých služieb ako pomernej časti k celkovému rozsahu dohodnutých služieb.</w:t>
      </w:r>
    </w:p>
    <w:p>
      <w:pPr>
        <w:pStyle w:val="odstavec"/>
      </w:pPr>
    </w:p>
    <w:p>
      <w:pPr>
        <w:pStyle w:val="odstavec"/>
        <w:sectPr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>
        <w:t>Výnosy sa vykazujú po odpočítaní dane z pridanej hodnoty, zliav a zrážok (rabaty, bonusy, skontá, dobropisy</w:t>
      </w:r>
      <w:bookmarkStart w:id="0" w:name="_GoBack"/>
      <w:bookmarkEnd w:id="0"/>
      <w:r>
        <w:t xml:space="preserve"> a pod.). Výnosové úroky sa účtujú rovnomerne v účtovných obdobiach, ktorých sa vecne </w:t>
      </w:r>
    </w:p>
    <w:p/>
    <w:sectPr>
      <w:headerReference w:type="default" r:id="rId10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</w:pPr>
  </w:p>
  <w:p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Poznámky Úč POD  3-01</w:t>
    </w:r>
    <w:r>
      <w:rPr>
        <w:rFonts w:ascii="Arial" w:hAnsi="Arial" w:cs="Arial"/>
        <w:sz w:val="20"/>
        <w:szCs w:val="20"/>
      </w:rPr>
      <w:tab/>
      <w:t>IČO: 35732024</w:t>
    </w:r>
  </w:p>
  <w:p>
    <w:pPr>
      <w:pStyle w:val="Kopfzeile"/>
      <w:pBdr>
        <w:bottom w:val="single" w:sz="4" w:space="1" w:color="auto"/>
      </w:pBdr>
      <w:tabs>
        <w:tab w:val="clear" w:pos="4536"/>
        <w:tab w:val="clear" w:pos="9072"/>
        <w:tab w:val="left" w:pos="7938"/>
      </w:tabs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>DIČ: 2020251222</w:t>
    </w:r>
  </w:p>
  <w:p>
    <w:pPr>
      <w:pStyle w:val="Kopfzeile"/>
      <w:rPr>
        <w:rFonts w:ascii="Arial" w:hAnsi="Arial" w:cs="Arial"/>
        <w:sz w:val="20"/>
        <w:szCs w:val="20"/>
      </w:rPr>
    </w:pPr>
  </w:p>
  <w:p>
    <w:pPr>
      <w:pStyle w:val="Kopfzeile"/>
      <w:rPr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  <w:rPr>
        <w:rFonts w:ascii="Arial" w:hAnsi="Arial" w:cs="Arial"/>
        <w:sz w:val="20"/>
        <w:szCs w:val="20"/>
      </w:rPr>
    </w:pPr>
  </w:p>
  <w:p>
    <w:pPr>
      <w:pStyle w:val="Kopfzeile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360B8"/>
    <w:multiLevelType w:val="multilevel"/>
    <w:tmpl w:val="7A822B4C"/>
    <w:lvl w:ilvl="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" w15:restartNumberingAfterBreak="0">
    <w:nsid w:val="32E954D3"/>
    <w:multiLevelType w:val="multilevel"/>
    <w:tmpl w:val="1DD4D4D6"/>
    <w:lvl w:ilvl="0">
      <w:start w:val="1"/>
      <w:numFmt w:val="upperLetter"/>
      <w:pStyle w:val="berschrift1"/>
      <w:lvlText w:val="%1."/>
      <w:lvlJc w:val="left"/>
      <w:pPr>
        <w:tabs>
          <w:tab w:val="num" w:pos="3686"/>
        </w:tabs>
        <w:ind w:left="3686" w:hanging="425"/>
      </w:pPr>
      <w:rPr>
        <w:rFonts w:hint="default"/>
      </w:rPr>
    </w:lvl>
    <w:lvl w:ilvl="1">
      <w:start w:val="1"/>
      <w:numFmt w:val="decimal"/>
      <w:pStyle w:val="berschrift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4225CF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BB6A569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FE77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0295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8A23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3233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30A5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1498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28CAF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AE1F19"/>
    <w:multiLevelType w:val="hybridMultilevel"/>
    <w:tmpl w:val="9E4E7BFE"/>
    <w:lvl w:ilvl="0" w:tplc="F762086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hint="default"/>
        <w:sz w:val="24"/>
      </w:rPr>
    </w:lvl>
    <w:lvl w:ilvl="1" w:tplc="E88E46A2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450C293A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1821AFE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  <w:sz w:val="24"/>
      </w:rPr>
    </w:lvl>
    <w:lvl w:ilvl="4" w:tplc="DB8048B2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513CD49E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58647F86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D2C0C662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1D32645C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F90A99A8">
      <w:start w:val="1"/>
      <w:numFmt w:val="decimal"/>
      <w:pStyle w:val="berschrift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B73BD2"/>
    <w:multiLevelType w:val="hybridMultilevel"/>
    <w:tmpl w:val="343E978C"/>
    <w:lvl w:ilvl="0" w:tplc="AF9ED9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0326C7"/>
    <w:multiLevelType w:val="hybridMultilevel"/>
    <w:tmpl w:val="A3C42076"/>
    <w:lvl w:ilvl="0" w:tplc="4A74B3B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5968C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AACC6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52E6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27097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F8C7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2548C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4896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90B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3"/>
  </w:num>
  <w:num w:numId="6">
    <w:abstractNumId w:val="0"/>
  </w:num>
  <w:num w:numId="7">
    <w:abstractNumId w:val="5"/>
  </w:num>
  <w:num w:numId="8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5:docId w15:val="{B55559B1-3E06-4496-BD56-35CA2809D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autoRedefine/>
    <w:qFormat/>
    <w:pPr>
      <w:numPr>
        <w:numId w:val="1"/>
      </w:numPr>
      <w:tabs>
        <w:tab w:val="clear" w:pos="3686"/>
        <w:tab w:val="num" w:pos="422"/>
      </w:tabs>
      <w:suppressAutoHyphens/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berschrift2">
    <w:name w:val="heading 2"/>
    <w:basedOn w:val="Standard"/>
    <w:next w:val="Standard"/>
    <w:autoRedefine/>
    <w:qFormat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berschrift3">
    <w:name w:val="heading 3"/>
    <w:basedOn w:val="Standard"/>
    <w:next w:val="Standard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b/>
      <w:i/>
      <w:sz w:val="22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sz w:val="22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sz w:val="28"/>
    </w:rPr>
  </w:style>
  <w:style w:type="paragraph" w:styleId="berschrift7">
    <w:name w:val="heading 7"/>
    <w:basedOn w:val="Standard"/>
    <w:next w:val="Standard"/>
    <w:qFormat/>
    <w:pPr>
      <w:keepNext/>
      <w:ind w:left="426"/>
      <w:outlineLvl w:val="6"/>
    </w:pPr>
    <w:rPr>
      <w:b/>
      <w:sz w:val="20"/>
    </w:rPr>
  </w:style>
  <w:style w:type="paragraph" w:styleId="berschrift8">
    <w:name w:val="heading 8"/>
    <w:basedOn w:val="Standard"/>
    <w:next w:val="Standard"/>
    <w:qFormat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berschrift9">
    <w:name w:val="heading 9"/>
    <w:basedOn w:val="Standard"/>
    <w:next w:val="Standard"/>
    <w:qFormat/>
    <w:pPr>
      <w:keepNext/>
      <w:jc w:val="center"/>
      <w:outlineLvl w:val="8"/>
    </w:pPr>
    <w:rPr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customStyle="1" w:styleId="1Heading">
    <w:name w:val="1 Heading"/>
    <w:basedOn w:val="Standard"/>
    <w:autoRedefine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Standard"/>
    <w:rPr>
      <w:lang w:val="en-GB"/>
    </w:rPr>
  </w:style>
  <w:style w:type="paragraph" w:customStyle="1" w:styleId="odstavec">
    <w:name w:val="odstavec"/>
    <w:basedOn w:val="Standard"/>
    <w:link w:val="odstavecChar"/>
    <w:autoRedefine/>
    <w:pPr>
      <w:suppressAutoHyphens/>
      <w:ind w:left="426" w:right="-79" w:hanging="7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Standard"/>
    <w:autoRedefine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Standard"/>
    <w:autoRedefine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Standard"/>
    <w:autoRedefine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e2">
    <w:name w:val="List 2"/>
    <w:basedOn w:val="Standard"/>
    <w:pPr>
      <w:ind w:left="566" w:hanging="283"/>
    </w:pPr>
  </w:style>
  <w:style w:type="paragraph" w:customStyle="1" w:styleId="Clanok">
    <w:name w:val="Clanok"/>
    <w:basedOn w:val="Standard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Standard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e3">
    <w:name w:val="List 3"/>
    <w:basedOn w:val="Standard"/>
    <w:pPr>
      <w:ind w:left="849" w:hanging="283"/>
    </w:pPr>
  </w:style>
  <w:style w:type="paragraph" w:styleId="Liste4">
    <w:name w:val="List 4"/>
    <w:basedOn w:val="Standard"/>
    <w:pPr>
      <w:ind w:left="1132" w:hanging="283"/>
    </w:pPr>
  </w:style>
  <w:style w:type="paragraph" w:styleId="Liste5">
    <w:name w:val="List 5"/>
    <w:basedOn w:val="Standard"/>
    <w:pPr>
      <w:ind w:left="1415" w:hanging="283"/>
    </w:pPr>
  </w:style>
  <w:style w:type="paragraph" w:styleId="Aufzhlungszeichen2">
    <w:name w:val="List Bullet 2"/>
    <w:basedOn w:val="Standard"/>
    <w:pPr>
      <w:ind w:left="454" w:hanging="170"/>
    </w:pPr>
  </w:style>
  <w:style w:type="paragraph" w:styleId="Aufzhlungszeichen3">
    <w:name w:val="List Bullet 3"/>
    <w:basedOn w:val="Standard"/>
    <w:pPr>
      <w:ind w:left="849" w:hanging="283"/>
    </w:pPr>
  </w:style>
  <w:style w:type="paragraph" w:styleId="Aufzhlungszeichen4">
    <w:name w:val="List Bullet 4"/>
    <w:basedOn w:val="Standard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Textkrper"/>
    <w:pPr>
      <w:spacing w:before="40" w:after="0"/>
    </w:pPr>
  </w:style>
  <w:style w:type="paragraph" w:styleId="Textkrper">
    <w:name w:val="Body Text"/>
    <w:basedOn w:val="Standard"/>
    <w:link w:val="TextkrperZchn"/>
    <w:pPr>
      <w:spacing w:after="120"/>
    </w:pPr>
  </w:style>
  <w:style w:type="paragraph" w:customStyle="1" w:styleId="Tunstred">
    <w:name w:val="Tučný stred"/>
    <w:basedOn w:val="Standard"/>
    <w:pPr>
      <w:spacing w:before="60"/>
      <w:jc w:val="center"/>
    </w:pPr>
    <w:rPr>
      <w:b/>
      <w:sz w:val="20"/>
    </w:rPr>
  </w:style>
  <w:style w:type="paragraph" w:styleId="Textkrper-Zeileneinzug">
    <w:name w:val="Body Text Indent"/>
    <w:basedOn w:val="Standard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styleId="Textkrper-Einzug2">
    <w:name w:val="Body Text Indent 2"/>
    <w:basedOn w:val="Standard"/>
    <w:pPr>
      <w:spacing w:before="60"/>
      <w:ind w:firstLine="720"/>
    </w:pPr>
  </w:style>
  <w:style w:type="paragraph" w:styleId="Textkrper2">
    <w:name w:val="Body Text 2"/>
    <w:basedOn w:val="Standard"/>
    <w:rPr>
      <w:b/>
      <w:sz w:val="28"/>
    </w:rPr>
  </w:style>
  <w:style w:type="paragraph" w:styleId="Textkrper-Einzug3">
    <w:name w:val="Body Text Indent 3"/>
    <w:basedOn w:val="Standard"/>
    <w:pPr>
      <w:ind w:firstLine="720"/>
      <w:jc w:val="both"/>
    </w:pPr>
  </w:style>
  <w:style w:type="paragraph" w:styleId="Textkrper3">
    <w:name w:val="Body Text 3"/>
    <w:basedOn w:val="Standard"/>
    <w:pPr>
      <w:spacing w:after="120"/>
    </w:pPr>
    <w:rPr>
      <w:sz w:val="16"/>
      <w:szCs w:val="16"/>
    </w:rPr>
  </w:style>
  <w:style w:type="paragraph" w:customStyle="1" w:styleId="lines0">
    <w:name w:val="line_s"/>
    <w:basedOn w:val="Standard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Standard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Standard"/>
    <w:autoRedefine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Standard"/>
    <w:autoRedefine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Standard"/>
    <w:autoRedefine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Standard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Standard"/>
    <w:autoRedefine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Standard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Standard"/>
    <w:autoRedefine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Standard"/>
    <w:autoRedefine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Standard"/>
    <w:autoRedefine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Standard"/>
    <w:autoRedefine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NurText"/>
    <w:autoRedefine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NurText">
    <w:name w:val="Plain Text"/>
    <w:basedOn w:val="Standard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berschrift3"/>
    <w:autoRedefine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berschrift3"/>
    <w:autoRedefine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Standard"/>
    <w:autoRedefine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Standard"/>
    <w:autoRedefine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Standard"/>
    <w:autoRedefine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Textkrper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Standard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Standard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berschrift8"/>
    <w:autoRedefine/>
    <w:pPr>
      <w:numPr>
        <w:numId w:val="0"/>
      </w:numPr>
      <w:tabs>
        <w:tab w:val="num" w:pos="426"/>
      </w:tabs>
      <w:ind w:left="426" w:hanging="426"/>
    </w:pPr>
  </w:style>
  <w:style w:type="paragraph" w:styleId="Liste">
    <w:name w:val="List"/>
    <w:basedOn w:val="Standard"/>
    <w:pPr>
      <w:ind w:left="283" w:hanging="283"/>
    </w:pPr>
  </w:style>
  <w:style w:type="paragraph" w:styleId="Titel">
    <w:name w:val="Title"/>
    <w:basedOn w:val="Standard"/>
    <w:link w:val="TitelZchn"/>
    <w:autoRedefine/>
    <w:uiPriority w:val="99"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Standard"/>
    <w:autoRedefine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Standard"/>
    <w:autoRedefine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Standard"/>
    <w:autoRedefine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unotentext">
    <w:name w:val="footnote text"/>
    <w:basedOn w:val="Standard"/>
    <w:semiHidden/>
    <w:rPr>
      <w:sz w:val="20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Standard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Absatz-Standardschriftart"/>
    <w:link w:val="odstavec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Absatz-Standardschriftart"/>
    <w:link w:val="ABC-paragrahinNotes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Textkrper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Standard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Kommentarzeichen">
    <w:name w:val="annotation reference"/>
    <w:basedOn w:val="Absatz-Standardschriftart"/>
    <w:rPr>
      <w:sz w:val="16"/>
      <w:szCs w:val="16"/>
    </w:rPr>
  </w:style>
  <w:style w:type="paragraph" w:styleId="Kommentartext">
    <w:name w:val="annotation text"/>
    <w:basedOn w:val="Standard"/>
    <w:link w:val="KommentartextZchn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</w:style>
  <w:style w:type="paragraph" w:styleId="Kommentarthema">
    <w:name w:val="annotation subject"/>
    <w:basedOn w:val="Kommentartext"/>
    <w:next w:val="Kommentartext"/>
    <w:link w:val="KommentarthemaZchn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Pr>
      <w:b/>
      <w:bCs/>
    </w:rPr>
  </w:style>
  <w:style w:type="character" w:customStyle="1" w:styleId="TitelZchn">
    <w:name w:val="Titel Zchn"/>
    <w:basedOn w:val="Absatz-Standardschriftart"/>
    <w:link w:val="Titel"/>
    <w:uiPriority w:val="99"/>
    <w:locked/>
    <w:rPr>
      <w:rFonts w:cs="Arial"/>
      <w:b/>
      <w:bCs/>
      <w:kern w:val="28"/>
      <w:sz w:val="24"/>
      <w:szCs w:val="32"/>
    </w:rPr>
  </w:style>
  <w:style w:type="paragraph" w:styleId="Dokumentstruktur">
    <w:name w:val="Document Map"/>
    <w:basedOn w:val="Standard"/>
    <w:link w:val="DokumentstrukturZchn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Pr>
      <w:rFonts w:ascii="Tahoma" w:hAnsi="Tahoma" w:cs="Tahoma"/>
      <w:sz w:val="16"/>
      <w:szCs w:val="16"/>
    </w:rPr>
  </w:style>
  <w:style w:type="character" w:customStyle="1" w:styleId="KopfzeileZchn">
    <w:name w:val="Kopfzeile Zchn"/>
    <w:basedOn w:val="Absatz-Standardschriftart"/>
    <w:link w:val="Kopfzeile"/>
    <w:uiPriority w:val="99"/>
    <w:rPr>
      <w:sz w:val="24"/>
      <w:szCs w:val="24"/>
    </w:rPr>
  </w:style>
  <w:style w:type="character" w:customStyle="1" w:styleId="TextkrperZchn">
    <w:name w:val="Textkörper Zchn"/>
    <w:basedOn w:val="Absatz-Standardschriftart"/>
    <w:link w:val="Textkrper"/>
    <w:rPr>
      <w:sz w:val="24"/>
      <w:szCs w:val="24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character" w:customStyle="1" w:styleId="FuzeileZchn">
    <w:name w:val="Fußzeile Zchn"/>
    <w:basedOn w:val="Absatz-Standardschriftart"/>
    <w:link w:val="Fuzeile"/>
    <w:uiPriority w:val="9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5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0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1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9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532340-0C87-49BB-97E3-D4B6069B2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1815</Words>
  <Characters>10882</Characters>
  <Application>Microsoft Office Word</Application>
  <DocSecurity>0</DocSecurity>
  <Lines>90</Lines>
  <Paragraphs>25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12672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KHATER, Marta</cp:lastModifiedBy>
  <cp:revision>2</cp:revision>
  <cp:lastPrinted>2019-09-03T10:44:00Z</cp:lastPrinted>
  <dcterms:created xsi:type="dcterms:W3CDTF">2024-06-27T13:48:00Z</dcterms:created>
  <dcterms:modified xsi:type="dcterms:W3CDTF">2024-06-27T13:48:00Z</dcterms:modified>
</cp:coreProperties>
</file>