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Článok I. – Všeobecné informácie</w:t>
      </w:r>
    </w:p>
    <w:p w:rsidR="00A920EB" w:rsidRDefault="00A920EB">
      <w:pPr>
        <w:pStyle w:val="Standard"/>
        <w:spacing w:after="0" w:line="360" w:lineRule="auto"/>
        <w:jc w:val="center"/>
        <w:rPr>
          <w:rFonts w:ascii="Calibri Light" w:hAnsi="Calibri Light"/>
          <w:b/>
          <w:sz w:val="24"/>
          <w:szCs w:val="20"/>
        </w:rPr>
      </w:pPr>
    </w:p>
    <w:p w:rsidR="00A920EB" w:rsidRDefault="002E66A4">
      <w:pPr>
        <w:pStyle w:val="Odsekzoznamu"/>
        <w:spacing w:after="0" w:line="240" w:lineRule="auto"/>
        <w:ind w:left="0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Všeobecné údaje</w:t>
      </w:r>
    </w:p>
    <w:tbl>
      <w:tblPr>
        <w:tblW w:w="1062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44"/>
        <w:gridCol w:w="5383"/>
      </w:tblGrid>
      <w:tr w:rsidR="00A920EB">
        <w:trPr>
          <w:trHeight w:val="439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Meno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Urbariát, pozemkové spoločenstvo Bodiná</w:t>
            </w:r>
          </w:p>
        </w:tc>
      </w:tr>
      <w:tr w:rsidR="00A920EB">
        <w:trPr>
          <w:trHeight w:val="440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Sídlo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Bodiná 69</w:t>
            </w:r>
          </w:p>
        </w:tc>
      </w:tr>
      <w:tr w:rsidR="00A920EB">
        <w:trPr>
          <w:trHeight w:val="439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Právna forma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D47A9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272</w:t>
            </w:r>
            <w:r w:rsidR="002E66A4">
              <w:rPr>
                <w:rFonts w:ascii="Calibri Light" w:hAnsi="Calibri Light"/>
                <w:sz w:val="24"/>
                <w:szCs w:val="24"/>
              </w:rPr>
              <w:t xml:space="preserve"> Pozemkové spoločenstvo</w:t>
            </w:r>
          </w:p>
        </w:tc>
      </w:tr>
      <w:tr w:rsidR="00A920EB">
        <w:trPr>
          <w:trHeight w:val="440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Dátum vzniku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12.január 1993</w:t>
            </w:r>
          </w:p>
        </w:tc>
      </w:tr>
      <w:tr w:rsidR="00A920EB">
        <w:trPr>
          <w:trHeight w:val="439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Predmet činnosti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Lesné hospodárstvo</w:t>
            </w:r>
          </w:p>
        </w:tc>
      </w:tr>
      <w:tr w:rsidR="00A920EB">
        <w:trPr>
          <w:trHeight w:val="440"/>
          <w:jc w:val="center"/>
        </w:trPr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Účtovné obdobie</w:t>
            </w:r>
          </w:p>
        </w:tc>
        <w:tc>
          <w:tcPr>
            <w:tcW w:w="5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A1FCC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01-12/2023</w:t>
            </w:r>
          </w:p>
        </w:tc>
      </w:tr>
    </w:tbl>
    <w:p w:rsidR="00A920EB" w:rsidRDefault="00A920EB">
      <w:pPr>
        <w:pStyle w:val="Standard"/>
        <w:spacing w:after="0" w:line="240" w:lineRule="auto"/>
        <w:rPr>
          <w:rFonts w:ascii="Calibri Light" w:hAnsi="Calibri Light"/>
          <w:sz w:val="24"/>
          <w:szCs w:val="20"/>
        </w:rPr>
      </w:pPr>
    </w:p>
    <w:p w:rsidR="00A920EB" w:rsidRDefault="002E66A4">
      <w:pPr>
        <w:pStyle w:val="Standard"/>
        <w:spacing w:after="0" w:line="240" w:lineRule="auto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Orgány spoločenstva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b/>
          <w:sz w:val="24"/>
          <w:szCs w:val="24"/>
          <w:u w:val="single"/>
        </w:rPr>
      </w:pPr>
      <w:r>
        <w:rPr>
          <w:rFonts w:ascii="Calibri Light" w:hAnsi="Calibri Light"/>
          <w:b/>
          <w:sz w:val="24"/>
          <w:szCs w:val="24"/>
          <w:u w:val="single"/>
        </w:rPr>
        <w:t>Zhromaždenie: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Najvyšší orgán spoločenstva. Skladá sa zo všetkých podielnikov Urbariátu.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b/>
          <w:sz w:val="24"/>
          <w:szCs w:val="24"/>
          <w:u w:val="single"/>
        </w:rPr>
      </w:pPr>
      <w:r>
        <w:rPr>
          <w:rFonts w:ascii="Calibri Light" w:hAnsi="Calibri Light"/>
          <w:b/>
          <w:sz w:val="24"/>
          <w:szCs w:val="24"/>
          <w:u w:val="single"/>
        </w:rPr>
        <w:t>Dozorná rada: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Kováčik Justín – predseda dozornej rady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Pavlík Stanislav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Bc. Brveník Juraj</w:t>
      </w:r>
      <w:bookmarkStart w:id="0" w:name="_GoBack"/>
      <w:bookmarkEnd w:id="0"/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b/>
          <w:sz w:val="24"/>
          <w:szCs w:val="24"/>
          <w:u w:val="single"/>
        </w:rPr>
      </w:pPr>
      <w:r>
        <w:rPr>
          <w:rFonts w:ascii="Calibri Light" w:hAnsi="Calibri Light"/>
          <w:b/>
          <w:sz w:val="24"/>
          <w:szCs w:val="24"/>
          <w:u w:val="single"/>
        </w:rPr>
        <w:t>Členovia výboru: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Boško František – predseda výboru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Boško Juraj – pokladník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Kuric Ladislav – hospodár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Čelko Milan – tajomník</w:t>
      </w:r>
    </w:p>
    <w:p w:rsidR="00A920EB" w:rsidRDefault="002E66A4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Ing. Boško Jaroslav</w:t>
      </w:r>
    </w:p>
    <w:p w:rsidR="00A920EB" w:rsidRDefault="00A920EB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</w:p>
    <w:p w:rsidR="00A920EB" w:rsidRDefault="00A920EB">
      <w:pPr>
        <w:pStyle w:val="Standard"/>
        <w:spacing w:after="0" w:line="240" w:lineRule="auto"/>
        <w:rPr>
          <w:rFonts w:ascii="Calibri Light" w:hAnsi="Calibri Light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"/>
          <w:b/>
          <w:color w:val="000000"/>
          <w:sz w:val="24"/>
          <w:szCs w:val="24"/>
        </w:rPr>
      </w:pPr>
      <w:r>
        <w:rPr>
          <w:rFonts w:ascii="Calibri Light" w:hAnsi="Calibri Light" w:cs="Arial"/>
          <w:b/>
          <w:color w:val="000000"/>
          <w:sz w:val="24"/>
          <w:szCs w:val="24"/>
        </w:rPr>
        <w:t>Test veľkostnej skupiny účtovnej jednotky</w:t>
      </w:r>
    </w:p>
    <w:tbl>
      <w:tblPr>
        <w:tblW w:w="1048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3"/>
        <w:gridCol w:w="3021"/>
        <w:gridCol w:w="3731"/>
      </w:tblGrid>
      <w:tr w:rsidR="00A920EB">
        <w:trPr>
          <w:jc w:val="center"/>
        </w:trPr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A920EB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b/>
                <w:sz w:val="24"/>
                <w:szCs w:val="24"/>
              </w:rPr>
            </w:pPr>
            <w:r>
              <w:rPr>
                <w:rFonts w:ascii="Calibri Light" w:hAnsi="Calibri Light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20EB">
        <w:trPr>
          <w:jc w:val="center"/>
        </w:trPr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Aktíva netto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55EE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15 082</w:t>
            </w:r>
            <w:r w:rsidR="002E66A4">
              <w:rPr>
                <w:rFonts w:ascii="Calibri Light" w:hAnsi="Calibri Light"/>
                <w:sz w:val="24"/>
                <w:szCs w:val="24"/>
              </w:rPr>
              <w:t xml:space="preserve"> €</w:t>
            </w:r>
          </w:p>
        </w:tc>
        <w:tc>
          <w:tcPr>
            <w:tcW w:w="3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D47A9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2</w:t>
            </w:r>
            <w:r w:rsidR="00DF4697">
              <w:rPr>
                <w:rFonts w:ascii="Calibri Light" w:hAnsi="Calibri Light"/>
                <w:sz w:val="24"/>
                <w:szCs w:val="24"/>
              </w:rPr>
              <w:t>0 736</w:t>
            </w:r>
            <w:r w:rsidR="002E66A4">
              <w:rPr>
                <w:rFonts w:ascii="Calibri Light" w:hAnsi="Calibri Light"/>
                <w:sz w:val="24"/>
                <w:szCs w:val="24"/>
              </w:rPr>
              <w:t xml:space="preserve"> €</w:t>
            </w:r>
          </w:p>
        </w:tc>
      </w:tr>
      <w:tr w:rsidR="00A920EB">
        <w:trPr>
          <w:jc w:val="center"/>
        </w:trPr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Čistý obrat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55EE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17 007</w:t>
            </w:r>
            <w:r w:rsidR="002E66A4">
              <w:rPr>
                <w:rFonts w:ascii="Calibri Light" w:hAnsi="Calibri Light"/>
                <w:sz w:val="24"/>
                <w:szCs w:val="24"/>
              </w:rPr>
              <w:t xml:space="preserve"> €</w:t>
            </w:r>
          </w:p>
        </w:tc>
        <w:tc>
          <w:tcPr>
            <w:tcW w:w="3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DF4697" w:rsidP="00DF4697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24 486</w:t>
            </w:r>
            <w:r w:rsidR="002E66A4">
              <w:rPr>
                <w:rFonts w:ascii="Calibri Light" w:hAnsi="Calibri Light"/>
                <w:sz w:val="24"/>
                <w:szCs w:val="24"/>
              </w:rPr>
              <w:t xml:space="preserve"> €</w:t>
            </w:r>
          </w:p>
        </w:tc>
      </w:tr>
      <w:tr w:rsidR="00A920EB">
        <w:trPr>
          <w:jc w:val="center"/>
        </w:trPr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Počet zamestnancov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8</w:t>
            </w:r>
          </w:p>
        </w:tc>
        <w:tc>
          <w:tcPr>
            <w:tcW w:w="3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8</w:t>
            </w:r>
          </w:p>
        </w:tc>
      </w:tr>
      <w:tr w:rsidR="00A920EB">
        <w:trPr>
          <w:jc w:val="center"/>
        </w:trPr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Prepočítaný počet zamestnancov</w:t>
            </w:r>
          </w:p>
        </w:tc>
        <w:tc>
          <w:tcPr>
            <w:tcW w:w="30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8</w:t>
            </w:r>
          </w:p>
        </w:tc>
        <w:tc>
          <w:tcPr>
            <w:tcW w:w="3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8</w:t>
            </w:r>
          </w:p>
        </w:tc>
      </w:tr>
    </w:tbl>
    <w:p w:rsidR="00A920EB" w:rsidRDefault="002E66A4">
      <w:pPr>
        <w:pStyle w:val="Standard"/>
        <w:spacing w:after="0" w:line="360" w:lineRule="auto"/>
        <w:rPr>
          <w:rFonts w:ascii="Calibri Light" w:hAnsi="Calibri Light"/>
          <w:b/>
          <w:sz w:val="24"/>
          <w:szCs w:val="24"/>
          <w:u w:val="single"/>
        </w:rPr>
      </w:pPr>
      <w:r>
        <w:rPr>
          <w:rFonts w:ascii="Calibri Light" w:hAnsi="Calibri Light"/>
          <w:b/>
          <w:sz w:val="24"/>
          <w:szCs w:val="24"/>
          <w:u w:val="single"/>
        </w:rPr>
        <w:t>Komentár:</w:t>
      </w:r>
    </w:p>
    <w:p w:rsidR="00A920EB" w:rsidRDefault="002E66A4">
      <w:pPr>
        <w:pStyle w:val="Standard"/>
        <w:spacing w:after="0" w:line="360" w:lineRule="auto"/>
        <w:jc w:val="both"/>
      </w:pPr>
      <w:r>
        <w:rPr>
          <w:rFonts w:ascii="Calibri Light" w:hAnsi="Calibri Light"/>
          <w:sz w:val="24"/>
          <w:szCs w:val="24"/>
        </w:rPr>
        <w:t xml:space="preserve">UJ spĺňa veľkostné podmienky na zatriedenie do veľkostnej skupiny – </w:t>
      </w:r>
      <w:r>
        <w:rPr>
          <w:rFonts w:ascii="Calibri Light" w:hAnsi="Calibri Light"/>
          <w:b/>
          <w:bCs/>
          <w:sz w:val="24"/>
          <w:szCs w:val="24"/>
        </w:rPr>
        <w:t xml:space="preserve">mikro účtovná jednotka, </w:t>
      </w:r>
      <w:r>
        <w:rPr>
          <w:rFonts w:ascii="Calibri Light" w:hAnsi="Calibri Light"/>
          <w:sz w:val="24"/>
          <w:szCs w:val="24"/>
        </w:rPr>
        <w:t>preto zostavuje účtovnú závierku podľa metodiky pre túto veľkostnú skupinu (Opatrenie č.MF/23378/2014-74).</w:t>
      </w:r>
    </w:p>
    <w:p w:rsidR="00A920EB" w:rsidRDefault="00A920EB">
      <w:pPr>
        <w:pStyle w:val="Standard"/>
        <w:spacing w:after="0" w:line="360" w:lineRule="auto"/>
        <w:jc w:val="center"/>
        <w:rPr>
          <w:rFonts w:ascii="Calibri Light" w:hAnsi="Calibri Light"/>
          <w:b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/>
          <w:b/>
          <w:sz w:val="24"/>
          <w:szCs w:val="24"/>
        </w:rPr>
      </w:pPr>
      <w:r>
        <w:rPr>
          <w:rFonts w:ascii="Calibri Light" w:hAnsi="Calibri Light"/>
          <w:b/>
          <w:sz w:val="24"/>
          <w:szCs w:val="24"/>
        </w:rPr>
        <w:t>Údaje o konsolidovanom celku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/>
          <w:sz w:val="24"/>
          <w:szCs w:val="24"/>
        </w:rPr>
      </w:pPr>
      <w:r>
        <w:rPr>
          <w:rFonts w:ascii="Calibri Light" w:hAnsi="Calibri Light"/>
          <w:sz w:val="24"/>
          <w:szCs w:val="24"/>
        </w:rPr>
        <w:t>Spoločnosť sa nezahŕňa do žiadnej konsolidovanej účtovnej závierky.</w:t>
      </w:r>
    </w:p>
    <w:p w:rsidR="00A920EB" w:rsidRDefault="00A920EB">
      <w:pPr>
        <w:pStyle w:val="Standard"/>
        <w:spacing w:after="0" w:line="360" w:lineRule="auto"/>
        <w:rPr>
          <w:rFonts w:ascii="Calibri Light" w:hAnsi="Calibri Light"/>
          <w:sz w:val="24"/>
          <w:szCs w:val="24"/>
        </w:rPr>
      </w:pPr>
    </w:p>
    <w:p w:rsidR="00A920EB" w:rsidRDefault="00A920EB">
      <w:pPr>
        <w:pStyle w:val="Standard"/>
        <w:spacing w:after="0" w:line="360" w:lineRule="auto"/>
        <w:rPr>
          <w:rFonts w:ascii="Calibri Light" w:hAnsi="Calibri Light"/>
          <w:sz w:val="24"/>
          <w:szCs w:val="24"/>
        </w:rPr>
      </w:pPr>
    </w:p>
    <w:p w:rsidR="00A920EB" w:rsidRDefault="00A920EB">
      <w:pPr>
        <w:pStyle w:val="Standard"/>
        <w:spacing w:after="0" w:line="360" w:lineRule="auto"/>
        <w:rPr>
          <w:rFonts w:ascii="Calibri Light" w:hAnsi="Calibri Light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-Bold"/>
          <w:b/>
          <w:bCs/>
          <w:sz w:val="24"/>
          <w:szCs w:val="24"/>
        </w:rPr>
      </w:pPr>
      <w:r>
        <w:rPr>
          <w:rFonts w:ascii="Calibri Light" w:hAnsi="Calibri Light" w:cs="ArialNarrow-Bold"/>
          <w:b/>
          <w:bCs/>
          <w:sz w:val="24"/>
          <w:szCs w:val="24"/>
        </w:rPr>
        <w:lastRenderedPageBreak/>
        <w:t>Článok II - Informácie o prijatých postupoch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Účtovná jednotka zostavuje účtovnú závierku za predpokladu, že bude nepretržite pokračovať vo svojej činnosti.</w:t>
      </w:r>
    </w:p>
    <w:p w:rsidR="00A920EB" w:rsidRDefault="00A920EB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t>Spôsob oceňovania jednotlivých položiek majetku a záväzkov podľa § 25 Zákona o účtovníctve</w:t>
      </w:r>
    </w:p>
    <w:tbl>
      <w:tblPr>
        <w:tblW w:w="104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40"/>
        <w:gridCol w:w="5240"/>
      </w:tblGrid>
      <w:tr w:rsidR="00A920EB"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Názov položky</w:t>
            </w:r>
          </w:p>
        </w:tc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Spôsob oceňovania</w:t>
            </w:r>
          </w:p>
        </w:tc>
      </w:tr>
      <w:tr w:rsidR="00A920EB"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Peňažné prostriedky</w:t>
            </w:r>
          </w:p>
        </w:tc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Menovitá hodnota</w:t>
            </w:r>
          </w:p>
        </w:tc>
      </w:tr>
      <w:tr w:rsidR="00A920EB"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Pohľadávky</w:t>
            </w:r>
          </w:p>
        </w:tc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Menovitá hodnota</w:t>
            </w:r>
          </w:p>
        </w:tc>
      </w:tr>
      <w:tr w:rsidR="00A920EB"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Záväzky</w:t>
            </w:r>
          </w:p>
        </w:tc>
        <w:tc>
          <w:tcPr>
            <w:tcW w:w="52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Menovitá hodnota</w:t>
            </w:r>
          </w:p>
        </w:tc>
      </w:tr>
    </w:tbl>
    <w:p w:rsidR="00A920EB" w:rsidRDefault="00A920EB">
      <w:pPr>
        <w:pStyle w:val="Standard"/>
        <w:spacing w:after="0" w:line="360" w:lineRule="auto"/>
        <w:rPr>
          <w:rFonts w:ascii="Calibri Light" w:hAnsi="Calibri Light" w:cs="ArialNarrow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Účtovná jednotka nie je príjemcom dotácie.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Účtovná jednotka neúčtovala žiadne opravy chýb minulých účtovných období v bežnom účtovnom období.</w:t>
      </w:r>
    </w:p>
    <w:p w:rsidR="00A920EB" w:rsidRDefault="00A920EB">
      <w:pPr>
        <w:pStyle w:val="Standard"/>
        <w:spacing w:after="0" w:line="360" w:lineRule="auto"/>
        <w:rPr>
          <w:rFonts w:ascii="Calibri Light" w:hAnsi="Calibri Light" w:cs="ArialNarrow-Bold"/>
          <w:b/>
          <w:bCs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-Bold"/>
          <w:b/>
          <w:bCs/>
          <w:sz w:val="24"/>
          <w:szCs w:val="24"/>
        </w:rPr>
      </w:pPr>
      <w:r>
        <w:rPr>
          <w:rFonts w:ascii="Calibri Light" w:hAnsi="Calibri Light" w:cs="ArialNarrow-Bold"/>
          <w:b/>
          <w:bCs/>
          <w:sz w:val="24"/>
          <w:szCs w:val="24"/>
        </w:rPr>
        <w:t>Čl. III - Informácie, ktoré vysvetľujú a dopĺňajú súvahu a výkaz ziskov a strát</w:t>
      </w:r>
    </w:p>
    <w:p w:rsidR="00A920EB" w:rsidRDefault="00A920EB">
      <w:pPr>
        <w:pStyle w:val="Standard"/>
        <w:spacing w:after="0" w:line="360" w:lineRule="auto"/>
        <w:rPr>
          <w:rFonts w:ascii="Calibri Light" w:hAnsi="Calibri Light" w:cs="ArialNarrow"/>
          <w:b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t>Informácia o sume a dôvodoch vzniku jednotlivých položiek nákladov alebo výnosov, ktoré majú výnimočný rozsah alebo výskyt</w:t>
      </w:r>
    </w:p>
    <w:tbl>
      <w:tblPr>
        <w:tblW w:w="10485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1"/>
        <w:gridCol w:w="3365"/>
        <w:gridCol w:w="3119"/>
      </w:tblGrid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Účet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Odsekzoznamu"/>
              <w:spacing w:after="0" w:line="240" w:lineRule="auto"/>
              <w:ind w:left="0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601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16 501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23 702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Odsekzoznamu"/>
              <w:spacing w:after="0" w:line="240" w:lineRule="auto"/>
              <w:ind w:left="0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648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505,85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784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Odsekzoznamu"/>
              <w:spacing w:after="0" w:line="240" w:lineRule="auto"/>
              <w:ind w:left="0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518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3 221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2 423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Odsekzoznamu"/>
              <w:spacing w:after="0" w:line="240" w:lineRule="auto"/>
              <w:ind w:left="0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521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1 040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1 040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  <w:tr w:rsidR="00A920EB">
        <w:tc>
          <w:tcPr>
            <w:tcW w:w="40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Odsekzoznamu"/>
              <w:spacing w:after="0" w:line="240" w:lineRule="auto"/>
              <w:ind w:left="0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591</w:t>
            </w:r>
          </w:p>
        </w:tc>
        <w:tc>
          <w:tcPr>
            <w:tcW w:w="3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1 698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1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Odsekzoznamu"/>
              <w:spacing w:after="0" w:line="240" w:lineRule="auto"/>
              <w:ind w:left="0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2 982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</w:tbl>
    <w:p w:rsidR="00A920EB" w:rsidRDefault="002E66A4">
      <w:pPr>
        <w:pStyle w:val="Odsekzoznamu"/>
        <w:spacing w:after="0" w:line="360" w:lineRule="auto"/>
        <w:ind w:left="0"/>
        <w:rPr>
          <w:rFonts w:ascii="Calibri Light" w:hAnsi="Calibri Light" w:cs="ArialNarrow"/>
          <w:b/>
          <w:sz w:val="24"/>
          <w:szCs w:val="24"/>
          <w:u w:val="single"/>
        </w:rPr>
      </w:pPr>
      <w:r>
        <w:rPr>
          <w:rFonts w:ascii="Calibri Light" w:hAnsi="Calibri Light" w:cs="ArialNarrow"/>
          <w:b/>
          <w:sz w:val="24"/>
          <w:szCs w:val="24"/>
          <w:u w:val="single"/>
        </w:rPr>
        <w:t>Komentár:</w:t>
      </w:r>
    </w:p>
    <w:p w:rsidR="00A920EB" w:rsidRDefault="002E66A4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Tržby spoločenstva sú z predaja dreva (účet 601), ktorého ťažba a približovanie sa zabezpečuje dodávateľským spôsobom. Taktiež funkcia lesného hospodára a činnosti ako výsadba stromčekov a ich následný náter proti ohrýzaniu zverou sú zabezpečované dodávateľsky, o čom ÚJ účtuje na účte</w:t>
      </w:r>
      <w:r w:rsidR="00E04A3D">
        <w:rPr>
          <w:rFonts w:ascii="Calibri Light" w:hAnsi="Calibri Light" w:cs="ArialNarrow"/>
          <w:sz w:val="24"/>
          <w:szCs w:val="24"/>
        </w:rPr>
        <w:t xml:space="preserve"> 518. Príjmy za prenájom pôdy vykazuje ÚJ na účte</w:t>
      </w:r>
      <w:r>
        <w:rPr>
          <w:rFonts w:ascii="Calibri Light" w:hAnsi="Calibri Light" w:cs="ArialNarrow"/>
          <w:sz w:val="24"/>
          <w:szCs w:val="24"/>
        </w:rPr>
        <w:t xml:space="preserve"> 648.</w:t>
      </w:r>
    </w:p>
    <w:p w:rsidR="00A920EB" w:rsidRDefault="002E66A4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Spoločenstvo má 8 zamestnancov, ktorý sú zároveň aj orgánmi spoločenstva. Poberajú nepravidelný príjem, nakoľko si schvaľujú odmenu za výkon funkcie raz za rok na valnom zhromaždení.</w:t>
      </w:r>
    </w:p>
    <w:p w:rsidR="00A920EB" w:rsidRDefault="00E04A3D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V zdaňovacom období 2023</w:t>
      </w:r>
      <w:r w:rsidR="002E66A4">
        <w:rPr>
          <w:rFonts w:ascii="Calibri Light" w:hAnsi="Calibri Light" w:cs="ArialNarrow"/>
          <w:sz w:val="24"/>
          <w:szCs w:val="24"/>
        </w:rPr>
        <w:t xml:space="preserve">  ÚJ neplatila preddavky na daň z príjmu.</w:t>
      </w:r>
    </w:p>
    <w:p w:rsidR="00A920EB" w:rsidRDefault="00A920EB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</w:p>
    <w:p w:rsidR="00A920EB" w:rsidRDefault="00A920EB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</w:p>
    <w:p w:rsidR="00A920EB" w:rsidRDefault="00A920EB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</w:p>
    <w:p w:rsidR="00A920EB" w:rsidRDefault="00A920EB">
      <w:pPr>
        <w:pStyle w:val="Odsekzoznamu"/>
        <w:spacing w:after="0" w:line="360" w:lineRule="auto"/>
        <w:ind w:left="0"/>
        <w:jc w:val="both"/>
        <w:rPr>
          <w:rFonts w:ascii="Calibri Light" w:hAnsi="Calibri Light" w:cs="ArialNarrow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lastRenderedPageBreak/>
        <w:t>Informácie o záväzkoch</w:t>
      </w:r>
    </w:p>
    <w:tbl>
      <w:tblPr>
        <w:tblW w:w="104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91"/>
        <w:gridCol w:w="3492"/>
        <w:gridCol w:w="3497"/>
      </w:tblGrid>
      <w:tr w:rsidR="00A920EB"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Záväzky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20EB"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Doba splatnosti do 1 roka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216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396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  <w:tr w:rsidR="00A920EB">
        <w:tc>
          <w:tcPr>
            <w:tcW w:w="3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Doba splatnosti viac ako 1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0 €</w:t>
            </w:r>
          </w:p>
        </w:tc>
        <w:tc>
          <w:tcPr>
            <w:tcW w:w="3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0 €</w:t>
            </w:r>
          </w:p>
        </w:tc>
      </w:tr>
    </w:tbl>
    <w:p w:rsidR="00A920EB" w:rsidRDefault="002E66A4">
      <w:pPr>
        <w:pStyle w:val="Standard"/>
        <w:spacing w:after="0" w:line="360" w:lineRule="auto"/>
        <w:rPr>
          <w:rFonts w:ascii="Calibri Light" w:hAnsi="Calibri Light" w:cs="ArialNarrow"/>
          <w:b/>
          <w:sz w:val="24"/>
          <w:szCs w:val="24"/>
          <w:u w:val="single"/>
        </w:rPr>
      </w:pPr>
      <w:r>
        <w:rPr>
          <w:rFonts w:ascii="Calibri Light" w:hAnsi="Calibri Light" w:cs="ArialNarrow"/>
          <w:b/>
          <w:sz w:val="24"/>
          <w:szCs w:val="24"/>
          <w:u w:val="single"/>
        </w:rPr>
        <w:t>Komentár: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Všetky záväzky ÚJ vznikli z obchodného styku a ich splatnosť je do 1 roka. Úhrada všetkých záväzkov za realizuje výlučne cez bankový účet.</w:t>
      </w:r>
    </w:p>
    <w:p w:rsidR="00A920EB" w:rsidRDefault="00A920EB">
      <w:pPr>
        <w:pStyle w:val="Standard"/>
        <w:spacing w:after="0" w:line="360" w:lineRule="auto"/>
        <w:rPr>
          <w:rFonts w:ascii="Calibri Light" w:hAnsi="Calibri Light" w:cs="ArialNarrow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t>Zmeny vo vlastnom imaní</w:t>
      </w:r>
    </w:p>
    <w:tbl>
      <w:tblPr>
        <w:tblW w:w="104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4"/>
        <w:gridCol w:w="2183"/>
        <w:gridCol w:w="2128"/>
        <w:gridCol w:w="2073"/>
        <w:gridCol w:w="1852"/>
      </w:tblGrid>
      <w:tr w:rsidR="00A920EB">
        <w:trPr>
          <w:trHeight w:val="1063"/>
        </w:trPr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A920EB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</w:p>
        </w:tc>
        <w:tc>
          <w:tcPr>
            <w:tcW w:w="2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Začiatočný stav k 1.1.2023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Prírastok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2E66A4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Úbytok</w:t>
            </w:r>
          </w:p>
        </w:tc>
        <w:tc>
          <w:tcPr>
            <w:tcW w:w="1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b/>
                <w:sz w:val="24"/>
                <w:szCs w:val="24"/>
              </w:rPr>
            </w:pPr>
            <w:r>
              <w:rPr>
                <w:rFonts w:ascii="Calibri Light" w:hAnsi="Calibri Light" w:cs="ArialNarrow"/>
                <w:b/>
                <w:sz w:val="24"/>
                <w:szCs w:val="24"/>
              </w:rPr>
              <w:t>Zostatok k 31.12.2023</w:t>
            </w:r>
          </w:p>
        </w:tc>
      </w:tr>
      <w:tr w:rsidR="00A920EB">
        <w:tc>
          <w:tcPr>
            <w:tcW w:w="2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920EB" w:rsidRDefault="002E66A4">
            <w:pPr>
              <w:pStyle w:val="Standard"/>
              <w:spacing w:after="0" w:line="240" w:lineRule="auto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428 – Nerozdelený zisk minulých rokov</w:t>
            </w:r>
          </w:p>
        </w:tc>
        <w:tc>
          <w:tcPr>
            <w:tcW w:w="2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470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E04A3D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16 888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2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782915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13 811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  <w:tc>
          <w:tcPr>
            <w:tcW w:w="1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920EB" w:rsidRDefault="00782915">
            <w:pPr>
              <w:pStyle w:val="Standard"/>
              <w:spacing w:after="0" w:line="240" w:lineRule="auto"/>
              <w:jc w:val="center"/>
              <w:rPr>
                <w:rFonts w:ascii="Calibri Light" w:hAnsi="Calibri Light" w:cs="ArialNarrow"/>
                <w:sz w:val="24"/>
                <w:szCs w:val="24"/>
              </w:rPr>
            </w:pPr>
            <w:r>
              <w:rPr>
                <w:rFonts w:ascii="Calibri Light" w:hAnsi="Calibri Light" w:cs="ArialNarrow"/>
                <w:sz w:val="24"/>
                <w:szCs w:val="24"/>
              </w:rPr>
              <w:t>3 547</w:t>
            </w:r>
            <w:r w:rsidR="002E66A4">
              <w:rPr>
                <w:rFonts w:ascii="Calibri Light" w:hAnsi="Calibri Light" w:cs="ArialNarrow"/>
                <w:sz w:val="24"/>
                <w:szCs w:val="24"/>
              </w:rPr>
              <w:t xml:space="preserve"> €</w:t>
            </w:r>
          </w:p>
        </w:tc>
      </w:tr>
    </w:tbl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b/>
          <w:sz w:val="24"/>
          <w:szCs w:val="24"/>
          <w:u w:val="single"/>
        </w:rPr>
      </w:pPr>
      <w:r>
        <w:rPr>
          <w:rFonts w:ascii="Calibri Light" w:hAnsi="Calibri Light" w:cs="ArialNarrow"/>
          <w:b/>
          <w:sz w:val="24"/>
          <w:szCs w:val="24"/>
          <w:u w:val="single"/>
        </w:rPr>
        <w:t>Komentár:</w:t>
      </w:r>
    </w:p>
    <w:p w:rsidR="00A920EB" w:rsidRDefault="002E66A4">
      <w:pPr>
        <w:pStyle w:val="Standard"/>
        <w:spacing w:after="0" w:line="360" w:lineRule="auto"/>
        <w:jc w:val="both"/>
      </w:pPr>
      <w:r>
        <w:rPr>
          <w:rFonts w:ascii="Calibri Light" w:hAnsi="Calibri Light" w:cs="ArialNarrow"/>
          <w:sz w:val="24"/>
          <w:szCs w:val="24"/>
        </w:rPr>
        <w:t xml:space="preserve">Spoločenstvo je podľa zákona č. 97/2013 Z. z. v znení neskorších predpisov založené zmluvou </w:t>
      </w:r>
      <w:r>
        <w:rPr>
          <w:rFonts w:ascii="Calibri Light" w:eastAsia="Times New Roman" w:hAnsi="Calibri Light" w:cs="Times New Roman"/>
          <w:sz w:val="24"/>
          <w:szCs w:val="24"/>
          <w:lang w:eastAsia="sk-SK"/>
        </w:rPr>
        <w:t>uzavretou vlastníkmi spoločnej nehnuteľnosti. Počet hlasov vlastníka podielu je prerátaný podľa veľkosti spoluvlastníckeho podielu. Podľa počtu hlasov sa rozdeľuje h</w:t>
      </w:r>
      <w:r w:rsidR="00782915">
        <w:rPr>
          <w:rFonts w:ascii="Calibri Light" w:eastAsia="Times New Roman" w:hAnsi="Calibri Light" w:cs="Times New Roman"/>
          <w:sz w:val="24"/>
          <w:szCs w:val="24"/>
          <w:lang w:eastAsia="sk-SK"/>
        </w:rPr>
        <w:t>ospodársky výsledok. V roku 2023</w:t>
      </w:r>
      <w:r>
        <w:rPr>
          <w:rFonts w:ascii="Calibri Light" w:eastAsia="Times New Roman" w:hAnsi="Calibri Light" w:cs="Times New Roman"/>
          <w:sz w:val="24"/>
          <w:szCs w:val="24"/>
          <w:lang w:eastAsia="sk-SK"/>
        </w:rPr>
        <w:t xml:space="preserve"> valné zhromaždenie </w:t>
      </w:r>
      <w:r w:rsidR="00782915">
        <w:rPr>
          <w:rFonts w:ascii="Calibri Light" w:eastAsia="Times New Roman" w:hAnsi="Calibri Light" w:cs="Times New Roman"/>
          <w:sz w:val="24"/>
          <w:szCs w:val="24"/>
          <w:lang w:eastAsia="sk-SK"/>
        </w:rPr>
        <w:t>rozhodlo o výsledku hospodárenia v schvaľovaní z r. 2022 a rozdelení dividend v sume 0,50 € za hlas.</w:t>
      </w:r>
      <w:r>
        <w:rPr>
          <w:rFonts w:ascii="Calibri Light" w:eastAsia="Times New Roman" w:hAnsi="Calibri Light" w:cs="Times New Roman"/>
          <w:sz w:val="24"/>
          <w:szCs w:val="24"/>
          <w:lang w:eastAsia="sk-SK"/>
        </w:rPr>
        <w:t xml:space="preserve"> </w:t>
      </w:r>
    </w:p>
    <w:p w:rsidR="00A920EB" w:rsidRDefault="00A920EB">
      <w:pPr>
        <w:pStyle w:val="Standard"/>
        <w:spacing w:after="0" w:line="360" w:lineRule="auto"/>
        <w:rPr>
          <w:rFonts w:ascii="Calibri Light" w:hAnsi="Calibri Light" w:cs="ArialNarrow"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t>Informácie o orgánoch účtovnej jednotky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Orgánom spoločenstva nebola poskytnutá žiadna záruka ani pôžička. Žiadne finančné prostriedky spoločenstva neboli použité na súkromné účely členov orgánov spoločenstva.</w:t>
      </w:r>
    </w:p>
    <w:p w:rsidR="00A920EB" w:rsidRDefault="00A920EB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</w:p>
    <w:p w:rsidR="00A920EB" w:rsidRDefault="002E66A4">
      <w:pPr>
        <w:pStyle w:val="Standard"/>
        <w:spacing w:after="0" w:line="360" w:lineRule="auto"/>
        <w:jc w:val="center"/>
        <w:rPr>
          <w:rFonts w:ascii="Calibri Light" w:hAnsi="Calibri Light" w:cs="ArialNarrow"/>
          <w:b/>
          <w:sz w:val="24"/>
          <w:szCs w:val="24"/>
        </w:rPr>
      </w:pPr>
      <w:r>
        <w:rPr>
          <w:rFonts w:ascii="Calibri Light" w:hAnsi="Calibri Light" w:cs="ArialNarrow"/>
          <w:b/>
          <w:sz w:val="24"/>
          <w:szCs w:val="24"/>
        </w:rPr>
        <w:t>Informácie o povinnostiach účtovnej jednotky</w:t>
      </w:r>
    </w:p>
    <w:p w:rsidR="00A920EB" w:rsidRDefault="002E66A4">
      <w:pPr>
        <w:pStyle w:val="Standard"/>
        <w:spacing w:after="0" w:line="360" w:lineRule="auto"/>
        <w:jc w:val="both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ÚJ nemá žiadnu finančnú povinnosť, ktorá sa nevykazuje v súvahe.</w:t>
      </w:r>
    </w:p>
    <w:p w:rsidR="00A920EB" w:rsidRDefault="002E66A4">
      <w:pPr>
        <w:pStyle w:val="Standard"/>
        <w:spacing w:after="0" w:line="360" w:lineRule="auto"/>
        <w:rPr>
          <w:rFonts w:ascii="Calibri Light" w:hAnsi="Calibri Light" w:cs="ArialNarrow"/>
          <w:sz w:val="24"/>
          <w:szCs w:val="24"/>
        </w:rPr>
      </w:pPr>
      <w:r>
        <w:rPr>
          <w:rFonts w:ascii="Calibri Light" w:hAnsi="Calibri Light" w:cs="ArialNarrow"/>
          <w:sz w:val="24"/>
          <w:szCs w:val="24"/>
        </w:rPr>
        <w:t>ÚJ nemá žiadne podmienené záväzky.</w:t>
      </w:r>
    </w:p>
    <w:p w:rsidR="00A920EB" w:rsidRDefault="00A920EB">
      <w:pPr>
        <w:pStyle w:val="Standard"/>
        <w:spacing w:after="0" w:line="360" w:lineRule="auto"/>
      </w:pPr>
    </w:p>
    <w:sectPr w:rsidR="00A920EB">
      <w:headerReference w:type="default" r:id="rId7"/>
      <w:footerReference w:type="default" r:id="rId8"/>
      <w:pgSz w:w="11906" w:h="16838"/>
      <w:pgMar w:top="1135" w:right="707" w:bottom="851" w:left="70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6A0B" w:rsidRDefault="00E36A0B">
      <w:pPr>
        <w:spacing w:after="0" w:line="240" w:lineRule="auto"/>
      </w:pPr>
      <w:r>
        <w:separator/>
      </w:r>
    </w:p>
  </w:endnote>
  <w:endnote w:type="continuationSeparator" w:id="0">
    <w:p w:rsidR="00E36A0B" w:rsidRDefault="00E36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Bold">
    <w:charset w:val="00"/>
    <w:family w:val="auto"/>
    <w:pitch w:val="variable"/>
  </w:font>
  <w:font w:name="ArialNarrow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313E" w:rsidRDefault="002E66A4">
    <w:pPr>
      <w:pStyle w:val="Pta"/>
      <w:tabs>
        <w:tab w:val="clear" w:pos="9072"/>
      </w:tabs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 w:rsidR="00E55EE4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6A0B" w:rsidRDefault="00E36A0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E36A0B" w:rsidRDefault="00E36A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313E" w:rsidRDefault="002E66A4">
    <w:pPr>
      <w:pStyle w:val="Hlavika"/>
      <w:tabs>
        <w:tab w:val="clear" w:pos="9072"/>
      </w:tabs>
    </w:pPr>
    <w:r>
      <w:rPr>
        <w:rFonts w:ascii="Calibri Light" w:hAnsi="Calibri Light"/>
      </w:rPr>
      <w:t xml:space="preserve"> </w:t>
    </w:r>
    <w:r>
      <w:rPr>
        <w:rFonts w:ascii="Calibri Light" w:hAnsi="Calibri Light"/>
        <w:sz w:val="24"/>
        <w:szCs w:val="24"/>
      </w:rPr>
      <w:t>Poznámky Úč MÚJ 3 -01</w:t>
    </w:r>
    <w:r>
      <w:rPr>
        <w:rFonts w:ascii="Calibri Light" w:hAnsi="Calibri Light"/>
      </w:rPr>
      <w:t xml:space="preserve"> </w:t>
    </w:r>
    <w:r>
      <w:rPr>
        <w:rFonts w:ascii="Calibri Light" w:hAnsi="Calibri Light"/>
      </w:rPr>
      <w:tab/>
      <w:t xml:space="preserve"> </w:t>
    </w:r>
    <w:r>
      <w:rPr>
        <w:rFonts w:ascii="Calibri Light" w:hAnsi="Calibri Light"/>
      </w:rPr>
      <w:tab/>
    </w:r>
    <w:r>
      <w:rPr>
        <w:rFonts w:ascii="Calibri Light" w:hAnsi="Calibri Light"/>
      </w:rPr>
      <w:tab/>
    </w:r>
    <w:r>
      <w:rPr>
        <w:rFonts w:ascii="Calibri Light" w:hAnsi="Calibri Light"/>
      </w:rPr>
      <w:tab/>
      <w:t xml:space="preserve">           </w:t>
    </w:r>
    <w:r>
      <w:rPr>
        <w:rFonts w:ascii="Calibri Light" w:hAnsi="Calibri Light"/>
        <w:sz w:val="24"/>
        <w:szCs w:val="24"/>
      </w:rPr>
      <w:t xml:space="preserve">    IČO: 00630187   DIČ: 2020692289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36D76"/>
    <w:multiLevelType w:val="multilevel"/>
    <w:tmpl w:val="4A74DA0E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221248FA"/>
    <w:multiLevelType w:val="multilevel"/>
    <w:tmpl w:val="A634BA0E"/>
    <w:styleLink w:val="WWNum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59357D5F"/>
    <w:multiLevelType w:val="multilevel"/>
    <w:tmpl w:val="EEE8FF98"/>
    <w:styleLink w:val="WWNum1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63323E39"/>
    <w:multiLevelType w:val="multilevel"/>
    <w:tmpl w:val="A82AFE66"/>
    <w:styleLink w:val="WWNum3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0EB"/>
    <w:rsid w:val="002A1FCC"/>
    <w:rsid w:val="002E66A4"/>
    <w:rsid w:val="00782915"/>
    <w:rsid w:val="00A920EB"/>
    <w:rsid w:val="00D47A94"/>
    <w:rsid w:val="00DF4697"/>
    <w:rsid w:val="00E04A3D"/>
    <w:rsid w:val="00E36A0B"/>
    <w:rsid w:val="00E55EE4"/>
    <w:rsid w:val="00E7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F7170"/>
  <w15:docId w15:val="{57F02B76-5B44-4998-84E1-0064DE938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Calibri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pPr>
      <w:spacing w:before="100" w:after="100" w:line="240" w:lineRule="auto"/>
      <w:outlineLvl w:val="0"/>
    </w:pPr>
    <w:rPr>
      <w:rFonts w:ascii="Times New Roman" w:eastAsia="Times New Roman" w:hAnsi="Times New Roman" w:cs="Times New Roman"/>
      <w:b/>
      <w:bCs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Odsekzoznamu">
    <w:name w:val="List Paragraph"/>
    <w:basedOn w:val="Standard"/>
    <w:pPr>
      <w:ind w:left="720"/>
    </w:pPr>
  </w:style>
  <w:style w:type="paragraph" w:customStyle="1" w:styleId="Default">
    <w:name w:val="Default"/>
    <w:pPr>
      <w:widowControl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ra">
    <w:name w:val="para"/>
    <w:basedOn w:val="Standar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styleId="PremennHTML">
    <w:name w:val="HTML Variable"/>
    <w:basedOn w:val="Predvolenpsmoodseku"/>
    <w:rPr>
      <w:i/>
      <w:iCs/>
    </w:rPr>
  </w:style>
  <w:style w:type="character" w:customStyle="1" w:styleId="Nadpis1Char">
    <w:name w:val="Nadpis 1 Char"/>
    <w:basedOn w:val="Predvolenpsmoodseku"/>
    <w:rPr>
      <w:rFonts w:ascii="Times New Roman" w:eastAsia="Times New Roman" w:hAnsi="Times New Roman" w:cs="Times New Roman"/>
      <w:b/>
      <w:bCs/>
      <w:kern w:val="3"/>
      <w:sz w:val="48"/>
      <w:szCs w:val="48"/>
      <w:lang w:eastAsia="sk-SK"/>
    </w:rPr>
  </w:style>
  <w:style w:type="character" w:customStyle="1" w:styleId="h1a">
    <w:name w:val="h1a"/>
    <w:basedOn w:val="Predvolenpsmoodseku"/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Gajdošová GOLD TRAVEL</dc:creator>
  <cp:lastModifiedBy>Gajdosova Andrea</cp:lastModifiedBy>
  <cp:revision>2</cp:revision>
  <cp:lastPrinted>2020-06-30T15:43:00Z</cp:lastPrinted>
  <dcterms:created xsi:type="dcterms:W3CDTF">2024-07-01T10:07:00Z</dcterms:created>
  <dcterms:modified xsi:type="dcterms:W3CDTF">2024-07-01T10:07:00Z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