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EB" w:rsidRDefault="002E66A4">
      <w:pPr>
        <w:pStyle w:val="Standard"/>
        <w:spacing w:after="0" w:line="360" w:lineRule="auto"/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Článok I. – Všeobecné informácie</w:t>
      </w:r>
    </w:p>
    <w:p w:rsidR="00A920EB" w:rsidRDefault="00A920EB">
      <w:pPr>
        <w:pStyle w:val="Standard"/>
        <w:spacing w:after="0" w:line="360" w:lineRule="auto"/>
        <w:jc w:val="center"/>
        <w:rPr>
          <w:rFonts w:ascii="Calibri Light" w:hAnsi="Calibri Light"/>
          <w:b/>
          <w:sz w:val="24"/>
          <w:szCs w:val="20"/>
        </w:rPr>
      </w:pPr>
    </w:p>
    <w:p w:rsidR="00A920EB" w:rsidRDefault="002E66A4">
      <w:pPr>
        <w:pStyle w:val="Odsekzoznamu"/>
        <w:spacing w:after="0" w:line="240" w:lineRule="auto"/>
        <w:ind w:left="0"/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Všeobecné údaje</w:t>
      </w:r>
    </w:p>
    <w:tbl>
      <w:tblPr>
        <w:tblW w:w="106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4"/>
        <w:gridCol w:w="5383"/>
      </w:tblGrid>
      <w:tr w:rsidR="00A920EB">
        <w:trPr>
          <w:trHeight w:val="439"/>
          <w:jc w:val="center"/>
        </w:trPr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Meno</w:t>
            </w:r>
          </w:p>
        </w:tc>
        <w:tc>
          <w:tcPr>
            <w:tcW w:w="5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Urbariát, pozemkové spoločenstvo Bodiná</w:t>
            </w:r>
          </w:p>
        </w:tc>
      </w:tr>
      <w:tr w:rsidR="00A920EB">
        <w:trPr>
          <w:trHeight w:val="440"/>
          <w:jc w:val="center"/>
        </w:trPr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Sídlo</w:t>
            </w:r>
          </w:p>
        </w:tc>
        <w:tc>
          <w:tcPr>
            <w:tcW w:w="5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Bodiná 69</w:t>
            </w:r>
          </w:p>
        </w:tc>
      </w:tr>
      <w:tr w:rsidR="00A920EB">
        <w:trPr>
          <w:trHeight w:val="439"/>
          <w:jc w:val="center"/>
        </w:trPr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Právna forma</w:t>
            </w:r>
          </w:p>
        </w:tc>
        <w:tc>
          <w:tcPr>
            <w:tcW w:w="5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D47A9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272</w:t>
            </w:r>
            <w:r w:rsidR="002E66A4">
              <w:rPr>
                <w:rFonts w:ascii="Calibri Light" w:hAnsi="Calibri Light"/>
                <w:sz w:val="24"/>
                <w:szCs w:val="24"/>
              </w:rPr>
              <w:t xml:space="preserve"> Pozemkové spoločenstvo</w:t>
            </w:r>
          </w:p>
        </w:tc>
      </w:tr>
      <w:tr w:rsidR="00A920EB">
        <w:trPr>
          <w:trHeight w:val="440"/>
          <w:jc w:val="center"/>
        </w:trPr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Dátum vzniku</w:t>
            </w:r>
          </w:p>
        </w:tc>
        <w:tc>
          <w:tcPr>
            <w:tcW w:w="5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12.január 1993</w:t>
            </w:r>
          </w:p>
        </w:tc>
      </w:tr>
      <w:tr w:rsidR="00A920EB">
        <w:trPr>
          <w:trHeight w:val="439"/>
          <w:jc w:val="center"/>
        </w:trPr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Predmet činnosti</w:t>
            </w:r>
          </w:p>
        </w:tc>
        <w:tc>
          <w:tcPr>
            <w:tcW w:w="5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Lesné hospodárstvo</w:t>
            </w:r>
          </w:p>
        </w:tc>
      </w:tr>
      <w:tr w:rsidR="00A920EB">
        <w:trPr>
          <w:trHeight w:val="440"/>
          <w:jc w:val="center"/>
        </w:trPr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Účtovné obdobie</w:t>
            </w:r>
          </w:p>
        </w:tc>
        <w:tc>
          <w:tcPr>
            <w:tcW w:w="5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A1FCC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01-12/2023</w:t>
            </w:r>
          </w:p>
        </w:tc>
      </w:tr>
    </w:tbl>
    <w:p w:rsidR="00A920EB" w:rsidRDefault="00A920EB">
      <w:pPr>
        <w:pStyle w:val="Standard"/>
        <w:spacing w:after="0" w:line="240" w:lineRule="auto"/>
        <w:rPr>
          <w:rFonts w:ascii="Calibri Light" w:hAnsi="Calibri Light"/>
          <w:sz w:val="24"/>
          <w:szCs w:val="20"/>
        </w:rPr>
      </w:pPr>
    </w:p>
    <w:p w:rsidR="00A920EB" w:rsidRDefault="002E66A4">
      <w:pPr>
        <w:pStyle w:val="Standard"/>
        <w:spacing w:after="0" w:line="240" w:lineRule="auto"/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Orgány spoločenstva</w:t>
      </w:r>
    </w:p>
    <w:p w:rsidR="00A920EB" w:rsidRDefault="002E66A4">
      <w:pPr>
        <w:pStyle w:val="Standard"/>
        <w:spacing w:after="0" w:line="240" w:lineRule="auto"/>
        <w:rPr>
          <w:rFonts w:ascii="Calibri Light" w:hAnsi="Calibri Light"/>
          <w:b/>
          <w:sz w:val="24"/>
          <w:szCs w:val="24"/>
          <w:u w:val="single"/>
        </w:rPr>
      </w:pPr>
      <w:r>
        <w:rPr>
          <w:rFonts w:ascii="Calibri Light" w:hAnsi="Calibri Light"/>
          <w:b/>
          <w:sz w:val="24"/>
          <w:szCs w:val="24"/>
          <w:u w:val="single"/>
        </w:rPr>
        <w:t>Zhromaždenie:</w:t>
      </w:r>
    </w:p>
    <w:p w:rsidR="00A920EB" w:rsidRDefault="002E66A4">
      <w:pPr>
        <w:pStyle w:val="Standard"/>
        <w:spacing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Najvyšší orgán spoločenstva. Skladá sa zo všetkých podielnikov Urbariátu.</w:t>
      </w:r>
    </w:p>
    <w:p w:rsidR="00A920EB" w:rsidRDefault="002E66A4">
      <w:pPr>
        <w:pStyle w:val="Standard"/>
        <w:spacing w:after="0" w:line="240" w:lineRule="auto"/>
        <w:rPr>
          <w:rFonts w:ascii="Calibri Light" w:hAnsi="Calibri Light"/>
          <w:b/>
          <w:sz w:val="24"/>
          <w:szCs w:val="24"/>
          <w:u w:val="single"/>
        </w:rPr>
      </w:pPr>
      <w:r>
        <w:rPr>
          <w:rFonts w:ascii="Calibri Light" w:hAnsi="Calibri Light"/>
          <w:b/>
          <w:sz w:val="24"/>
          <w:szCs w:val="24"/>
          <w:u w:val="single"/>
        </w:rPr>
        <w:t>Dozorná rada:</w:t>
      </w:r>
    </w:p>
    <w:p w:rsidR="00A920EB" w:rsidRDefault="002E66A4">
      <w:pPr>
        <w:pStyle w:val="Standard"/>
        <w:spacing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Kováčik Justín – predseda dozornej rady</w:t>
      </w:r>
    </w:p>
    <w:p w:rsidR="00A920EB" w:rsidRDefault="002E66A4">
      <w:pPr>
        <w:pStyle w:val="Standard"/>
        <w:spacing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Pavlík Stanislav</w:t>
      </w:r>
    </w:p>
    <w:p w:rsidR="00A920EB" w:rsidRDefault="002E66A4">
      <w:pPr>
        <w:pStyle w:val="Standard"/>
        <w:spacing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Bc. Brveník Juraj</w:t>
      </w:r>
      <w:bookmarkStart w:id="0" w:name="_GoBack"/>
      <w:bookmarkEnd w:id="0"/>
    </w:p>
    <w:p w:rsidR="00A920EB" w:rsidRDefault="002E66A4">
      <w:pPr>
        <w:pStyle w:val="Standard"/>
        <w:spacing w:after="0" w:line="240" w:lineRule="auto"/>
        <w:rPr>
          <w:rFonts w:ascii="Calibri Light" w:hAnsi="Calibri Light"/>
          <w:b/>
          <w:sz w:val="24"/>
          <w:szCs w:val="24"/>
          <w:u w:val="single"/>
        </w:rPr>
      </w:pPr>
      <w:r>
        <w:rPr>
          <w:rFonts w:ascii="Calibri Light" w:hAnsi="Calibri Light"/>
          <w:b/>
          <w:sz w:val="24"/>
          <w:szCs w:val="24"/>
          <w:u w:val="single"/>
        </w:rPr>
        <w:t>Členovia výboru:</w:t>
      </w:r>
    </w:p>
    <w:p w:rsidR="00A920EB" w:rsidRDefault="002E66A4">
      <w:pPr>
        <w:pStyle w:val="Standard"/>
        <w:spacing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Boško František – predseda výboru</w:t>
      </w:r>
    </w:p>
    <w:p w:rsidR="00A920EB" w:rsidRDefault="002E66A4">
      <w:pPr>
        <w:pStyle w:val="Standard"/>
        <w:spacing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Boško Juraj – pokladník</w:t>
      </w:r>
    </w:p>
    <w:p w:rsidR="00A920EB" w:rsidRDefault="002E66A4">
      <w:pPr>
        <w:pStyle w:val="Standard"/>
        <w:spacing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Kuric Ladislav – hospodár</w:t>
      </w:r>
    </w:p>
    <w:p w:rsidR="00A920EB" w:rsidRDefault="002E66A4">
      <w:pPr>
        <w:pStyle w:val="Standard"/>
        <w:spacing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Čelko Milan – tajomník</w:t>
      </w:r>
    </w:p>
    <w:p w:rsidR="00A920EB" w:rsidRDefault="002E66A4">
      <w:pPr>
        <w:pStyle w:val="Standard"/>
        <w:spacing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Ing. Boško Jaroslav</w:t>
      </w:r>
    </w:p>
    <w:p w:rsidR="00A920EB" w:rsidRDefault="00A920EB">
      <w:pPr>
        <w:pStyle w:val="Standard"/>
        <w:spacing w:after="0" w:line="240" w:lineRule="auto"/>
        <w:rPr>
          <w:rFonts w:ascii="Calibri Light" w:hAnsi="Calibri Light"/>
          <w:sz w:val="24"/>
          <w:szCs w:val="24"/>
        </w:rPr>
      </w:pPr>
    </w:p>
    <w:p w:rsidR="00A920EB" w:rsidRDefault="00A920EB">
      <w:pPr>
        <w:pStyle w:val="Standard"/>
        <w:spacing w:after="0" w:line="240" w:lineRule="auto"/>
        <w:rPr>
          <w:rFonts w:ascii="Calibri Light" w:hAnsi="Calibri Light"/>
          <w:sz w:val="24"/>
          <w:szCs w:val="24"/>
        </w:rPr>
      </w:pPr>
    </w:p>
    <w:p w:rsidR="00A920EB" w:rsidRDefault="002E66A4">
      <w:pPr>
        <w:pStyle w:val="Standard"/>
        <w:spacing w:after="0" w:line="360" w:lineRule="auto"/>
        <w:jc w:val="center"/>
        <w:rPr>
          <w:rFonts w:ascii="Calibri Light" w:hAnsi="Calibri Light" w:cs="Arial"/>
          <w:b/>
          <w:color w:val="000000"/>
          <w:sz w:val="24"/>
          <w:szCs w:val="24"/>
        </w:rPr>
      </w:pPr>
      <w:r>
        <w:rPr>
          <w:rFonts w:ascii="Calibri Light" w:hAnsi="Calibri Light" w:cs="Arial"/>
          <w:b/>
          <w:color w:val="000000"/>
          <w:sz w:val="24"/>
          <w:szCs w:val="24"/>
        </w:rPr>
        <w:t>Test veľkostnej skupiny účtovnej jednotky</w:t>
      </w: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3"/>
        <w:gridCol w:w="3021"/>
        <w:gridCol w:w="3731"/>
      </w:tblGrid>
      <w:tr w:rsidR="00A920EB">
        <w:trPr>
          <w:jc w:val="center"/>
        </w:trPr>
        <w:tc>
          <w:tcPr>
            <w:tcW w:w="3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A920EB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20EB">
        <w:trPr>
          <w:jc w:val="center"/>
        </w:trPr>
        <w:tc>
          <w:tcPr>
            <w:tcW w:w="3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Aktíva netto</w:t>
            </w:r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E55EE4">
            <w:pPr>
              <w:pStyle w:val="Standard"/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15 082</w:t>
            </w:r>
            <w:r w:rsidR="002E66A4">
              <w:rPr>
                <w:rFonts w:ascii="Calibri Light" w:hAnsi="Calibri Light"/>
                <w:sz w:val="24"/>
                <w:szCs w:val="24"/>
              </w:rPr>
              <w:t xml:space="preserve"> €</w:t>
            </w:r>
          </w:p>
        </w:tc>
        <w:tc>
          <w:tcPr>
            <w:tcW w:w="3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D47A94">
            <w:pPr>
              <w:pStyle w:val="Standard"/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</w:t>
            </w:r>
            <w:r w:rsidR="00DF4697">
              <w:rPr>
                <w:rFonts w:ascii="Calibri Light" w:hAnsi="Calibri Light"/>
                <w:sz w:val="24"/>
                <w:szCs w:val="24"/>
              </w:rPr>
              <w:t>0 736</w:t>
            </w:r>
            <w:r w:rsidR="002E66A4">
              <w:rPr>
                <w:rFonts w:ascii="Calibri Light" w:hAnsi="Calibri Light"/>
                <w:sz w:val="24"/>
                <w:szCs w:val="24"/>
              </w:rPr>
              <w:t xml:space="preserve"> €</w:t>
            </w:r>
          </w:p>
        </w:tc>
      </w:tr>
      <w:tr w:rsidR="00A920EB">
        <w:trPr>
          <w:jc w:val="center"/>
        </w:trPr>
        <w:tc>
          <w:tcPr>
            <w:tcW w:w="3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Čistý obrat</w:t>
            </w:r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E55EE4">
            <w:pPr>
              <w:pStyle w:val="Standard"/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17 007</w:t>
            </w:r>
            <w:r w:rsidR="002E66A4">
              <w:rPr>
                <w:rFonts w:ascii="Calibri Light" w:hAnsi="Calibri Light"/>
                <w:sz w:val="24"/>
                <w:szCs w:val="24"/>
              </w:rPr>
              <w:t xml:space="preserve"> €</w:t>
            </w:r>
          </w:p>
        </w:tc>
        <w:tc>
          <w:tcPr>
            <w:tcW w:w="3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DF4697" w:rsidP="00DF4697">
            <w:pPr>
              <w:pStyle w:val="Standard"/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24 486</w:t>
            </w:r>
            <w:r w:rsidR="002E66A4">
              <w:rPr>
                <w:rFonts w:ascii="Calibri Light" w:hAnsi="Calibri Light"/>
                <w:sz w:val="24"/>
                <w:szCs w:val="24"/>
              </w:rPr>
              <w:t xml:space="preserve"> €</w:t>
            </w:r>
          </w:p>
        </w:tc>
      </w:tr>
      <w:tr w:rsidR="00A920EB">
        <w:trPr>
          <w:jc w:val="center"/>
        </w:trPr>
        <w:tc>
          <w:tcPr>
            <w:tcW w:w="3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Počet zamestnancov</w:t>
            </w:r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8</w:t>
            </w:r>
          </w:p>
        </w:tc>
        <w:tc>
          <w:tcPr>
            <w:tcW w:w="3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8</w:t>
            </w:r>
          </w:p>
        </w:tc>
      </w:tr>
      <w:tr w:rsidR="00A920EB">
        <w:trPr>
          <w:jc w:val="center"/>
        </w:trPr>
        <w:tc>
          <w:tcPr>
            <w:tcW w:w="3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Prepočítaný počet zamestnancov</w:t>
            </w:r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8</w:t>
            </w:r>
          </w:p>
        </w:tc>
        <w:tc>
          <w:tcPr>
            <w:tcW w:w="3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8</w:t>
            </w:r>
          </w:p>
        </w:tc>
      </w:tr>
    </w:tbl>
    <w:p w:rsidR="00A920EB" w:rsidRDefault="002E66A4">
      <w:pPr>
        <w:pStyle w:val="Standard"/>
        <w:spacing w:after="0" w:line="360" w:lineRule="auto"/>
        <w:rPr>
          <w:rFonts w:ascii="Calibri Light" w:hAnsi="Calibri Light"/>
          <w:b/>
          <w:sz w:val="24"/>
          <w:szCs w:val="24"/>
          <w:u w:val="single"/>
        </w:rPr>
      </w:pPr>
      <w:r>
        <w:rPr>
          <w:rFonts w:ascii="Calibri Light" w:hAnsi="Calibri Light"/>
          <w:b/>
          <w:sz w:val="24"/>
          <w:szCs w:val="24"/>
          <w:u w:val="single"/>
        </w:rPr>
        <w:t>Komentár:</w:t>
      </w:r>
    </w:p>
    <w:p w:rsidR="00A920EB" w:rsidRDefault="002E66A4">
      <w:pPr>
        <w:pStyle w:val="Standard"/>
        <w:spacing w:after="0" w:line="360" w:lineRule="auto"/>
        <w:jc w:val="both"/>
      </w:pPr>
      <w:r>
        <w:rPr>
          <w:rFonts w:ascii="Calibri Light" w:hAnsi="Calibri Light"/>
          <w:sz w:val="24"/>
          <w:szCs w:val="24"/>
        </w:rPr>
        <w:t xml:space="preserve">UJ spĺňa veľkostné podmienky na zatriedenie do veľkostnej skupiny – </w:t>
      </w:r>
      <w:r>
        <w:rPr>
          <w:rFonts w:ascii="Calibri Light" w:hAnsi="Calibri Light"/>
          <w:b/>
          <w:bCs/>
          <w:sz w:val="24"/>
          <w:szCs w:val="24"/>
        </w:rPr>
        <w:t xml:space="preserve">mikro účtovná jednotka, </w:t>
      </w:r>
      <w:r>
        <w:rPr>
          <w:rFonts w:ascii="Calibri Light" w:hAnsi="Calibri Light"/>
          <w:sz w:val="24"/>
          <w:szCs w:val="24"/>
        </w:rPr>
        <w:t>preto zostavuje účtovnú závierku podľa metodiky pre túto veľkostnú skupinu (Opatrenie č.MF/23378/2014-74).</w:t>
      </w:r>
    </w:p>
    <w:p w:rsidR="00A920EB" w:rsidRDefault="00A920EB">
      <w:pPr>
        <w:pStyle w:val="Standard"/>
        <w:spacing w:after="0" w:line="360" w:lineRule="auto"/>
        <w:jc w:val="center"/>
        <w:rPr>
          <w:rFonts w:ascii="Calibri Light" w:hAnsi="Calibri Light"/>
          <w:b/>
          <w:sz w:val="24"/>
          <w:szCs w:val="24"/>
        </w:rPr>
      </w:pPr>
    </w:p>
    <w:p w:rsidR="00A920EB" w:rsidRDefault="002E66A4">
      <w:pPr>
        <w:pStyle w:val="Standard"/>
        <w:spacing w:after="0" w:line="360" w:lineRule="auto"/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Údaje o konsolidovanom celku</w:t>
      </w:r>
    </w:p>
    <w:p w:rsidR="00A920EB" w:rsidRDefault="002E66A4">
      <w:pPr>
        <w:pStyle w:val="Standard"/>
        <w:spacing w:after="0" w:line="360" w:lineRule="auto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Spoločnosť sa nezahŕňa do žiadnej konsolidovanej účtovnej závierky.</w:t>
      </w:r>
    </w:p>
    <w:p w:rsidR="00A920EB" w:rsidRDefault="00A920EB">
      <w:pPr>
        <w:pStyle w:val="Standard"/>
        <w:spacing w:after="0" w:line="360" w:lineRule="auto"/>
        <w:rPr>
          <w:rFonts w:ascii="Calibri Light" w:hAnsi="Calibri Light"/>
          <w:sz w:val="24"/>
          <w:szCs w:val="24"/>
        </w:rPr>
      </w:pPr>
    </w:p>
    <w:p w:rsidR="00A920EB" w:rsidRDefault="00A920EB">
      <w:pPr>
        <w:pStyle w:val="Standard"/>
        <w:spacing w:after="0" w:line="360" w:lineRule="auto"/>
        <w:rPr>
          <w:rFonts w:ascii="Calibri Light" w:hAnsi="Calibri Light"/>
          <w:sz w:val="24"/>
          <w:szCs w:val="24"/>
        </w:rPr>
      </w:pPr>
    </w:p>
    <w:p w:rsidR="00A920EB" w:rsidRDefault="00A920EB">
      <w:pPr>
        <w:pStyle w:val="Standard"/>
        <w:spacing w:after="0" w:line="360" w:lineRule="auto"/>
        <w:rPr>
          <w:rFonts w:ascii="Calibri Light" w:hAnsi="Calibri Light"/>
          <w:sz w:val="24"/>
          <w:szCs w:val="24"/>
        </w:rPr>
      </w:pPr>
    </w:p>
    <w:p w:rsidR="00A920EB" w:rsidRDefault="002E66A4">
      <w:pPr>
        <w:pStyle w:val="Standard"/>
        <w:spacing w:after="0" w:line="360" w:lineRule="auto"/>
        <w:jc w:val="center"/>
        <w:rPr>
          <w:rFonts w:ascii="Calibri Light" w:hAnsi="Calibri Light" w:cs="ArialNarrow-Bold"/>
          <w:b/>
          <w:bCs/>
          <w:sz w:val="24"/>
          <w:szCs w:val="24"/>
        </w:rPr>
      </w:pPr>
      <w:r>
        <w:rPr>
          <w:rFonts w:ascii="Calibri Light" w:hAnsi="Calibri Light" w:cs="ArialNarrow-Bold"/>
          <w:b/>
          <w:bCs/>
          <w:sz w:val="24"/>
          <w:szCs w:val="24"/>
        </w:rPr>
        <w:lastRenderedPageBreak/>
        <w:t>Článok II - Informácie o prijatých postupoch</w:t>
      </w:r>
    </w:p>
    <w:p w:rsidR="00A920EB" w:rsidRDefault="002E66A4">
      <w:pPr>
        <w:pStyle w:val="Standard"/>
        <w:spacing w:after="0" w:line="360" w:lineRule="auto"/>
        <w:jc w:val="both"/>
        <w:rPr>
          <w:rFonts w:ascii="Calibri Light" w:hAnsi="Calibri Light" w:cs="ArialNarrow"/>
          <w:sz w:val="24"/>
          <w:szCs w:val="24"/>
        </w:rPr>
      </w:pPr>
      <w:r>
        <w:rPr>
          <w:rFonts w:ascii="Calibri Light" w:hAnsi="Calibri Light" w:cs="ArialNarrow"/>
          <w:sz w:val="24"/>
          <w:szCs w:val="24"/>
        </w:rPr>
        <w:t>Účtovná jednotka zostavuje účtovnú závierku za predpokladu, že bude nepretržite pokračovať vo svojej činnosti.</w:t>
      </w:r>
    </w:p>
    <w:p w:rsidR="00A920EB" w:rsidRDefault="00A920EB">
      <w:pPr>
        <w:pStyle w:val="Standard"/>
        <w:spacing w:after="0" w:line="360" w:lineRule="auto"/>
        <w:jc w:val="both"/>
        <w:rPr>
          <w:rFonts w:ascii="Calibri Light" w:hAnsi="Calibri Light" w:cs="ArialNarrow"/>
          <w:sz w:val="24"/>
          <w:szCs w:val="24"/>
        </w:rPr>
      </w:pPr>
    </w:p>
    <w:p w:rsidR="00A920EB" w:rsidRDefault="002E66A4">
      <w:pPr>
        <w:pStyle w:val="Standard"/>
        <w:spacing w:after="0" w:line="360" w:lineRule="auto"/>
        <w:jc w:val="center"/>
        <w:rPr>
          <w:rFonts w:ascii="Calibri Light" w:hAnsi="Calibri Light" w:cs="ArialNarrow"/>
          <w:b/>
          <w:sz w:val="24"/>
          <w:szCs w:val="24"/>
        </w:rPr>
      </w:pPr>
      <w:r>
        <w:rPr>
          <w:rFonts w:ascii="Calibri Light" w:hAnsi="Calibri Light" w:cs="ArialNarrow"/>
          <w:b/>
          <w:sz w:val="24"/>
          <w:szCs w:val="24"/>
        </w:rPr>
        <w:t>Spôsob oceňovania jednotlivých položiek majetku a záväzkov podľa § 25 Zákona o účtovníctve</w:t>
      </w:r>
    </w:p>
    <w:tbl>
      <w:tblPr>
        <w:tblW w:w="104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0"/>
        <w:gridCol w:w="5240"/>
      </w:tblGrid>
      <w:tr w:rsidR="00A920EB"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b/>
                <w:sz w:val="24"/>
                <w:szCs w:val="24"/>
              </w:rPr>
            </w:pPr>
            <w:r>
              <w:rPr>
                <w:rFonts w:ascii="Calibri Light" w:hAnsi="Calibri Light" w:cs="ArialNarrow"/>
                <w:b/>
                <w:sz w:val="24"/>
                <w:szCs w:val="24"/>
              </w:rPr>
              <w:t>Názov položky</w:t>
            </w:r>
          </w:p>
        </w:tc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b/>
                <w:sz w:val="24"/>
                <w:szCs w:val="24"/>
              </w:rPr>
            </w:pPr>
            <w:r>
              <w:rPr>
                <w:rFonts w:ascii="Calibri Light" w:hAnsi="Calibri Light" w:cs="ArialNarrow"/>
                <w:b/>
                <w:sz w:val="24"/>
                <w:szCs w:val="24"/>
              </w:rPr>
              <w:t>Spôsob oceňovania</w:t>
            </w:r>
          </w:p>
        </w:tc>
      </w:tr>
      <w:tr w:rsidR="00A920EB"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Peňažné prostriedky</w:t>
            </w:r>
          </w:p>
        </w:tc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Menovitá hodnota</w:t>
            </w:r>
          </w:p>
        </w:tc>
      </w:tr>
      <w:tr w:rsidR="00A920EB"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Pohľadávky</w:t>
            </w:r>
          </w:p>
        </w:tc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Menovitá hodnota</w:t>
            </w:r>
          </w:p>
        </w:tc>
      </w:tr>
      <w:tr w:rsidR="00A920EB"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Záväzky</w:t>
            </w:r>
          </w:p>
        </w:tc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Menovitá hodnota</w:t>
            </w:r>
          </w:p>
        </w:tc>
      </w:tr>
    </w:tbl>
    <w:p w:rsidR="00A920EB" w:rsidRDefault="00A920EB">
      <w:pPr>
        <w:pStyle w:val="Standard"/>
        <w:spacing w:after="0" w:line="360" w:lineRule="auto"/>
        <w:rPr>
          <w:rFonts w:ascii="Calibri Light" w:hAnsi="Calibri Light" w:cs="ArialNarrow"/>
          <w:sz w:val="24"/>
          <w:szCs w:val="24"/>
        </w:rPr>
      </w:pPr>
    </w:p>
    <w:p w:rsidR="00A920EB" w:rsidRDefault="002E66A4">
      <w:pPr>
        <w:pStyle w:val="Standard"/>
        <w:spacing w:after="0" w:line="360" w:lineRule="auto"/>
        <w:rPr>
          <w:rFonts w:ascii="Calibri Light" w:hAnsi="Calibri Light" w:cs="ArialNarrow"/>
          <w:sz w:val="24"/>
          <w:szCs w:val="24"/>
        </w:rPr>
      </w:pPr>
      <w:r>
        <w:rPr>
          <w:rFonts w:ascii="Calibri Light" w:hAnsi="Calibri Light" w:cs="ArialNarrow"/>
          <w:sz w:val="24"/>
          <w:szCs w:val="24"/>
        </w:rPr>
        <w:t>Účtovná jednotka nie je príjemcom dotácie.</w:t>
      </w:r>
    </w:p>
    <w:p w:rsidR="00A920EB" w:rsidRDefault="002E66A4">
      <w:pPr>
        <w:pStyle w:val="Standard"/>
        <w:spacing w:after="0" w:line="360" w:lineRule="auto"/>
        <w:jc w:val="both"/>
        <w:rPr>
          <w:rFonts w:ascii="Calibri Light" w:hAnsi="Calibri Light" w:cs="ArialNarrow"/>
          <w:sz w:val="24"/>
          <w:szCs w:val="24"/>
        </w:rPr>
      </w:pPr>
      <w:r>
        <w:rPr>
          <w:rFonts w:ascii="Calibri Light" w:hAnsi="Calibri Light" w:cs="ArialNarrow"/>
          <w:sz w:val="24"/>
          <w:szCs w:val="24"/>
        </w:rPr>
        <w:t>Účtovná jednotka neúčtovala žiadne opravy chýb minulých účtovných období v bežnom účtovnom období.</w:t>
      </w:r>
    </w:p>
    <w:p w:rsidR="00A920EB" w:rsidRDefault="00A920EB">
      <w:pPr>
        <w:pStyle w:val="Standard"/>
        <w:spacing w:after="0" w:line="360" w:lineRule="auto"/>
        <w:rPr>
          <w:rFonts w:ascii="Calibri Light" w:hAnsi="Calibri Light" w:cs="ArialNarrow-Bold"/>
          <w:b/>
          <w:bCs/>
          <w:sz w:val="24"/>
          <w:szCs w:val="24"/>
        </w:rPr>
      </w:pPr>
    </w:p>
    <w:p w:rsidR="00A920EB" w:rsidRDefault="002E66A4">
      <w:pPr>
        <w:pStyle w:val="Standard"/>
        <w:spacing w:after="0" w:line="360" w:lineRule="auto"/>
        <w:jc w:val="center"/>
        <w:rPr>
          <w:rFonts w:ascii="Calibri Light" w:hAnsi="Calibri Light" w:cs="ArialNarrow-Bold"/>
          <w:b/>
          <w:bCs/>
          <w:sz w:val="24"/>
          <w:szCs w:val="24"/>
        </w:rPr>
      </w:pPr>
      <w:r>
        <w:rPr>
          <w:rFonts w:ascii="Calibri Light" w:hAnsi="Calibri Light" w:cs="ArialNarrow-Bold"/>
          <w:b/>
          <w:bCs/>
          <w:sz w:val="24"/>
          <w:szCs w:val="24"/>
        </w:rPr>
        <w:t>Čl. III - Informácie, ktoré vysvetľujú a dopĺňajú súvahu a výkaz ziskov a strát</w:t>
      </w:r>
    </w:p>
    <w:p w:rsidR="00A920EB" w:rsidRDefault="00A920EB">
      <w:pPr>
        <w:pStyle w:val="Standard"/>
        <w:spacing w:after="0" w:line="360" w:lineRule="auto"/>
        <w:rPr>
          <w:rFonts w:ascii="Calibri Light" w:hAnsi="Calibri Light" w:cs="ArialNarrow"/>
          <w:b/>
          <w:sz w:val="24"/>
          <w:szCs w:val="24"/>
        </w:rPr>
      </w:pPr>
    </w:p>
    <w:p w:rsidR="00A920EB" w:rsidRDefault="002E66A4">
      <w:pPr>
        <w:pStyle w:val="Standard"/>
        <w:spacing w:after="0" w:line="360" w:lineRule="auto"/>
        <w:rPr>
          <w:rFonts w:ascii="Calibri Light" w:hAnsi="Calibri Light" w:cs="ArialNarrow"/>
          <w:b/>
          <w:sz w:val="24"/>
          <w:szCs w:val="24"/>
        </w:rPr>
      </w:pPr>
      <w:r>
        <w:rPr>
          <w:rFonts w:ascii="Calibri Light" w:hAnsi="Calibri Light" w:cs="ArialNarrow"/>
          <w:b/>
          <w:sz w:val="24"/>
          <w:szCs w:val="24"/>
        </w:rPr>
        <w:t>Informácia o sume a dôvodoch vzniku jednotlivých položiek nákladov alebo výnosov, ktoré majú výnimočný rozsah alebo výskyt</w:t>
      </w:r>
    </w:p>
    <w:tbl>
      <w:tblPr>
        <w:tblW w:w="1048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1"/>
        <w:gridCol w:w="3365"/>
        <w:gridCol w:w="3119"/>
      </w:tblGrid>
      <w:tr w:rsidR="00A920EB">
        <w:tc>
          <w:tcPr>
            <w:tcW w:w="4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Odsekzoznamu"/>
              <w:spacing w:after="0" w:line="240" w:lineRule="auto"/>
              <w:ind w:left="0"/>
              <w:jc w:val="center"/>
              <w:rPr>
                <w:rFonts w:ascii="Calibri Light" w:hAnsi="Calibri Light" w:cs="ArialNarrow"/>
                <w:b/>
                <w:sz w:val="24"/>
                <w:szCs w:val="24"/>
              </w:rPr>
            </w:pPr>
            <w:r>
              <w:rPr>
                <w:rFonts w:ascii="Calibri Light" w:hAnsi="Calibri Light" w:cs="ArialNarrow"/>
                <w:b/>
                <w:sz w:val="24"/>
                <w:szCs w:val="24"/>
              </w:rPr>
              <w:t>Účet</w:t>
            </w:r>
          </w:p>
        </w:tc>
        <w:tc>
          <w:tcPr>
            <w:tcW w:w="3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Odsekzoznamu"/>
              <w:spacing w:after="0" w:line="240" w:lineRule="auto"/>
              <w:ind w:left="0"/>
              <w:jc w:val="center"/>
              <w:rPr>
                <w:rFonts w:ascii="Calibri Light" w:hAnsi="Calibri Light" w:cs="ArialNarrow"/>
                <w:b/>
                <w:sz w:val="24"/>
                <w:szCs w:val="24"/>
              </w:rPr>
            </w:pPr>
            <w:r>
              <w:rPr>
                <w:rFonts w:ascii="Calibri Light" w:hAnsi="Calibri Light" w:cs="ArialNarrow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Odsekzoznamu"/>
              <w:spacing w:after="0" w:line="240" w:lineRule="auto"/>
              <w:ind w:left="0"/>
              <w:jc w:val="center"/>
              <w:rPr>
                <w:rFonts w:ascii="Calibri Light" w:hAnsi="Calibri Light" w:cs="ArialNarrow"/>
                <w:b/>
                <w:sz w:val="24"/>
                <w:szCs w:val="24"/>
              </w:rPr>
            </w:pPr>
            <w:r>
              <w:rPr>
                <w:rFonts w:ascii="Calibri Light" w:hAnsi="Calibri Light" w:cs="ArialNarrow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20EB">
        <w:tc>
          <w:tcPr>
            <w:tcW w:w="4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Odsekzoznamu"/>
              <w:spacing w:after="0" w:line="240" w:lineRule="auto"/>
              <w:ind w:left="0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601</w:t>
            </w:r>
          </w:p>
        </w:tc>
        <w:tc>
          <w:tcPr>
            <w:tcW w:w="3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E04A3D">
            <w:pPr>
              <w:pStyle w:val="Odsekzoznamu"/>
              <w:spacing w:after="0" w:line="240" w:lineRule="auto"/>
              <w:ind w:left="0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16 501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E04A3D">
            <w:pPr>
              <w:pStyle w:val="Odsekzoznamu"/>
              <w:spacing w:after="0" w:line="240" w:lineRule="auto"/>
              <w:ind w:left="0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23 702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</w:tr>
      <w:tr w:rsidR="00A920EB">
        <w:tc>
          <w:tcPr>
            <w:tcW w:w="4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Odsekzoznamu"/>
              <w:spacing w:after="0" w:line="240" w:lineRule="auto"/>
              <w:ind w:left="0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648</w:t>
            </w:r>
          </w:p>
        </w:tc>
        <w:tc>
          <w:tcPr>
            <w:tcW w:w="3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E04A3D">
            <w:pPr>
              <w:pStyle w:val="Odsekzoznamu"/>
              <w:spacing w:after="0" w:line="240" w:lineRule="auto"/>
              <w:ind w:left="0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505,85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E04A3D">
            <w:pPr>
              <w:pStyle w:val="Odsekzoznamu"/>
              <w:spacing w:after="0" w:line="240" w:lineRule="auto"/>
              <w:ind w:left="0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784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</w:tr>
      <w:tr w:rsidR="00A920EB">
        <w:tc>
          <w:tcPr>
            <w:tcW w:w="4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Odsekzoznamu"/>
              <w:spacing w:after="0" w:line="240" w:lineRule="auto"/>
              <w:ind w:left="0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518</w:t>
            </w:r>
          </w:p>
        </w:tc>
        <w:tc>
          <w:tcPr>
            <w:tcW w:w="3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E04A3D">
            <w:pPr>
              <w:pStyle w:val="Odsekzoznamu"/>
              <w:spacing w:after="0" w:line="240" w:lineRule="auto"/>
              <w:ind w:left="0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3 221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E04A3D">
            <w:pPr>
              <w:pStyle w:val="Odsekzoznamu"/>
              <w:spacing w:after="0" w:line="240" w:lineRule="auto"/>
              <w:ind w:left="0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2 423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</w:tr>
      <w:tr w:rsidR="00A920EB">
        <w:tc>
          <w:tcPr>
            <w:tcW w:w="4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Odsekzoznamu"/>
              <w:spacing w:after="0" w:line="240" w:lineRule="auto"/>
              <w:ind w:left="0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521</w:t>
            </w:r>
          </w:p>
        </w:tc>
        <w:tc>
          <w:tcPr>
            <w:tcW w:w="3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E04A3D">
            <w:pPr>
              <w:pStyle w:val="Odsekzoznamu"/>
              <w:spacing w:after="0" w:line="240" w:lineRule="auto"/>
              <w:ind w:left="0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1 040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E04A3D">
            <w:pPr>
              <w:pStyle w:val="Odsekzoznamu"/>
              <w:spacing w:after="0" w:line="240" w:lineRule="auto"/>
              <w:ind w:left="0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1 040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</w:tr>
      <w:tr w:rsidR="00A920EB">
        <w:tc>
          <w:tcPr>
            <w:tcW w:w="4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Odsekzoznamu"/>
              <w:spacing w:after="0" w:line="240" w:lineRule="auto"/>
              <w:ind w:left="0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591</w:t>
            </w:r>
          </w:p>
        </w:tc>
        <w:tc>
          <w:tcPr>
            <w:tcW w:w="3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E04A3D">
            <w:pPr>
              <w:pStyle w:val="Odsekzoznamu"/>
              <w:spacing w:after="0" w:line="240" w:lineRule="auto"/>
              <w:ind w:left="0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1 698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E04A3D">
            <w:pPr>
              <w:pStyle w:val="Odsekzoznamu"/>
              <w:spacing w:after="0" w:line="240" w:lineRule="auto"/>
              <w:ind w:left="0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2 982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</w:tr>
    </w:tbl>
    <w:p w:rsidR="00A920EB" w:rsidRDefault="002E66A4">
      <w:pPr>
        <w:pStyle w:val="Odsekzoznamu"/>
        <w:spacing w:after="0" w:line="360" w:lineRule="auto"/>
        <w:ind w:left="0"/>
        <w:rPr>
          <w:rFonts w:ascii="Calibri Light" w:hAnsi="Calibri Light" w:cs="ArialNarrow"/>
          <w:b/>
          <w:sz w:val="24"/>
          <w:szCs w:val="24"/>
          <w:u w:val="single"/>
        </w:rPr>
      </w:pPr>
      <w:r>
        <w:rPr>
          <w:rFonts w:ascii="Calibri Light" w:hAnsi="Calibri Light" w:cs="ArialNarrow"/>
          <w:b/>
          <w:sz w:val="24"/>
          <w:szCs w:val="24"/>
          <w:u w:val="single"/>
        </w:rPr>
        <w:t>Komentár:</w:t>
      </w:r>
    </w:p>
    <w:p w:rsidR="00A920EB" w:rsidRDefault="002E66A4">
      <w:pPr>
        <w:pStyle w:val="Odsekzoznamu"/>
        <w:spacing w:after="0" w:line="360" w:lineRule="auto"/>
        <w:ind w:left="0"/>
        <w:jc w:val="both"/>
        <w:rPr>
          <w:rFonts w:ascii="Calibri Light" w:hAnsi="Calibri Light" w:cs="ArialNarrow"/>
          <w:sz w:val="24"/>
          <w:szCs w:val="24"/>
        </w:rPr>
      </w:pPr>
      <w:r>
        <w:rPr>
          <w:rFonts w:ascii="Calibri Light" w:hAnsi="Calibri Light" w:cs="ArialNarrow"/>
          <w:sz w:val="24"/>
          <w:szCs w:val="24"/>
        </w:rPr>
        <w:t>Tržby spoločenstva sú z predaja dreva (účet 601), ktorého ťažba a približovanie sa zabezpečuje dodávateľským spôsobom. Taktiež funkcia lesného hospodára a činnosti ako výsadba stromčekov a ich následný náter proti ohrýzaniu zverou sú zabezpečované dodávateľsky, o čom ÚJ účtuje na účte</w:t>
      </w:r>
      <w:r w:rsidR="00E04A3D">
        <w:rPr>
          <w:rFonts w:ascii="Calibri Light" w:hAnsi="Calibri Light" w:cs="ArialNarrow"/>
          <w:sz w:val="24"/>
          <w:szCs w:val="24"/>
        </w:rPr>
        <w:t xml:space="preserve"> 518. Príjmy za prenájom pôdy vykazuje ÚJ na účte</w:t>
      </w:r>
      <w:r>
        <w:rPr>
          <w:rFonts w:ascii="Calibri Light" w:hAnsi="Calibri Light" w:cs="ArialNarrow"/>
          <w:sz w:val="24"/>
          <w:szCs w:val="24"/>
        </w:rPr>
        <w:t xml:space="preserve"> 648.</w:t>
      </w:r>
    </w:p>
    <w:p w:rsidR="00A920EB" w:rsidRDefault="002E66A4">
      <w:pPr>
        <w:pStyle w:val="Odsekzoznamu"/>
        <w:spacing w:after="0" w:line="360" w:lineRule="auto"/>
        <w:ind w:left="0"/>
        <w:jc w:val="both"/>
        <w:rPr>
          <w:rFonts w:ascii="Calibri Light" w:hAnsi="Calibri Light" w:cs="ArialNarrow"/>
          <w:sz w:val="24"/>
          <w:szCs w:val="24"/>
        </w:rPr>
      </w:pPr>
      <w:r>
        <w:rPr>
          <w:rFonts w:ascii="Calibri Light" w:hAnsi="Calibri Light" w:cs="ArialNarrow"/>
          <w:sz w:val="24"/>
          <w:szCs w:val="24"/>
        </w:rPr>
        <w:t>Spoločenstvo má 8 zamestnancov, ktorý sú zároveň aj orgánmi spoločenstva. Poberajú nepravidelný príjem, nakoľko si schvaľujú odmenu za výkon funkcie raz za rok na valnom zhromaždení.</w:t>
      </w:r>
    </w:p>
    <w:p w:rsidR="00A920EB" w:rsidRDefault="00E04A3D">
      <w:pPr>
        <w:pStyle w:val="Odsekzoznamu"/>
        <w:spacing w:after="0" w:line="360" w:lineRule="auto"/>
        <w:ind w:left="0"/>
        <w:jc w:val="both"/>
        <w:rPr>
          <w:rFonts w:ascii="Calibri Light" w:hAnsi="Calibri Light" w:cs="ArialNarrow"/>
          <w:sz w:val="24"/>
          <w:szCs w:val="24"/>
        </w:rPr>
      </w:pPr>
      <w:r>
        <w:rPr>
          <w:rFonts w:ascii="Calibri Light" w:hAnsi="Calibri Light" w:cs="ArialNarrow"/>
          <w:sz w:val="24"/>
          <w:szCs w:val="24"/>
        </w:rPr>
        <w:t>V zdaňovacom období 2023</w:t>
      </w:r>
      <w:r w:rsidR="002E66A4">
        <w:rPr>
          <w:rFonts w:ascii="Calibri Light" w:hAnsi="Calibri Light" w:cs="ArialNarrow"/>
          <w:sz w:val="24"/>
          <w:szCs w:val="24"/>
        </w:rPr>
        <w:t xml:space="preserve">  ÚJ neplatila preddavky na daň z príjmu.</w:t>
      </w:r>
    </w:p>
    <w:p w:rsidR="00A920EB" w:rsidRDefault="00A920EB">
      <w:pPr>
        <w:pStyle w:val="Odsekzoznamu"/>
        <w:spacing w:after="0" w:line="360" w:lineRule="auto"/>
        <w:ind w:left="0"/>
        <w:jc w:val="both"/>
        <w:rPr>
          <w:rFonts w:ascii="Calibri Light" w:hAnsi="Calibri Light" w:cs="ArialNarrow"/>
          <w:sz w:val="24"/>
          <w:szCs w:val="24"/>
        </w:rPr>
      </w:pPr>
    </w:p>
    <w:p w:rsidR="00A920EB" w:rsidRDefault="00A920EB">
      <w:pPr>
        <w:pStyle w:val="Odsekzoznamu"/>
        <w:spacing w:after="0" w:line="360" w:lineRule="auto"/>
        <w:ind w:left="0"/>
        <w:jc w:val="both"/>
        <w:rPr>
          <w:rFonts w:ascii="Calibri Light" w:hAnsi="Calibri Light" w:cs="ArialNarrow"/>
          <w:sz w:val="24"/>
          <w:szCs w:val="24"/>
        </w:rPr>
      </w:pPr>
    </w:p>
    <w:p w:rsidR="00A920EB" w:rsidRDefault="00A920EB">
      <w:pPr>
        <w:pStyle w:val="Odsekzoznamu"/>
        <w:spacing w:after="0" w:line="360" w:lineRule="auto"/>
        <w:ind w:left="0"/>
        <w:jc w:val="both"/>
        <w:rPr>
          <w:rFonts w:ascii="Calibri Light" w:hAnsi="Calibri Light" w:cs="ArialNarrow"/>
          <w:sz w:val="24"/>
          <w:szCs w:val="24"/>
        </w:rPr>
      </w:pPr>
    </w:p>
    <w:p w:rsidR="00A920EB" w:rsidRDefault="00A920EB">
      <w:pPr>
        <w:pStyle w:val="Odsekzoznamu"/>
        <w:spacing w:after="0" w:line="360" w:lineRule="auto"/>
        <w:ind w:left="0"/>
        <w:jc w:val="both"/>
        <w:rPr>
          <w:rFonts w:ascii="Calibri Light" w:hAnsi="Calibri Light" w:cs="ArialNarrow"/>
          <w:sz w:val="24"/>
          <w:szCs w:val="24"/>
        </w:rPr>
      </w:pPr>
    </w:p>
    <w:p w:rsidR="00A920EB" w:rsidRDefault="002E66A4">
      <w:pPr>
        <w:pStyle w:val="Standard"/>
        <w:spacing w:after="0" w:line="360" w:lineRule="auto"/>
        <w:jc w:val="center"/>
        <w:rPr>
          <w:rFonts w:ascii="Calibri Light" w:hAnsi="Calibri Light" w:cs="ArialNarrow"/>
          <w:b/>
          <w:sz w:val="24"/>
          <w:szCs w:val="24"/>
        </w:rPr>
      </w:pPr>
      <w:r>
        <w:rPr>
          <w:rFonts w:ascii="Calibri Light" w:hAnsi="Calibri Light" w:cs="ArialNarrow"/>
          <w:b/>
          <w:sz w:val="24"/>
          <w:szCs w:val="24"/>
        </w:rPr>
        <w:lastRenderedPageBreak/>
        <w:t>Informácie o záväzkoch</w:t>
      </w:r>
    </w:p>
    <w:tbl>
      <w:tblPr>
        <w:tblW w:w="104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1"/>
        <w:gridCol w:w="3492"/>
        <w:gridCol w:w="3497"/>
      </w:tblGrid>
      <w:tr w:rsidR="00A920EB"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b/>
                <w:sz w:val="24"/>
                <w:szCs w:val="24"/>
              </w:rPr>
            </w:pPr>
            <w:r>
              <w:rPr>
                <w:rFonts w:ascii="Calibri Light" w:hAnsi="Calibri Light" w:cs="ArialNarrow"/>
                <w:b/>
                <w:sz w:val="24"/>
                <w:szCs w:val="24"/>
              </w:rPr>
              <w:t>Záväzky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b/>
                <w:sz w:val="24"/>
                <w:szCs w:val="24"/>
              </w:rPr>
            </w:pPr>
            <w:r>
              <w:rPr>
                <w:rFonts w:ascii="Calibri Light" w:hAnsi="Calibri Light" w:cs="ArialNarrow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b/>
                <w:sz w:val="24"/>
                <w:szCs w:val="24"/>
              </w:rPr>
            </w:pPr>
            <w:r>
              <w:rPr>
                <w:rFonts w:ascii="Calibri Light" w:hAnsi="Calibri Light" w:cs="ArialNarrow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20EB"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Doba splatnosti do 1 roka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E04A3D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216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  <w:tc>
          <w:tcPr>
            <w:tcW w:w="3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E04A3D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396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</w:tr>
      <w:tr w:rsidR="00A920EB">
        <w:tc>
          <w:tcPr>
            <w:tcW w:w="3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Doba splatnosti viac ako 1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0 €</w:t>
            </w:r>
          </w:p>
        </w:tc>
        <w:tc>
          <w:tcPr>
            <w:tcW w:w="3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0 €</w:t>
            </w:r>
          </w:p>
        </w:tc>
      </w:tr>
    </w:tbl>
    <w:p w:rsidR="00A920EB" w:rsidRDefault="002E66A4">
      <w:pPr>
        <w:pStyle w:val="Standard"/>
        <w:spacing w:after="0" w:line="360" w:lineRule="auto"/>
        <w:rPr>
          <w:rFonts w:ascii="Calibri Light" w:hAnsi="Calibri Light" w:cs="ArialNarrow"/>
          <w:b/>
          <w:sz w:val="24"/>
          <w:szCs w:val="24"/>
          <w:u w:val="single"/>
        </w:rPr>
      </w:pPr>
      <w:r>
        <w:rPr>
          <w:rFonts w:ascii="Calibri Light" w:hAnsi="Calibri Light" w:cs="ArialNarrow"/>
          <w:b/>
          <w:sz w:val="24"/>
          <w:szCs w:val="24"/>
          <w:u w:val="single"/>
        </w:rPr>
        <w:t>Komentár:</w:t>
      </w:r>
    </w:p>
    <w:p w:rsidR="00A920EB" w:rsidRDefault="002E66A4">
      <w:pPr>
        <w:pStyle w:val="Standard"/>
        <w:spacing w:after="0" w:line="360" w:lineRule="auto"/>
        <w:jc w:val="both"/>
        <w:rPr>
          <w:rFonts w:ascii="Calibri Light" w:hAnsi="Calibri Light" w:cs="ArialNarrow"/>
          <w:sz w:val="24"/>
          <w:szCs w:val="24"/>
        </w:rPr>
      </w:pPr>
      <w:r>
        <w:rPr>
          <w:rFonts w:ascii="Calibri Light" w:hAnsi="Calibri Light" w:cs="ArialNarrow"/>
          <w:sz w:val="24"/>
          <w:szCs w:val="24"/>
        </w:rPr>
        <w:t>Všetky záväzky ÚJ vznikli z obchodného styku a ich splatnosť je do 1 roka. Úhrada všetkých záväzkov za realizuje výlučne cez bankový účet.</w:t>
      </w:r>
    </w:p>
    <w:p w:rsidR="00A920EB" w:rsidRDefault="00A920EB">
      <w:pPr>
        <w:pStyle w:val="Standard"/>
        <w:spacing w:after="0" w:line="360" w:lineRule="auto"/>
        <w:rPr>
          <w:rFonts w:ascii="Calibri Light" w:hAnsi="Calibri Light" w:cs="ArialNarrow"/>
          <w:sz w:val="24"/>
          <w:szCs w:val="24"/>
        </w:rPr>
      </w:pPr>
    </w:p>
    <w:p w:rsidR="00A920EB" w:rsidRDefault="002E66A4">
      <w:pPr>
        <w:pStyle w:val="Standard"/>
        <w:spacing w:after="0" w:line="360" w:lineRule="auto"/>
        <w:jc w:val="center"/>
        <w:rPr>
          <w:rFonts w:ascii="Calibri Light" w:hAnsi="Calibri Light" w:cs="ArialNarrow"/>
          <w:b/>
          <w:sz w:val="24"/>
          <w:szCs w:val="24"/>
        </w:rPr>
      </w:pPr>
      <w:r>
        <w:rPr>
          <w:rFonts w:ascii="Calibri Light" w:hAnsi="Calibri Light" w:cs="ArialNarrow"/>
          <w:b/>
          <w:sz w:val="24"/>
          <w:szCs w:val="24"/>
        </w:rPr>
        <w:t>Zmeny vo vlastnom imaní</w:t>
      </w:r>
    </w:p>
    <w:tbl>
      <w:tblPr>
        <w:tblW w:w="104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4"/>
        <w:gridCol w:w="2183"/>
        <w:gridCol w:w="2128"/>
        <w:gridCol w:w="2073"/>
        <w:gridCol w:w="1852"/>
      </w:tblGrid>
      <w:tr w:rsidR="00A920EB">
        <w:trPr>
          <w:trHeight w:val="1063"/>
        </w:trPr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A920EB">
            <w:pPr>
              <w:pStyle w:val="Standard"/>
              <w:spacing w:after="0" w:line="240" w:lineRule="auto"/>
              <w:rPr>
                <w:rFonts w:ascii="Calibri Light" w:hAnsi="Calibri Light" w:cs="ArialNarrow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E04A3D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b/>
                <w:sz w:val="24"/>
                <w:szCs w:val="24"/>
              </w:rPr>
            </w:pPr>
            <w:r>
              <w:rPr>
                <w:rFonts w:ascii="Calibri Light" w:hAnsi="Calibri Light" w:cs="ArialNarrow"/>
                <w:b/>
                <w:sz w:val="24"/>
                <w:szCs w:val="24"/>
              </w:rPr>
              <w:t>Začiatočný stav k 1.1.2023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b/>
                <w:sz w:val="24"/>
                <w:szCs w:val="24"/>
              </w:rPr>
            </w:pPr>
            <w:r>
              <w:rPr>
                <w:rFonts w:ascii="Calibri Light" w:hAnsi="Calibri Light" w:cs="ArialNarrow"/>
                <w:b/>
                <w:sz w:val="24"/>
                <w:szCs w:val="24"/>
              </w:rPr>
              <w:t>Prírastok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2E66A4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b/>
                <w:sz w:val="24"/>
                <w:szCs w:val="24"/>
              </w:rPr>
            </w:pPr>
            <w:r>
              <w:rPr>
                <w:rFonts w:ascii="Calibri Light" w:hAnsi="Calibri Light" w:cs="ArialNarrow"/>
                <w:b/>
                <w:sz w:val="24"/>
                <w:szCs w:val="24"/>
              </w:rPr>
              <w:t>Úbytok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E04A3D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b/>
                <w:sz w:val="24"/>
                <w:szCs w:val="24"/>
              </w:rPr>
            </w:pPr>
            <w:r>
              <w:rPr>
                <w:rFonts w:ascii="Calibri Light" w:hAnsi="Calibri Light" w:cs="ArialNarrow"/>
                <w:b/>
                <w:sz w:val="24"/>
                <w:szCs w:val="24"/>
              </w:rPr>
              <w:t>Zostatok k 31.12.2023</w:t>
            </w:r>
          </w:p>
        </w:tc>
      </w:tr>
      <w:tr w:rsidR="00A920EB"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0EB" w:rsidRDefault="002E66A4">
            <w:pPr>
              <w:pStyle w:val="Standard"/>
              <w:spacing w:after="0" w:line="240" w:lineRule="auto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428 – Nerozdelený zisk minulých rokov</w:t>
            </w:r>
          </w:p>
        </w:tc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E04A3D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470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  <w:tc>
          <w:tcPr>
            <w:tcW w:w="2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E04A3D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16 888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  <w:tc>
          <w:tcPr>
            <w:tcW w:w="2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782915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13 811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  <w:tc>
          <w:tcPr>
            <w:tcW w:w="1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0EB" w:rsidRDefault="00782915">
            <w:pPr>
              <w:pStyle w:val="Standard"/>
              <w:spacing w:after="0" w:line="240" w:lineRule="auto"/>
              <w:jc w:val="center"/>
              <w:rPr>
                <w:rFonts w:ascii="Calibri Light" w:hAnsi="Calibri Light" w:cs="ArialNarrow"/>
                <w:sz w:val="24"/>
                <w:szCs w:val="24"/>
              </w:rPr>
            </w:pPr>
            <w:r>
              <w:rPr>
                <w:rFonts w:ascii="Calibri Light" w:hAnsi="Calibri Light" w:cs="ArialNarrow"/>
                <w:sz w:val="24"/>
                <w:szCs w:val="24"/>
              </w:rPr>
              <w:t>3 547</w:t>
            </w:r>
            <w:r w:rsidR="002E66A4">
              <w:rPr>
                <w:rFonts w:ascii="Calibri Light" w:hAnsi="Calibri Light" w:cs="ArialNarrow"/>
                <w:sz w:val="24"/>
                <w:szCs w:val="24"/>
              </w:rPr>
              <w:t xml:space="preserve"> €</w:t>
            </w:r>
          </w:p>
        </w:tc>
      </w:tr>
    </w:tbl>
    <w:p w:rsidR="00A920EB" w:rsidRDefault="002E66A4">
      <w:pPr>
        <w:pStyle w:val="Standard"/>
        <w:spacing w:after="0" w:line="360" w:lineRule="auto"/>
        <w:jc w:val="both"/>
        <w:rPr>
          <w:rFonts w:ascii="Calibri Light" w:hAnsi="Calibri Light" w:cs="ArialNarrow"/>
          <w:b/>
          <w:sz w:val="24"/>
          <w:szCs w:val="24"/>
          <w:u w:val="single"/>
        </w:rPr>
      </w:pPr>
      <w:r>
        <w:rPr>
          <w:rFonts w:ascii="Calibri Light" w:hAnsi="Calibri Light" w:cs="ArialNarrow"/>
          <w:b/>
          <w:sz w:val="24"/>
          <w:szCs w:val="24"/>
          <w:u w:val="single"/>
        </w:rPr>
        <w:t>Komentár:</w:t>
      </w:r>
    </w:p>
    <w:p w:rsidR="00A920EB" w:rsidRDefault="002E66A4">
      <w:pPr>
        <w:pStyle w:val="Standard"/>
        <w:spacing w:after="0" w:line="360" w:lineRule="auto"/>
        <w:jc w:val="both"/>
      </w:pPr>
      <w:r>
        <w:rPr>
          <w:rFonts w:ascii="Calibri Light" w:hAnsi="Calibri Light" w:cs="ArialNarrow"/>
          <w:sz w:val="24"/>
          <w:szCs w:val="24"/>
        </w:rPr>
        <w:t xml:space="preserve">Spoločenstvo je podľa zákona č. 97/2013 Z. z. v znení neskorších predpisov založené zmluvou </w:t>
      </w:r>
      <w:r>
        <w:rPr>
          <w:rFonts w:ascii="Calibri Light" w:eastAsia="Times New Roman" w:hAnsi="Calibri Light" w:cs="Times New Roman"/>
          <w:sz w:val="24"/>
          <w:szCs w:val="24"/>
          <w:lang w:eastAsia="sk-SK"/>
        </w:rPr>
        <w:t>uzavretou vlastníkmi spoločnej nehnuteľnosti. Počet hlasov vlastníka podielu je prerátaný podľa veľkosti spoluvlastníckeho podielu. Podľa počtu hlasov sa rozdeľuje h</w:t>
      </w:r>
      <w:r w:rsidR="00782915">
        <w:rPr>
          <w:rFonts w:ascii="Calibri Light" w:eastAsia="Times New Roman" w:hAnsi="Calibri Light" w:cs="Times New Roman"/>
          <w:sz w:val="24"/>
          <w:szCs w:val="24"/>
          <w:lang w:eastAsia="sk-SK"/>
        </w:rPr>
        <w:t>ospodársky výsledok. V roku 2023</w:t>
      </w:r>
      <w:r>
        <w:rPr>
          <w:rFonts w:ascii="Calibri Light" w:eastAsia="Times New Roman" w:hAnsi="Calibri Light" w:cs="Times New Roman"/>
          <w:sz w:val="24"/>
          <w:szCs w:val="24"/>
          <w:lang w:eastAsia="sk-SK"/>
        </w:rPr>
        <w:t xml:space="preserve"> valné zhromaždenie </w:t>
      </w:r>
      <w:r w:rsidR="00782915">
        <w:rPr>
          <w:rFonts w:ascii="Calibri Light" w:eastAsia="Times New Roman" w:hAnsi="Calibri Light" w:cs="Times New Roman"/>
          <w:sz w:val="24"/>
          <w:szCs w:val="24"/>
          <w:lang w:eastAsia="sk-SK"/>
        </w:rPr>
        <w:t>rozhodlo o výsledku hospodárenia v schvaľovaní z r. 2022 a rozdelení dividend v sume 0,50 € za hlas.</w:t>
      </w:r>
      <w:r>
        <w:rPr>
          <w:rFonts w:ascii="Calibri Light" w:eastAsia="Times New Roman" w:hAnsi="Calibri Light" w:cs="Times New Roman"/>
          <w:sz w:val="24"/>
          <w:szCs w:val="24"/>
          <w:lang w:eastAsia="sk-SK"/>
        </w:rPr>
        <w:t xml:space="preserve"> </w:t>
      </w:r>
    </w:p>
    <w:p w:rsidR="00A920EB" w:rsidRDefault="00A920EB">
      <w:pPr>
        <w:pStyle w:val="Standard"/>
        <w:spacing w:after="0" w:line="360" w:lineRule="auto"/>
        <w:rPr>
          <w:rFonts w:ascii="Calibri Light" w:hAnsi="Calibri Light" w:cs="ArialNarrow"/>
          <w:sz w:val="24"/>
          <w:szCs w:val="24"/>
        </w:rPr>
      </w:pPr>
    </w:p>
    <w:p w:rsidR="00A920EB" w:rsidRDefault="002E66A4">
      <w:pPr>
        <w:pStyle w:val="Standard"/>
        <w:spacing w:after="0" w:line="360" w:lineRule="auto"/>
        <w:jc w:val="center"/>
        <w:rPr>
          <w:rFonts w:ascii="Calibri Light" w:hAnsi="Calibri Light" w:cs="ArialNarrow"/>
          <w:b/>
          <w:sz w:val="24"/>
          <w:szCs w:val="24"/>
        </w:rPr>
      </w:pPr>
      <w:r>
        <w:rPr>
          <w:rFonts w:ascii="Calibri Light" w:hAnsi="Calibri Light" w:cs="ArialNarrow"/>
          <w:b/>
          <w:sz w:val="24"/>
          <w:szCs w:val="24"/>
        </w:rPr>
        <w:t>Informácie o orgánoch účtovnej jednotky</w:t>
      </w:r>
    </w:p>
    <w:p w:rsidR="00A920EB" w:rsidRDefault="002E66A4">
      <w:pPr>
        <w:pStyle w:val="Standard"/>
        <w:spacing w:after="0" w:line="360" w:lineRule="auto"/>
        <w:jc w:val="both"/>
        <w:rPr>
          <w:rFonts w:ascii="Calibri Light" w:hAnsi="Calibri Light" w:cs="ArialNarrow"/>
          <w:sz w:val="24"/>
          <w:szCs w:val="24"/>
        </w:rPr>
      </w:pPr>
      <w:r>
        <w:rPr>
          <w:rFonts w:ascii="Calibri Light" w:hAnsi="Calibri Light" w:cs="ArialNarrow"/>
          <w:sz w:val="24"/>
          <w:szCs w:val="24"/>
        </w:rPr>
        <w:t>Orgánom spoločenstva nebola poskytnutá žiadna záruka ani pôžička. Žiadne finančné prostriedky spoločenstva neboli použité na súkromné účely členov orgánov spoločenstva.</w:t>
      </w:r>
    </w:p>
    <w:p w:rsidR="00A920EB" w:rsidRDefault="00A920EB">
      <w:pPr>
        <w:pStyle w:val="Standard"/>
        <w:spacing w:after="0" w:line="360" w:lineRule="auto"/>
        <w:jc w:val="center"/>
        <w:rPr>
          <w:rFonts w:ascii="Calibri Light" w:hAnsi="Calibri Light" w:cs="ArialNarrow"/>
          <w:b/>
          <w:sz w:val="24"/>
          <w:szCs w:val="24"/>
        </w:rPr>
      </w:pPr>
    </w:p>
    <w:p w:rsidR="00A920EB" w:rsidRDefault="002E66A4">
      <w:pPr>
        <w:pStyle w:val="Standard"/>
        <w:spacing w:after="0" w:line="360" w:lineRule="auto"/>
        <w:jc w:val="center"/>
        <w:rPr>
          <w:rFonts w:ascii="Calibri Light" w:hAnsi="Calibri Light" w:cs="ArialNarrow"/>
          <w:b/>
          <w:sz w:val="24"/>
          <w:szCs w:val="24"/>
        </w:rPr>
      </w:pPr>
      <w:r>
        <w:rPr>
          <w:rFonts w:ascii="Calibri Light" w:hAnsi="Calibri Light" w:cs="ArialNarrow"/>
          <w:b/>
          <w:sz w:val="24"/>
          <w:szCs w:val="24"/>
        </w:rPr>
        <w:t>Informácie o povinnostiach účtovnej jednotky</w:t>
      </w:r>
    </w:p>
    <w:p w:rsidR="00A920EB" w:rsidRDefault="002E66A4">
      <w:pPr>
        <w:pStyle w:val="Standard"/>
        <w:spacing w:after="0" w:line="360" w:lineRule="auto"/>
        <w:jc w:val="both"/>
        <w:rPr>
          <w:rFonts w:ascii="Calibri Light" w:hAnsi="Calibri Light" w:cs="ArialNarrow"/>
          <w:sz w:val="24"/>
          <w:szCs w:val="24"/>
        </w:rPr>
      </w:pPr>
      <w:r>
        <w:rPr>
          <w:rFonts w:ascii="Calibri Light" w:hAnsi="Calibri Light" w:cs="ArialNarrow"/>
          <w:sz w:val="24"/>
          <w:szCs w:val="24"/>
        </w:rPr>
        <w:t>ÚJ nemá žiadnu finančnú povinnosť, ktorá sa nevykazuje v súvahe.</w:t>
      </w:r>
    </w:p>
    <w:p w:rsidR="00A920EB" w:rsidRDefault="002E66A4">
      <w:pPr>
        <w:pStyle w:val="Standard"/>
        <w:spacing w:after="0" w:line="360" w:lineRule="auto"/>
        <w:rPr>
          <w:rFonts w:ascii="Calibri Light" w:hAnsi="Calibri Light" w:cs="ArialNarrow"/>
          <w:sz w:val="24"/>
          <w:szCs w:val="24"/>
        </w:rPr>
      </w:pPr>
      <w:r>
        <w:rPr>
          <w:rFonts w:ascii="Calibri Light" w:hAnsi="Calibri Light" w:cs="ArialNarrow"/>
          <w:sz w:val="24"/>
          <w:szCs w:val="24"/>
        </w:rPr>
        <w:t>ÚJ nemá žiadne podmienené záväzky.</w:t>
      </w:r>
    </w:p>
    <w:p w:rsidR="00A920EB" w:rsidRDefault="00A920EB">
      <w:pPr>
        <w:pStyle w:val="Standard"/>
        <w:spacing w:after="0" w:line="360" w:lineRule="auto"/>
      </w:pPr>
    </w:p>
    <w:sectPr w:rsidR="00A920EB">
      <w:headerReference w:type="default" r:id="rId7"/>
      <w:footerReference w:type="default" r:id="rId8"/>
      <w:pgSz w:w="11906" w:h="16838"/>
      <w:pgMar w:top="1135" w:right="707" w:bottom="851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A0B" w:rsidRDefault="00E36A0B">
      <w:pPr>
        <w:spacing w:after="0" w:line="240" w:lineRule="auto"/>
      </w:pPr>
      <w:r>
        <w:separator/>
      </w:r>
    </w:p>
  </w:endnote>
  <w:endnote w:type="continuationSeparator" w:id="0">
    <w:p w:rsidR="00E36A0B" w:rsidRDefault="00E3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-Bold">
    <w:charset w:val="00"/>
    <w:family w:val="auto"/>
    <w:pitch w:val="variable"/>
  </w:font>
  <w:font w:name="ArialNarrow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13E" w:rsidRDefault="002E66A4">
    <w:pPr>
      <w:pStyle w:val="Pta"/>
      <w:tabs>
        <w:tab w:val="clear" w:pos="9072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E55EE4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A0B" w:rsidRDefault="00E36A0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36A0B" w:rsidRDefault="00E3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13E" w:rsidRDefault="002E66A4">
    <w:pPr>
      <w:pStyle w:val="Hlavika"/>
      <w:tabs>
        <w:tab w:val="clear" w:pos="9072"/>
      </w:tabs>
    </w:pPr>
    <w:r>
      <w:rPr>
        <w:rFonts w:ascii="Calibri Light" w:hAnsi="Calibri Light"/>
      </w:rPr>
      <w:t xml:space="preserve"> </w:t>
    </w:r>
    <w:r>
      <w:rPr>
        <w:rFonts w:ascii="Calibri Light" w:hAnsi="Calibri Light"/>
        <w:sz w:val="24"/>
        <w:szCs w:val="24"/>
      </w:rPr>
      <w:t>Poznámky Úč MÚJ 3 -01</w:t>
    </w:r>
    <w:r>
      <w:rPr>
        <w:rFonts w:ascii="Calibri Light" w:hAnsi="Calibri Light"/>
      </w:rPr>
      <w:t xml:space="preserve"> </w:t>
    </w:r>
    <w:r>
      <w:rPr>
        <w:rFonts w:ascii="Calibri Light" w:hAnsi="Calibri Light"/>
      </w:rPr>
      <w:tab/>
      <w:t xml:space="preserve"> </w:t>
    </w:r>
    <w:r>
      <w:rPr>
        <w:rFonts w:ascii="Calibri Light" w:hAnsi="Calibri Light"/>
      </w:rPr>
      <w:tab/>
    </w:r>
    <w:r>
      <w:rPr>
        <w:rFonts w:ascii="Calibri Light" w:hAnsi="Calibri Light"/>
      </w:rPr>
      <w:tab/>
    </w:r>
    <w:r>
      <w:rPr>
        <w:rFonts w:ascii="Calibri Light" w:hAnsi="Calibri Light"/>
      </w:rPr>
      <w:tab/>
      <w:t xml:space="preserve">           </w:t>
    </w:r>
    <w:r>
      <w:rPr>
        <w:rFonts w:ascii="Calibri Light" w:hAnsi="Calibri Light"/>
        <w:sz w:val="24"/>
        <w:szCs w:val="24"/>
      </w:rPr>
      <w:t xml:space="preserve">    IČO: 00630187   DIČ: 2020692289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6D76"/>
    <w:multiLevelType w:val="multilevel"/>
    <w:tmpl w:val="4A74DA0E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21248FA"/>
    <w:multiLevelType w:val="multilevel"/>
    <w:tmpl w:val="A634BA0E"/>
    <w:styleLink w:val="WWNum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59357D5F"/>
    <w:multiLevelType w:val="multilevel"/>
    <w:tmpl w:val="EEE8FF98"/>
    <w:styleLink w:val="WWNum1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3323E39"/>
    <w:multiLevelType w:val="multilevel"/>
    <w:tmpl w:val="A82AFE66"/>
    <w:styleLink w:val="WWNum3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EB"/>
    <w:rsid w:val="002A1FCC"/>
    <w:rsid w:val="002E66A4"/>
    <w:rsid w:val="00782915"/>
    <w:rsid w:val="00A920EB"/>
    <w:rsid w:val="00D47A94"/>
    <w:rsid w:val="00DF4697"/>
    <w:rsid w:val="00E04A3D"/>
    <w:rsid w:val="00E36A0B"/>
    <w:rsid w:val="00E55EE4"/>
    <w:rsid w:val="00E7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F7170"/>
  <w15:docId w15:val="{57F02B76-5B44-4998-84E1-0064DE93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kern w:val="3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Textbody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lavika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Odsekzoznamu">
    <w:name w:val="List Paragraph"/>
    <w:basedOn w:val="Standard"/>
    <w:pPr>
      <w:ind w:left="720"/>
    </w:pPr>
  </w:style>
  <w:style w:type="paragraph" w:customStyle="1" w:styleId="Default">
    <w:name w:val="Default"/>
    <w:pPr>
      <w:widowControl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">
    <w:name w:val="para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character" w:styleId="PremennHTML">
    <w:name w:val="HTML Variable"/>
    <w:basedOn w:val="Predvolenpsmoodseku"/>
    <w:rPr>
      <w:i/>
      <w:iCs/>
    </w:rPr>
  </w:style>
  <w:style w:type="character" w:customStyle="1" w:styleId="Nadpis1Char">
    <w:name w:val="Nadpis 1 Char"/>
    <w:basedOn w:val="Predvolenpsmoodseku"/>
    <w:rPr>
      <w:rFonts w:ascii="Times New Roman" w:eastAsia="Times New Roman" w:hAnsi="Times New Roman" w:cs="Times New Roman"/>
      <w:b/>
      <w:bCs/>
      <w:kern w:val="3"/>
      <w:sz w:val="48"/>
      <w:szCs w:val="48"/>
      <w:lang w:eastAsia="sk-SK"/>
    </w:rPr>
  </w:style>
  <w:style w:type="character" w:customStyle="1" w:styleId="h1a">
    <w:name w:val="h1a"/>
    <w:basedOn w:val="Predvolenpsmoodseku"/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  <w:style w:type="numbering" w:customStyle="1" w:styleId="WWNum1">
    <w:name w:val="WWNum1"/>
    <w:basedOn w:val="Bezzoznamu"/>
    <w:pPr>
      <w:numPr>
        <w:numId w:val="1"/>
      </w:numPr>
    </w:pPr>
  </w:style>
  <w:style w:type="numbering" w:customStyle="1" w:styleId="WWNum2">
    <w:name w:val="WWNum2"/>
    <w:basedOn w:val="Bezzoznamu"/>
    <w:pPr>
      <w:numPr>
        <w:numId w:val="2"/>
      </w:numPr>
    </w:pPr>
  </w:style>
  <w:style w:type="numbering" w:customStyle="1" w:styleId="WWNum3">
    <w:name w:val="WWNum3"/>
    <w:basedOn w:val="Bezzoznamu"/>
    <w:pPr>
      <w:numPr>
        <w:numId w:val="3"/>
      </w:numPr>
    </w:pPr>
  </w:style>
  <w:style w:type="numbering" w:customStyle="1" w:styleId="WWNum4">
    <w:name w:val="WWNum4"/>
    <w:basedOn w:val="Bezzoznamu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Gajdošová GOLD TRAVEL</dc:creator>
  <cp:lastModifiedBy>Gajdosova Andrea</cp:lastModifiedBy>
  <cp:revision>2</cp:revision>
  <cp:lastPrinted>2020-06-30T15:43:00Z</cp:lastPrinted>
  <dcterms:created xsi:type="dcterms:W3CDTF">2024-07-01T10:07:00Z</dcterms:created>
  <dcterms:modified xsi:type="dcterms:W3CDTF">2024-07-01T10:07:00Z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