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D118F" w:rsidRPr="00EA27C3" w:rsidRDefault="00EA27C3" w:rsidP="00EA27C3">
      <w:pPr>
        <w:spacing w:after="0" w:line="240" w:lineRule="auto"/>
        <w:rPr>
          <w:rFonts w:ascii="Arial" w:hAnsi="Arial" w:cs="Arial"/>
          <w:b/>
          <w:sz w:val="24"/>
          <w:szCs w:val="24"/>
        </w:rPr>
      </w:pPr>
      <w:r w:rsidRPr="00EA27C3">
        <w:rPr>
          <w:rFonts w:ascii="Arial" w:hAnsi="Arial" w:cs="Arial"/>
          <w:b/>
          <w:sz w:val="24"/>
          <w:szCs w:val="24"/>
        </w:rPr>
        <w:t>Slovenská obchodná spoločnosť, s.r.o.</w:t>
      </w:r>
    </w:p>
    <w:p w:rsidR="00EA27C3" w:rsidRPr="00EA27C3" w:rsidRDefault="00EA27C3" w:rsidP="00EA27C3">
      <w:pPr>
        <w:spacing w:after="0" w:line="240" w:lineRule="auto"/>
        <w:rPr>
          <w:rFonts w:ascii="Arial" w:hAnsi="Arial" w:cs="Arial"/>
          <w:b/>
          <w:sz w:val="24"/>
          <w:szCs w:val="24"/>
        </w:rPr>
      </w:pPr>
      <w:r w:rsidRPr="00EA27C3">
        <w:rPr>
          <w:rFonts w:ascii="Arial" w:hAnsi="Arial" w:cs="Arial"/>
          <w:b/>
          <w:sz w:val="24"/>
          <w:szCs w:val="24"/>
        </w:rPr>
        <w:t>Kollárova 2, 075 01 Trebišov</w:t>
      </w:r>
    </w:p>
    <w:p w:rsidR="00EA27C3" w:rsidRPr="00EA27C3" w:rsidRDefault="00EA27C3" w:rsidP="00EA27C3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EA27C3">
        <w:rPr>
          <w:rFonts w:ascii="Arial" w:hAnsi="Arial" w:cs="Arial"/>
          <w:sz w:val="24"/>
          <w:szCs w:val="24"/>
        </w:rPr>
        <w:t>IČO: 36 606 596, DIČ: 2022177190</w:t>
      </w:r>
    </w:p>
    <w:p w:rsidR="00EA27C3" w:rsidRPr="00EA27C3" w:rsidRDefault="00EA27C3" w:rsidP="00EA27C3">
      <w:pPr>
        <w:spacing w:after="0" w:line="240" w:lineRule="auto"/>
        <w:jc w:val="both"/>
        <w:rPr>
          <w:rFonts w:ascii="Arial" w:hAnsi="Arial" w:cs="Arial"/>
        </w:rPr>
      </w:pPr>
      <w:r w:rsidRPr="00EA27C3">
        <w:rPr>
          <w:rFonts w:ascii="Arial" w:hAnsi="Arial" w:cs="Arial"/>
        </w:rPr>
        <w:t xml:space="preserve">Zapísaná v OR Okresného súdu Košice I, oddiel </w:t>
      </w:r>
      <w:proofErr w:type="spellStart"/>
      <w:r w:rsidRPr="00EA27C3">
        <w:rPr>
          <w:rFonts w:ascii="Arial" w:hAnsi="Arial" w:cs="Arial"/>
        </w:rPr>
        <w:t>Sro</w:t>
      </w:r>
      <w:proofErr w:type="spellEnd"/>
      <w:r w:rsidRPr="00EA27C3">
        <w:rPr>
          <w:rFonts w:ascii="Arial" w:hAnsi="Arial" w:cs="Arial"/>
        </w:rPr>
        <w:t>, vložka č. 18044/V</w:t>
      </w:r>
    </w:p>
    <w:p w:rsidR="00EA27C3" w:rsidRDefault="00EA27C3" w:rsidP="00EA27C3">
      <w:pPr>
        <w:spacing w:after="0" w:line="240" w:lineRule="auto"/>
        <w:jc w:val="both"/>
        <w:rPr>
          <w:rFonts w:ascii="Arial" w:hAnsi="Arial" w:cs="Arial"/>
        </w:rPr>
      </w:pPr>
    </w:p>
    <w:p w:rsidR="00EA27C3" w:rsidRPr="00EA27C3" w:rsidRDefault="00EA27C3" w:rsidP="00EA27C3">
      <w:pPr>
        <w:spacing w:after="0" w:line="240" w:lineRule="auto"/>
        <w:jc w:val="both"/>
        <w:rPr>
          <w:rFonts w:ascii="Arial" w:hAnsi="Arial" w:cs="Arial"/>
        </w:rPr>
      </w:pPr>
    </w:p>
    <w:p w:rsidR="00EA27C3" w:rsidRPr="00EA27C3" w:rsidRDefault="00824031" w:rsidP="00EA27C3">
      <w:pPr>
        <w:spacing w:after="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Trebišov, </w:t>
      </w:r>
      <w:r w:rsidR="00435AC1">
        <w:rPr>
          <w:rFonts w:ascii="Arial" w:hAnsi="Arial" w:cs="Arial"/>
        </w:rPr>
        <w:t>26.06.2024</w:t>
      </w:r>
    </w:p>
    <w:p w:rsidR="00EA27C3" w:rsidRPr="00EA27C3" w:rsidRDefault="00EA27C3" w:rsidP="00EA27C3">
      <w:pPr>
        <w:spacing w:after="0" w:line="240" w:lineRule="auto"/>
        <w:jc w:val="both"/>
        <w:rPr>
          <w:rFonts w:ascii="Arial" w:hAnsi="Arial" w:cs="Arial"/>
        </w:rPr>
      </w:pPr>
    </w:p>
    <w:p w:rsidR="00EA27C3" w:rsidRPr="00EA27C3" w:rsidRDefault="00EA27C3" w:rsidP="00EA27C3">
      <w:pPr>
        <w:spacing w:after="0" w:line="240" w:lineRule="auto"/>
        <w:jc w:val="both"/>
        <w:rPr>
          <w:rFonts w:ascii="Arial" w:hAnsi="Arial" w:cs="Arial"/>
          <w:b/>
        </w:rPr>
      </w:pPr>
    </w:p>
    <w:p w:rsidR="00EA27C3" w:rsidRPr="00EA27C3" w:rsidRDefault="00EA27C3" w:rsidP="00EA27C3">
      <w:pPr>
        <w:spacing w:after="0" w:line="240" w:lineRule="auto"/>
        <w:jc w:val="both"/>
        <w:rPr>
          <w:rFonts w:ascii="Arial" w:hAnsi="Arial" w:cs="Arial"/>
          <w:b/>
        </w:rPr>
      </w:pPr>
      <w:r w:rsidRPr="00EA27C3">
        <w:rPr>
          <w:rFonts w:ascii="Arial" w:hAnsi="Arial" w:cs="Arial"/>
          <w:b/>
        </w:rPr>
        <w:t>Príloha</w:t>
      </w:r>
      <w:r w:rsidR="00435AC1">
        <w:rPr>
          <w:rFonts w:ascii="Arial" w:hAnsi="Arial" w:cs="Arial"/>
          <w:b/>
        </w:rPr>
        <w:t xml:space="preserve"> k účtovnej závierke za rok 2023</w:t>
      </w:r>
    </w:p>
    <w:p w:rsidR="00EA27C3" w:rsidRPr="00EA27C3" w:rsidRDefault="00EA27C3" w:rsidP="00EA27C3">
      <w:pPr>
        <w:spacing w:after="0" w:line="240" w:lineRule="auto"/>
        <w:jc w:val="both"/>
        <w:rPr>
          <w:rFonts w:ascii="Arial" w:hAnsi="Arial" w:cs="Arial"/>
        </w:rPr>
      </w:pPr>
    </w:p>
    <w:p w:rsidR="00EA27C3" w:rsidRDefault="00EA27C3" w:rsidP="00EA27C3">
      <w:pPr>
        <w:spacing w:after="0" w:line="240" w:lineRule="auto"/>
        <w:jc w:val="both"/>
        <w:rPr>
          <w:rFonts w:ascii="Arial" w:hAnsi="Arial" w:cs="Arial"/>
        </w:rPr>
      </w:pPr>
    </w:p>
    <w:p w:rsidR="00EA27C3" w:rsidRPr="00EA27C3" w:rsidRDefault="00EA27C3" w:rsidP="00EA27C3">
      <w:pPr>
        <w:spacing w:after="0" w:line="240" w:lineRule="auto"/>
        <w:jc w:val="both"/>
        <w:rPr>
          <w:rFonts w:ascii="Arial" w:hAnsi="Arial" w:cs="Arial"/>
        </w:rPr>
      </w:pPr>
    </w:p>
    <w:p w:rsidR="00EA27C3" w:rsidRPr="00EA27C3" w:rsidRDefault="00EA27C3" w:rsidP="00EA27C3">
      <w:pPr>
        <w:spacing w:after="0" w:line="240" w:lineRule="auto"/>
        <w:jc w:val="both"/>
        <w:rPr>
          <w:rFonts w:ascii="Arial" w:hAnsi="Arial" w:cs="Arial"/>
        </w:rPr>
      </w:pPr>
      <w:r w:rsidRPr="00EA27C3">
        <w:rPr>
          <w:rFonts w:ascii="Arial" w:hAnsi="Arial" w:cs="Arial"/>
        </w:rPr>
        <w:t>Spoločnosť počas roka 20</w:t>
      </w:r>
      <w:r w:rsidR="00824031">
        <w:rPr>
          <w:rFonts w:ascii="Arial" w:hAnsi="Arial" w:cs="Arial"/>
        </w:rPr>
        <w:t>2</w:t>
      </w:r>
      <w:r w:rsidR="00435AC1">
        <w:rPr>
          <w:rFonts w:ascii="Arial" w:hAnsi="Arial" w:cs="Arial"/>
        </w:rPr>
        <w:t>3</w:t>
      </w:r>
      <w:r w:rsidRPr="00EA27C3">
        <w:rPr>
          <w:rFonts w:ascii="Arial" w:hAnsi="Arial" w:cs="Arial"/>
        </w:rPr>
        <w:t xml:space="preserve"> vykonávala maloobchodnú činnosť v oblasti poskytovania služieb.</w:t>
      </w:r>
    </w:p>
    <w:p w:rsidR="00EA27C3" w:rsidRPr="00EA27C3" w:rsidRDefault="00EA27C3" w:rsidP="00EA27C3">
      <w:pPr>
        <w:spacing w:after="0" w:line="240" w:lineRule="auto"/>
        <w:jc w:val="both"/>
        <w:rPr>
          <w:rFonts w:ascii="Arial" w:hAnsi="Arial" w:cs="Arial"/>
        </w:rPr>
      </w:pPr>
    </w:p>
    <w:p w:rsidR="00EA27C3" w:rsidRPr="00EA27C3" w:rsidRDefault="00EA27C3" w:rsidP="00EA27C3">
      <w:pPr>
        <w:spacing w:after="0" w:line="240" w:lineRule="auto"/>
        <w:jc w:val="both"/>
        <w:rPr>
          <w:rFonts w:ascii="Arial" w:hAnsi="Arial" w:cs="Arial"/>
        </w:rPr>
      </w:pPr>
      <w:r w:rsidRPr="00EA27C3">
        <w:rPr>
          <w:rFonts w:ascii="Arial" w:hAnsi="Arial" w:cs="Arial"/>
        </w:rPr>
        <w:t>Spoločnosť nie je súčasťou konsolidovaného celku.</w:t>
      </w:r>
    </w:p>
    <w:p w:rsidR="00EA27C3" w:rsidRPr="00EA27C3" w:rsidRDefault="00EA27C3" w:rsidP="00EA27C3">
      <w:pPr>
        <w:spacing w:after="0" w:line="240" w:lineRule="auto"/>
        <w:jc w:val="both"/>
        <w:rPr>
          <w:rFonts w:ascii="Arial" w:hAnsi="Arial" w:cs="Arial"/>
        </w:rPr>
      </w:pPr>
    </w:p>
    <w:p w:rsidR="00EA27C3" w:rsidRPr="00EA27C3" w:rsidRDefault="00EA27C3" w:rsidP="00EA27C3">
      <w:pPr>
        <w:spacing w:after="0" w:line="240" w:lineRule="auto"/>
        <w:jc w:val="both"/>
        <w:rPr>
          <w:rFonts w:ascii="Arial" w:hAnsi="Arial" w:cs="Arial"/>
        </w:rPr>
      </w:pPr>
      <w:r w:rsidRPr="00EA27C3">
        <w:rPr>
          <w:rFonts w:ascii="Arial" w:hAnsi="Arial" w:cs="Arial"/>
        </w:rPr>
        <w:t>Spoločnosť je platcom DPH.</w:t>
      </w:r>
    </w:p>
    <w:p w:rsidR="00EA27C3" w:rsidRPr="00EA27C3" w:rsidRDefault="00EA27C3" w:rsidP="00EA27C3">
      <w:pPr>
        <w:spacing w:after="0" w:line="240" w:lineRule="auto"/>
        <w:jc w:val="both"/>
        <w:rPr>
          <w:rFonts w:ascii="Arial" w:hAnsi="Arial" w:cs="Arial"/>
        </w:rPr>
      </w:pPr>
    </w:p>
    <w:p w:rsidR="00EA27C3" w:rsidRPr="00EA27C3" w:rsidRDefault="00EA27C3" w:rsidP="00EA27C3">
      <w:pPr>
        <w:spacing w:after="0" w:line="240" w:lineRule="auto"/>
        <w:jc w:val="both"/>
        <w:rPr>
          <w:rFonts w:ascii="Arial" w:hAnsi="Arial" w:cs="Arial"/>
        </w:rPr>
      </w:pPr>
      <w:r w:rsidRPr="00EA27C3">
        <w:rPr>
          <w:rFonts w:ascii="Arial" w:hAnsi="Arial" w:cs="Arial"/>
        </w:rPr>
        <w:t>Počet zamestnancov:</w:t>
      </w:r>
      <w:r w:rsidRPr="00EA27C3">
        <w:rPr>
          <w:rFonts w:ascii="Arial" w:hAnsi="Arial" w:cs="Arial"/>
        </w:rPr>
        <w:tab/>
        <w:t>0</w:t>
      </w:r>
    </w:p>
    <w:p w:rsidR="00EA27C3" w:rsidRPr="00EA27C3" w:rsidRDefault="00EA27C3" w:rsidP="00EA27C3">
      <w:pPr>
        <w:spacing w:after="0" w:line="240" w:lineRule="auto"/>
        <w:jc w:val="both"/>
        <w:rPr>
          <w:rFonts w:ascii="Arial" w:hAnsi="Arial" w:cs="Arial"/>
        </w:rPr>
      </w:pPr>
    </w:p>
    <w:p w:rsidR="00EA27C3" w:rsidRPr="00EA27C3" w:rsidRDefault="00EA27C3" w:rsidP="00EA27C3">
      <w:pPr>
        <w:spacing w:after="0" w:line="240" w:lineRule="auto"/>
        <w:jc w:val="both"/>
        <w:rPr>
          <w:rFonts w:ascii="Arial" w:hAnsi="Arial" w:cs="Arial"/>
        </w:rPr>
      </w:pPr>
      <w:r w:rsidRPr="00EA27C3">
        <w:rPr>
          <w:rFonts w:ascii="Arial" w:hAnsi="Arial" w:cs="Arial"/>
        </w:rPr>
        <w:t>Účtovná závierka spoločnosti k 31.12.20</w:t>
      </w:r>
      <w:r w:rsidR="00A532C9">
        <w:rPr>
          <w:rFonts w:ascii="Arial" w:hAnsi="Arial" w:cs="Arial"/>
        </w:rPr>
        <w:t>2</w:t>
      </w:r>
      <w:r w:rsidR="00435AC1">
        <w:rPr>
          <w:rFonts w:ascii="Arial" w:hAnsi="Arial" w:cs="Arial"/>
        </w:rPr>
        <w:t>3</w:t>
      </w:r>
      <w:r w:rsidRPr="00EA27C3">
        <w:rPr>
          <w:rFonts w:ascii="Arial" w:hAnsi="Arial" w:cs="Arial"/>
        </w:rPr>
        <w:t xml:space="preserve"> je zostavená ako riadna účtovná závierka, a to za účtovné obdobie od 01.01.20</w:t>
      </w:r>
      <w:r w:rsidR="00A532C9">
        <w:rPr>
          <w:rFonts w:ascii="Arial" w:hAnsi="Arial" w:cs="Arial"/>
        </w:rPr>
        <w:t>2</w:t>
      </w:r>
      <w:r w:rsidR="00435AC1">
        <w:rPr>
          <w:rFonts w:ascii="Arial" w:hAnsi="Arial" w:cs="Arial"/>
        </w:rPr>
        <w:t>3</w:t>
      </w:r>
      <w:r w:rsidRPr="00EA27C3">
        <w:rPr>
          <w:rFonts w:ascii="Arial" w:hAnsi="Arial" w:cs="Arial"/>
        </w:rPr>
        <w:t xml:space="preserve"> do 31.12.20</w:t>
      </w:r>
      <w:r w:rsidR="00A532C9">
        <w:rPr>
          <w:rFonts w:ascii="Arial" w:hAnsi="Arial" w:cs="Arial"/>
        </w:rPr>
        <w:t>2</w:t>
      </w:r>
      <w:r w:rsidR="00435AC1">
        <w:rPr>
          <w:rFonts w:ascii="Arial" w:hAnsi="Arial" w:cs="Arial"/>
        </w:rPr>
        <w:t>3</w:t>
      </w:r>
      <w:r w:rsidRPr="00EA27C3">
        <w:rPr>
          <w:rFonts w:ascii="Arial" w:hAnsi="Arial" w:cs="Arial"/>
        </w:rPr>
        <w:t xml:space="preserve">. </w:t>
      </w:r>
    </w:p>
    <w:p w:rsidR="00EA27C3" w:rsidRPr="00EA27C3" w:rsidRDefault="00EA27C3" w:rsidP="00EA27C3">
      <w:pPr>
        <w:spacing w:after="0" w:line="240" w:lineRule="auto"/>
        <w:jc w:val="both"/>
        <w:rPr>
          <w:rFonts w:ascii="Arial" w:hAnsi="Arial" w:cs="Arial"/>
        </w:rPr>
      </w:pPr>
    </w:p>
    <w:p w:rsidR="00EA27C3" w:rsidRPr="00EA27C3" w:rsidRDefault="00EA27C3" w:rsidP="00EA27C3">
      <w:pPr>
        <w:spacing w:after="0" w:line="240" w:lineRule="auto"/>
        <w:jc w:val="both"/>
        <w:rPr>
          <w:rFonts w:ascii="Arial" w:hAnsi="Arial" w:cs="Arial"/>
        </w:rPr>
      </w:pPr>
      <w:r w:rsidRPr="00EA27C3">
        <w:rPr>
          <w:rFonts w:ascii="Arial" w:hAnsi="Arial" w:cs="Arial"/>
        </w:rPr>
        <w:t>Pohľadávky sa pri ich vzniku oceňujú ich menovitou hodnotou.</w:t>
      </w:r>
    </w:p>
    <w:p w:rsidR="00EA27C3" w:rsidRPr="00EA27C3" w:rsidRDefault="00EA27C3" w:rsidP="00EA27C3">
      <w:pPr>
        <w:spacing w:after="0" w:line="240" w:lineRule="auto"/>
        <w:jc w:val="both"/>
        <w:rPr>
          <w:rFonts w:ascii="Arial" w:hAnsi="Arial" w:cs="Arial"/>
        </w:rPr>
      </w:pPr>
      <w:r w:rsidRPr="00EA27C3">
        <w:rPr>
          <w:rFonts w:ascii="Arial" w:hAnsi="Arial" w:cs="Arial"/>
        </w:rPr>
        <w:t xml:space="preserve">Peňažné prostriedky sa oceňujú ich menovitou hodnotou. </w:t>
      </w:r>
    </w:p>
    <w:p w:rsidR="00EA27C3" w:rsidRPr="00EA27C3" w:rsidRDefault="00EA27C3" w:rsidP="00EA27C3">
      <w:pPr>
        <w:spacing w:after="0" w:line="240" w:lineRule="auto"/>
        <w:jc w:val="both"/>
        <w:rPr>
          <w:rFonts w:ascii="Arial" w:hAnsi="Arial" w:cs="Arial"/>
        </w:rPr>
      </w:pPr>
      <w:r w:rsidRPr="00EA27C3">
        <w:rPr>
          <w:rFonts w:ascii="Arial" w:hAnsi="Arial" w:cs="Arial"/>
        </w:rPr>
        <w:t>Záväzky sa pri ich vzniku oceňujú menovitou hodnotou</w:t>
      </w:r>
    </w:p>
    <w:p w:rsidR="00EA27C3" w:rsidRPr="00EA27C3" w:rsidRDefault="00EA27C3" w:rsidP="00EA27C3">
      <w:pPr>
        <w:spacing w:after="0" w:line="240" w:lineRule="auto"/>
        <w:rPr>
          <w:rFonts w:ascii="Arial" w:hAnsi="Arial" w:cs="Arial"/>
          <w:sz w:val="24"/>
          <w:szCs w:val="24"/>
        </w:rPr>
      </w:pPr>
    </w:p>
    <w:sectPr w:rsidR="00EA27C3" w:rsidRPr="00EA27C3" w:rsidSect="00CD118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0B05F59"/>
    <w:multiLevelType w:val="hybridMultilevel"/>
    <w:tmpl w:val="50CAD1FC"/>
    <w:lvl w:ilvl="0" w:tplc="396676DE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EA27C3"/>
    <w:rsid w:val="00156DB1"/>
    <w:rsid w:val="001D4212"/>
    <w:rsid w:val="00435AC1"/>
    <w:rsid w:val="00824031"/>
    <w:rsid w:val="008E2EA7"/>
    <w:rsid w:val="00A532C9"/>
    <w:rsid w:val="00C177BD"/>
    <w:rsid w:val="00CD118F"/>
    <w:rsid w:val="00D72982"/>
    <w:rsid w:val="00EA27C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D118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99"/>
    <w:qFormat/>
    <w:rsid w:val="00EA27C3"/>
    <w:pPr>
      <w:ind w:left="720"/>
      <w:contextualSpacing/>
    </w:pPr>
    <w:rPr>
      <w:rFonts w:eastAsiaTheme="minorEastAsia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110</Words>
  <Characters>631</Characters>
  <Application>Microsoft Office Word</Application>
  <DocSecurity>0</DocSecurity>
  <Lines>5</Lines>
  <Paragraphs>1</Paragraphs>
  <ScaleCrop>false</ScaleCrop>
  <Company/>
  <LinksUpToDate>false</LinksUpToDate>
  <CharactersWithSpaces>740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PC1</dc:creator>
  <cp:lastModifiedBy>PC1</cp:lastModifiedBy>
  <cp:revision>2</cp:revision>
  <dcterms:created xsi:type="dcterms:W3CDTF">2024-07-01T16:34:00Z</dcterms:created>
  <dcterms:modified xsi:type="dcterms:W3CDTF">2024-07-01T16:34:00Z</dcterms:modified>
</cp:coreProperties>
</file>