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Pr="0082310A" w:rsidRDefault="00CB4C58" w:rsidP="00CB4C58">
      <w:pPr>
        <w:keepNext/>
        <w:tabs>
          <w:tab w:val="left" w:pos="2635"/>
          <w:tab w:val="center" w:pos="4734"/>
        </w:tabs>
        <w:outlineLvl w:val="1"/>
        <w:rPr>
          <w:b/>
          <w:bCs/>
          <w:sz w:val="20"/>
          <w:szCs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82310A">
        <w:rPr>
          <w:b/>
          <w:bCs/>
          <w:sz w:val="20"/>
          <w:szCs w:val="20"/>
          <w:highlight w:val="lightGray"/>
        </w:rPr>
        <w:t>Všeobecné údaje</w:t>
      </w:r>
    </w:p>
    <w:p w:rsidR="006C0F8A" w:rsidRPr="0082310A" w:rsidRDefault="006C0F8A" w:rsidP="004E2926">
      <w:pPr>
        <w:ind w:left="425"/>
        <w:jc w:val="both"/>
        <w:rPr>
          <w:b/>
          <w:bCs/>
          <w:sz w:val="20"/>
          <w:szCs w:val="20"/>
        </w:rPr>
      </w:pPr>
    </w:p>
    <w:tbl>
      <w:tblPr>
        <w:tblW w:w="90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6"/>
        <w:gridCol w:w="7072"/>
      </w:tblGrid>
      <w:tr w:rsidR="00F21F19" w:rsidRPr="0082310A" w:rsidTr="007031A0">
        <w:trPr>
          <w:trHeight w:val="116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82310A" w:rsidRDefault="00F21F19" w:rsidP="005E6063">
            <w:pPr>
              <w:rPr>
                <w:sz w:val="20"/>
                <w:szCs w:val="20"/>
              </w:rPr>
            </w:pPr>
          </w:p>
          <w:p w:rsidR="00F21F19" w:rsidRPr="0082310A" w:rsidRDefault="00F21F19" w:rsidP="005E6063">
            <w:pPr>
              <w:rPr>
                <w:b/>
                <w:sz w:val="20"/>
                <w:szCs w:val="20"/>
              </w:rPr>
            </w:pPr>
            <w:r w:rsidRPr="0082310A">
              <w:rPr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553463" w:rsidRDefault="00F21F19" w:rsidP="00D56DAC">
            <w:pPr>
              <w:rPr>
                <w:b/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 </w:t>
            </w:r>
            <w:r w:rsidR="00D56DAC" w:rsidRPr="00553463">
              <w:rPr>
                <w:b/>
                <w:sz w:val="20"/>
                <w:szCs w:val="20"/>
              </w:rPr>
              <w:t>cars&amp;more</w:t>
            </w:r>
            <w:r w:rsidR="000B7215" w:rsidRPr="00553463">
              <w:rPr>
                <w:b/>
                <w:sz w:val="20"/>
                <w:szCs w:val="20"/>
              </w:rPr>
              <w:t>, s.r.o.</w:t>
            </w:r>
          </w:p>
        </w:tc>
      </w:tr>
      <w:tr w:rsidR="00F21F19" w:rsidRPr="0082310A" w:rsidTr="007031A0">
        <w:trPr>
          <w:trHeight w:val="412"/>
        </w:trPr>
        <w:tc>
          <w:tcPr>
            <w:tcW w:w="1096" w:type="pct"/>
            <w:vAlign w:val="center"/>
          </w:tcPr>
          <w:p w:rsidR="00F21F19" w:rsidRPr="0082310A" w:rsidRDefault="00F21F19" w:rsidP="005E6063">
            <w:pPr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82310A" w:rsidRDefault="00D56DAC" w:rsidP="000B72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SNP 17/824, 900 21  Svätý Jur</w:t>
            </w:r>
          </w:p>
        </w:tc>
      </w:tr>
      <w:tr w:rsidR="007031A0" w:rsidRPr="0082310A" w:rsidTr="007031A0">
        <w:trPr>
          <w:trHeight w:val="412"/>
        </w:trPr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1A0" w:rsidRPr="0082310A" w:rsidRDefault="007031A0" w:rsidP="000913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Hospodárska činnosť:</w:t>
            </w: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DAC" w:rsidRPr="00D56DAC" w:rsidRDefault="00D56DAC" w:rsidP="00D56DAC">
            <w:pPr>
              <w:numPr>
                <w:ilvl w:val="0"/>
                <w:numId w:val="10"/>
              </w:numPr>
              <w:tabs>
                <w:tab w:val="clear" w:pos="720"/>
                <w:tab w:val="num" w:pos="318"/>
              </w:tabs>
              <w:ind w:left="318" w:hanging="284"/>
              <w:rPr>
                <w:snapToGrid w:val="0"/>
                <w:sz w:val="20"/>
                <w:szCs w:val="20"/>
              </w:rPr>
            </w:pPr>
            <w:r w:rsidRPr="00D56DAC">
              <w:rPr>
                <w:snapToGrid w:val="0"/>
                <w:sz w:val="20"/>
                <w:szCs w:val="20"/>
              </w:rPr>
              <w:t>kúpa tovaru za účelom jeho ďalšieho predaja a predaj všetkých druhov tovaru, ktoré nevyžadujú špeciálne licencie,</w:t>
            </w:r>
          </w:p>
          <w:p w:rsidR="00D56DAC" w:rsidRPr="00D56DAC" w:rsidRDefault="00D56DAC" w:rsidP="00D56DAC">
            <w:pPr>
              <w:numPr>
                <w:ilvl w:val="0"/>
                <w:numId w:val="10"/>
              </w:numPr>
              <w:tabs>
                <w:tab w:val="clear" w:pos="720"/>
                <w:tab w:val="num" w:pos="318"/>
              </w:tabs>
              <w:ind w:left="318" w:hanging="284"/>
              <w:rPr>
                <w:snapToGrid w:val="0"/>
                <w:sz w:val="20"/>
                <w:szCs w:val="20"/>
              </w:rPr>
            </w:pPr>
            <w:r w:rsidRPr="00D56DAC">
              <w:rPr>
                <w:snapToGrid w:val="0"/>
                <w:sz w:val="20"/>
                <w:szCs w:val="20"/>
              </w:rPr>
              <w:t>poskytovvanie služieb v oblasti opráv motorových vozidiel,</w:t>
            </w:r>
          </w:p>
          <w:p w:rsidR="007031A0" w:rsidRPr="000B7215" w:rsidRDefault="00D56DAC" w:rsidP="00D56DAC">
            <w:pPr>
              <w:numPr>
                <w:ilvl w:val="0"/>
                <w:numId w:val="10"/>
              </w:numPr>
              <w:tabs>
                <w:tab w:val="clear" w:pos="720"/>
                <w:tab w:val="num" w:pos="318"/>
              </w:tabs>
              <w:ind w:left="318" w:hanging="284"/>
              <w:rPr>
                <w:snapToGrid w:val="0"/>
                <w:sz w:val="20"/>
                <w:szCs w:val="20"/>
              </w:rPr>
            </w:pPr>
            <w:r w:rsidRPr="00D56DAC">
              <w:rPr>
                <w:snapToGrid w:val="0"/>
                <w:sz w:val="20"/>
                <w:szCs w:val="20"/>
              </w:rPr>
              <w:t>pneuservis,</w:t>
            </w:r>
          </w:p>
        </w:tc>
      </w:tr>
    </w:tbl>
    <w:p w:rsidR="007031A0" w:rsidRPr="0082310A" w:rsidRDefault="007031A0" w:rsidP="00F21F19">
      <w:pPr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53"/>
        <w:gridCol w:w="425"/>
        <w:gridCol w:w="3832"/>
        <w:gridCol w:w="562"/>
      </w:tblGrid>
      <w:tr w:rsidR="004E2926" w:rsidRPr="0082310A" w:rsidTr="005D26AA">
        <w:trPr>
          <w:trHeight w:val="245"/>
        </w:trPr>
        <w:tc>
          <w:tcPr>
            <w:tcW w:w="9072" w:type="dxa"/>
            <w:gridSpan w:val="4"/>
          </w:tcPr>
          <w:p w:rsidR="004E2926" w:rsidRPr="0082310A" w:rsidRDefault="004E2926" w:rsidP="00AE078E">
            <w:pPr>
              <w:jc w:val="center"/>
              <w:rPr>
                <w:b/>
                <w:sz w:val="20"/>
                <w:szCs w:val="20"/>
              </w:rPr>
            </w:pPr>
            <w:r w:rsidRPr="0082310A">
              <w:rPr>
                <w:b/>
                <w:sz w:val="20"/>
                <w:szCs w:val="20"/>
              </w:rPr>
              <w:t>Údaje o konsolidovanom celku</w:t>
            </w:r>
          </w:p>
        </w:tc>
      </w:tr>
      <w:tr w:rsidR="00F355BC" w:rsidRPr="0082310A" w:rsidTr="00F355BC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82310A" w:rsidRDefault="007854C2" w:rsidP="005571A2">
            <w:pPr>
              <w:rPr>
                <w:sz w:val="20"/>
                <w:szCs w:val="20"/>
              </w:rPr>
            </w:pPr>
            <w:r w:rsidRPr="0082310A">
              <w:rPr>
                <w:b/>
                <w:sz w:val="20"/>
                <w:szCs w:val="20"/>
              </w:rPr>
              <w:t>ÚJ</w:t>
            </w:r>
            <w:r w:rsidR="005571A2" w:rsidRPr="0082310A">
              <w:rPr>
                <w:sz w:val="20"/>
                <w:szCs w:val="20"/>
              </w:rPr>
              <w:t xml:space="preserve">   </w:t>
            </w:r>
            <w:r w:rsidRPr="0082310A">
              <w:rPr>
                <w:b/>
                <w:sz w:val="20"/>
                <w:szCs w:val="20"/>
              </w:rPr>
              <w:t>n</w:t>
            </w:r>
            <w:r w:rsidR="00F355BC" w:rsidRPr="0082310A">
              <w:rPr>
                <w:b/>
                <w:sz w:val="20"/>
                <w:szCs w:val="20"/>
              </w:rPr>
              <w:t>ie je</w:t>
            </w:r>
            <w:r w:rsidR="00F355BC" w:rsidRPr="0082310A">
              <w:rPr>
                <w:sz w:val="20"/>
                <w:szCs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82310A" w:rsidRDefault="00F355BC" w:rsidP="005D26AA">
            <w:pPr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82310A" w:rsidRDefault="007854C2" w:rsidP="007854C2">
            <w:pPr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ÚJ je</w:t>
            </w:r>
            <w:r w:rsidR="00F355BC" w:rsidRPr="0082310A">
              <w:rPr>
                <w:sz w:val="20"/>
                <w:szCs w:val="20"/>
              </w:rPr>
              <w:t xml:space="preserve">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82310A" w:rsidRDefault="00F355BC" w:rsidP="005D26AA">
            <w:pPr>
              <w:ind w:left="56"/>
              <w:rPr>
                <w:sz w:val="20"/>
                <w:szCs w:val="20"/>
              </w:rPr>
            </w:pPr>
          </w:p>
        </w:tc>
      </w:tr>
      <w:tr w:rsidR="007854C2" w:rsidRPr="0082310A" w:rsidTr="007854C2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82310A" w:rsidRDefault="007854C2" w:rsidP="005D26AA">
            <w:pPr>
              <w:rPr>
                <w:sz w:val="20"/>
                <w:szCs w:val="20"/>
              </w:rPr>
            </w:pPr>
            <w:r w:rsidRPr="0082310A">
              <w:rPr>
                <w:b/>
                <w:sz w:val="20"/>
                <w:szCs w:val="20"/>
              </w:rPr>
              <w:t>ÚJ</w:t>
            </w:r>
            <w:r w:rsidRPr="0082310A">
              <w:rPr>
                <w:sz w:val="20"/>
                <w:szCs w:val="20"/>
              </w:rPr>
              <w:t xml:space="preserve">   </w:t>
            </w:r>
            <w:r w:rsidRPr="0082310A">
              <w:rPr>
                <w:b/>
                <w:sz w:val="20"/>
                <w:szCs w:val="20"/>
              </w:rPr>
              <w:t>nie je</w:t>
            </w:r>
            <w:r w:rsidRPr="0082310A">
              <w:rPr>
                <w:sz w:val="20"/>
                <w:szCs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82310A" w:rsidRDefault="007854C2" w:rsidP="007854C2">
            <w:pPr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82310A" w:rsidRDefault="007854C2" w:rsidP="005D26AA">
            <w:pPr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82310A" w:rsidRDefault="007854C2" w:rsidP="007854C2">
            <w:pPr>
              <w:ind w:left="56"/>
              <w:rPr>
                <w:sz w:val="20"/>
                <w:szCs w:val="20"/>
              </w:rPr>
            </w:pPr>
          </w:p>
        </w:tc>
      </w:tr>
    </w:tbl>
    <w:p w:rsidR="00F355BC" w:rsidRPr="0082310A" w:rsidRDefault="00F355BC" w:rsidP="00F355BC">
      <w:pPr>
        <w:rPr>
          <w:i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276"/>
      </w:tblGrid>
      <w:tr w:rsidR="004E2926" w:rsidRPr="0082310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82310A" w:rsidRDefault="004E2926" w:rsidP="005D26AA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82310A">
              <w:rPr>
                <w:b/>
                <w:sz w:val="20"/>
                <w:szCs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D56DAC" w:rsidRDefault="00690421" w:rsidP="005D26AA">
            <w:pPr>
              <w:tabs>
                <w:tab w:val="left" w:pos="851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</w:tbl>
    <w:p w:rsidR="007854C2" w:rsidRPr="0082310A" w:rsidRDefault="007854C2" w:rsidP="00A72848">
      <w:pPr>
        <w:tabs>
          <w:tab w:val="left" w:pos="851"/>
        </w:tabs>
        <w:ind w:left="2870"/>
        <w:jc w:val="both"/>
        <w:rPr>
          <w:sz w:val="20"/>
          <w:szCs w:val="20"/>
        </w:rPr>
      </w:pPr>
    </w:p>
    <w:p w:rsidR="00947AC2" w:rsidRPr="0082310A" w:rsidRDefault="00947AC2" w:rsidP="00A72848">
      <w:pPr>
        <w:tabs>
          <w:tab w:val="left" w:pos="851"/>
        </w:tabs>
        <w:ind w:left="2870"/>
        <w:jc w:val="both"/>
        <w:rPr>
          <w:sz w:val="20"/>
          <w:szCs w:val="20"/>
        </w:rPr>
      </w:pPr>
    </w:p>
    <w:p w:rsidR="00931C39" w:rsidRPr="0082310A" w:rsidRDefault="00931C39" w:rsidP="00C13C94">
      <w:pPr>
        <w:jc w:val="center"/>
        <w:rPr>
          <w:b/>
          <w:sz w:val="20"/>
          <w:szCs w:val="20"/>
        </w:rPr>
      </w:pPr>
      <w:r w:rsidRPr="0082310A">
        <w:rPr>
          <w:b/>
          <w:sz w:val="20"/>
          <w:szCs w:val="20"/>
          <w:highlight w:val="lightGray"/>
        </w:rPr>
        <w:t>Informácie o prijatých postupoch</w:t>
      </w:r>
    </w:p>
    <w:p w:rsidR="00A72848" w:rsidRPr="0082310A" w:rsidRDefault="00A72848" w:rsidP="00931C39">
      <w:pPr>
        <w:ind w:left="1121"/>
        <w:jc w:val="both"/>
        <w:rPr>
          <w:b/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82310A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82310A" w:rsidRDefault="007854C2" w:rsidP="00E13CC7">
            <w:pPr>
              <w:pStyle w:val="Odsekzoznamu"/>
              <w:keepNext/>
              <w:numPr>
                <w:ilvl w:val="0"/>
                <w:numId w:val="2"/>
              </w:numPr>
              <w:ind w:left="357" w:hanging="357"/>
              <w:contextualSpacing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368" w:type="dxa"/>
            <w:vAlign w:val="center"/>
          </w:tcPr>
          <w:p w:rsidR="007854C2" w:rsidRPr="0082310A" w:rsidRDefault="007854C2" w:rsidP="005D26AA">
            <w:pPr>
              <w:rPr>
                <w:b/>
                <w:sz w:val="20"/>
                <w:szCs w:val="20"/>
              </w:rPr>
            </w:pPr>
            <w:r w:rsidRPr="0082310A">
              <w:rPr>
                <w:b/>
                <w:sz w:val="20"/>
                <w:szCs w:val="20"/>
              </w:rPr>
              <w:t xml:space="preserve">Účtovná závierka bola zostavená za predpokladu, že účtovná jednotka bude nepretržite pokračovať vo svojej činnosti </w:t>
            </w:r>
          </w:p>
        </w:tc>
        <w:tc>
          <w:tcPr>
            <w:tcW w:w="709" w:type="dxa"/>
            <w:vAlign w:val="center"/>
          </w:tcPr>
          <w:p w:rsidR="007854C2" w:rsidRPr="0082310A" w:rsidRDefault="007854C2" w:rsidP="005D26AA">
            <w:pPr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82310A" w:rsidRDefault="007854C2" w:rsidP="004E2926">
            <w:pPr>
              <w:jc w:val="center"/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82310A" w:rsidRDefault="007854C2" w:rsidP="005571A2">
            <w:pPr>
              <w:jc w:val="center"/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82310A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7854C2" w:rsidRPr="0082310A" w:rsidRDefault="007854C2" w:rsidP="007854C2">
      <w:pPr>
        <w:ind w:left="709"/>
        <w:jc w:val="both"/>
        <w:rPr>
          <w:sz w:val="20"/>
          <w:szCs w:val="20"/>
        </w:rPr>
      </w:pPr>
    </w:p>
    <w:p w:rsidR="006F74F4" w:rsidRPr="0082310A" w:rsidRDefault="00A72848" w:rsidP="00E13CC7">
      <w:pPr>
        <w:pStyle w:val="Odsekzoznamu"/>
        <w:keepNext/>
        <w:numPr>
          <w:ilvl w:val="0"/>
          <w:numId w:val="2"/>
        </w:numPr>
        <w:ind w:left="357" w:hanging="357"/>
        <w:contextualSpacing/>
        <w:jc w:val="both"/>
        <w:outlineLvl w:val="1"/>
        <w:rPr>
          <w:b/>
          <w:sz w:val="20"/>
          <w:szCs w:val="20"/>
        </w:rPr>
      </w:pPr>
      <w:r w:rsidRPr="0082310A">
        <w:rPr>
          <w:b/>
          <w:sz w:val="20"/>
          <w:szCs w:val="20"/>
        </w:rPr>
        <w:t>Spôsob oceňovania</w:t>
      </w:r>
      <w:r w:rsidR="003213EC" w:rsidRPr="0082310A">
        <w:rPr>
          <w:b/>
          <w:sz w:val="20"/>
          <w:szCs w:val="20"/>
        </w:rPr>
        <w:t xml:space="preserve"> jednotlivých </w:t>
      </w:r>
      <w:r w:rsidRPr="0082310A">
        <w:rPr>
          <w:b/>
          <w:sz w:val="20"/>
          <w:szCs w:val="20"/>
        </w:rPr>
        <w:t>položiek majetku a</w:t>
      </w:r>
      <w:r w:rsidR="00C51B12" w:rsidRPr="0082310A">
        <w:rPr>
          <w:b/>
          <w:sz w:val="20"/>
          <w:szCs w:val="20"/>
        </w:rPr>
        <w:t> </w:t>
      </w:r>
      <w:r w:rsidRPr="0082310A">
        <w:rPr>
          <w:b/>
          <w:sz w:val="20"/>
          <w:szCs w:val="20"/>
        </w:rPr>
        <w:t xml:space="preserve">záväzkov </w:t>
      </w:r>
    </w:p>
    <w:p w:rsidR="00F62946" w:rsidRPr="0082310A" w:rsidRDefault="00F62946" w:rsidP="00F62946">
      <w:pPr>
        <w:rPr>
          <w:b/>
          <w:sz w:val="20"/>
          <w:szCs w:val="20"/>
        </w:rPr>
      </w:pPr>
    </w:p>
    <w:p w:rsidR="00F62946" w:rsidRPr="0082310A" w:rsidRDefault="00F62946" w:rsidP="00F62946">
      <w:pPr>
        <w:rPr>
          <w:sz w:val="20"/>
          <w:szCs w:val="20"/>
        </w:rPr>
      </w:pPr>
      <w:r w:rsidRPr="0082310A">
        <w:rPr>
          <w:sz w:val="20"/>
          <w:szCs w:val="20"/>
        </w:rPr>
        <w:t>Pri obstaraní majetku sa uplatňuje princíp obstarávacích cien (t. j. historických cien). Ocenenie jednotlivých položiek majetku a záväzkov je takéto:</w:t>
      </w:r>
    </w:p>
    <w:p w:rsidR="00F62946" w:rsidRPr="0082310A" w:rsidRDefault="00F62946" w:rsidP="00F62946">
      <w:pPr>
        <w:rPr>
          <w:sz w:val="20"/>
          <w:szCs w:val="20"/>
        </w:rPr>
      </w:pPr>
    </w:p>
    <w:p w:rsidR="00F62946" w:rsidRPr="0082310A" w:rsidRDefault="00F62946" w:rsidP="00E13CC7">
      <w:pPr>
        <w:numPr>
          <w:ilvl w:val="0"/>
          <w:numId w:val="3"/>
        </w:numPr>
        <w:jc w:val="both"/>
        <w:rPr>
          <w:sz w:val="20"/>
          <w:szCs w:val="20"/>
        </w:rPr>
      </w:pPr>
      <w:r w:rsidRPr="0082310A">
        <w:rPr>
          <w:sz w:val="20"/>
          <w:szCs w:val="20"/>
        </w:rPr>
        <w:t>Dlhodobý hmotný a nehmotný majetok obstaraný kúpou – obstarávacou cenou. Obstarávacia cena je cena, za ktorú sa majetok obstaral, a náklady súvisiace s jeho obstaraním (prepravné a clo).</w:t>
      </w:r>
    </w:p>
    <w:p w:rsidR="00F62946" w:rsidRPr="0082310A" w:rsidRDefault="00F62946" w:rsidP="00F62946">
      <w:pPr>
        <w:rPr>
          <w:sz w:val="20"/>
          <w:szCs w:val="20"/>
        </w:rPr>
      </w:pPr>
    </w:p>
    <w:p w:rsidR="00F62946" w:rsidRPr="0082310A" w:rsidRDefault="00F62946" w:rsidP="00E13CC7">
      <w:pPr>
        <w:numPr>
          <w:ilvl w:val="0"/>
          <w:numId w:val="3"/>
        </w:numPr>
        <w:jc w:val="both"/>
        <w:rPr>
          <w:sz w:val="20"/>
          <w:szCs w:val="20"/>
        </w:rPr>
      </w:pPr>
      <w:r w:rsidRPr="0082310A">
        <w:rPr>
          <w:sz w:val="20"/>
          <w:szCs w:val="20"/>
        </w:rPr>
        <w:t>Dlhodobý nehmotný a hmotný majetok obstaraný iným spôsobom – re</w:t>
      </w:r>
      <w:r w:rsidR="000B7215">
        <w:rPr>
          <w:sz w:val="20"/>
          <w:szCs w:val="20"/>
        </w:rPr>
        <w:t>á</w:t>
      </w:r>
      <w:r w:rsidRPr="0082310A">
        <w:rPr>
          <w:sz w:val="20"/>
          <w:szCs w:val="20"/>
        </w:rPr>
        <w:t>lnou hodnotou v prípade bezodplatného nadobudnutia majetku alebo majetku novo zisteného pri inventarizácii, t. j. cenou, za ktorú by sa majetok obstaral v čase, keď sa o ňom účtuje.</w:t>
      </w:r>
    </w:p>
    <w:p w:rsidR="00F62946" w:rsidRPr="0082310A" w:rsidRDefault="00F62946" w:rsidP="00F62946">
      <w:pPr>
        <w:rPr>
          <w:sz w:val="20"/>
          <w:szCs w:val="20"/>
        </w:rPr>
      </w:pPr>
    </w:p>
    <w:p w:rsidR="00F62946" w:rsidRPr="0082310A" w:rsidRDefault="00F62946" w:rsidP="00E13CC7">
      <w:pPr>
        <w:numPr>
          <w:ilvl w:val="0"/>
          <w:numId w:val="3"/>
        </w:numPr>
        <w:jc w:val="both"/>
        <w:rPr>
          <w:sz w:val="20"/>
          <w:szCs w:val="20"/>
        </w:rPr>
      </w:pPr>
      <w:r w:rsidRPr="0082310A">
        <w:rPr>
          <w:sz w:val="20"/>
          <w:szCs w:val="20"/>
        </w:rPr>
        <w:t>Zásoby obstarané kúpou:</w:t>
      </w:r>
    </w:p>
    <w:p w:rsidR="00F62946" w:rsidRPr="0082310A" w:rsidRDefault="00F62946" w:rsidP="00E13CC7">
      <w:pPr>
        <w:numPr>
          <w:ilvl w:val="0"/>
          <w:numId w:val="4"/>
        </w:numPr>
        <w:jc w:val="both"/>
        <w:rPr>
          <w:snapToGrid w:val="0"/>
          <w:sz w:val="20"/>
          <w:szCs w:val="20"/>
        </w:rPr>
      </w:pPr>
      <w:r w:rsidRPr="0082310A">
        <w:rPr>
          <w:snapToGrid w:val="0"/>
          <w:sz w:val="20"/>
          <w:szCs w:val="20"/>
        </w:rPr>
        <w:t xml:space="preserve">Nakupovaný materiál – obstarávacou cenou. Pri úbytku rovnakého druhu zásob sa používa metóda </w:t>
      </w:r>
      <w:r w:rsidRPr="0082310A">
        <w:rPr>
          <w:sz w:val="20"/>
          <w:szCs w:val="20"/>
        </w:rPr>
        <w:t>FIFO</w:t>
      </w:r>
      <w:r w:rsidRPr="0082310A">
        <w:rPr>
          <w:snapToGrid w:val="0"/>
          <w:sz w:val="20"/>
          <w:szCs w:val="20"/>
        </w:rPr>
        <w:t>. Do vedľajších nákladov vstupuje clo, prepravné a provízie. Vedľajšie náklady sa rozvrhujú ako odchýlka podľa podielu súčtu stavu a prírastku odchýlky na súčte stavu a prírastku zásob.</w:t>
      </w:r>
    </w:p>
    <w:p w:rsidR="00F62946" w:rsidRPr="0082310A" w:rsidRDefault="00F62946" w:rsidP="00E13CC7">
      <w:pPr>
        <w:numPr>
          <w:ilvl w:val="0"/>
          <w:numId w:val="4"/>
        </w:numPr>
        <w:jc w:val="both"/>
        <w:rPr>
          <w:snapToGrid w:val="0"/>
          <w:sz w:val="20"/>
          <w:szCs w:val="20"/>
        </w:rPr>
      </w:pPr>
      <w:r w:rsidRPr="0082310A">
        <w:rPr>
          <w:snapToGrid w:val="0"/>
          <w:sz w:val="20"/>
          <w:szCs w:val="20"/>
        </w:rPr>
        <w:t xml:space="preserve">Nakupovaný tovar – obstarávacou cenou. Pri úbytku rovnakého druhu zásob sa používa metóda </w:t>
      </w:r>
      <w:r w:rsidRPr="0082310A">
        <w:rPr>
          <w:sz w:val="20"/>
          <w:szCs w:val="20"/>
        </w:rPr>
        <w:t>FIFO</w:t>
      </w:r>
      <w:r w:rsidRPr="0082310A">
        <w:rPr>
          <w:snapToGrid w:val="0"/>
          <w:sz w:val="20"/>
          <w:szCs w:val="20"/>
        </w:rPr>
        <w:t>. Do vedľajších nákladov patrí prepravné, clo a provízie.</w:t>
      </w:r>
    </w:p>
    <w:p w:rsidR="00F62946" w:rsidRPr="0082310A" w:rsidRDefault="00F62946" w:rsidP="00F62946">
      <w:pPr>
        <w:rPr>
          <w:sz w:val="20"/>
          <w:szCs w:val="20"/>
        </w:rPr>
      </w:pPr>
    </w:p>
    <w:p w:rsidR="00F62946" w:rsidRPr="0082310A" w:rsidRDefault="00F62946" w:rsidP="00E13CC7">
      <w:pPr>
        <w:numPr>
          <w:ilvl w:val="0"/>
          <w:numId w:val="3"/>
        </w:numPr>
        <w:jc w:val="both"/>
        <w:rPr>
          <w:sz w:val="20"/>
          <w:szCs w:val="20"/>
        </w:rPr>
      </w:pPr>
      <w:r w:rsidRPr="0082310A">
        <w:rPr>
          <w:sz w:val="20"/>
          <w:szCs w:val="20"/>
        </w:rPr>
        <w:t>Zásoby obstarané iným spôsobom – reálnou hodnotou v prípade bezodplatného nadobudnutia zásob alebo zásob novo zistených pri inventarizácii, t. j. cenou, za ktorú by sa majetok obstaral v čase, keď sa o ňom účtuje.</w:t>
      </w:r>
    </w:p>
    <w:p w:rsidR="00F62946" w:rsidRPr="0082310A" w:rsidRDefault="00F62946" w:rsidP="00F62946">
      <w:pPr>
        <w:ind w:left="539"/>
        <w:rPr>
          <w:sz w:val="20"/>
          <w:szCs w:val="20"/>
        </w:rPr>
      </w:pPr>
    </w:p>
    <w:p w:rsidR="00F62946" w:rsidRPr="0082310A" w:rsidRDefault="00F62946" w:rsidP="00E13CC7">
      <w:pPr>
        <w:numPr>
          <w:ilvl w:val="0"/>
          <w:numId w:val="3"/>
        </w:numPr>
        <w:jc w:val="both"/>
        <w:rPr>
          <w:sz w:val="20"/>
          <w:szCs w:val="20"/>
        </w:rPr>
      </w:pPr>
      <w:r w:rsidRPr="0082310A">
        <w:rPr>
          <w:sz w:val="20"/>
          <w:szCs w:val="20"/>
        </w:rPr>
        <w:t>Pohľadávky:</w:t>
      </w:r>
    </w:p>
    <w:p w:rsidR="00F62946" w:rsidRPr="0082310A" w:rsidRDefault="00F62946" w:rsidP="00E13CC7">
      <w:pPr>
        <w:numPr>
          <w:ilvl w:val="0"/>
          <w:numId w:val="5"/>
        </w:numPr>
        <w:jc w:val="both"/>
        <w:rPr>
          <w:snapToGrid w:val="0"/>
          <w:sz w:val="20"/>
          <w:szCs w:val="20"/>
        </w:rPr>
      </w:pPr>
      <w:r w:rsidRPr="0082310A">
        <w:rPr>
          <w:snapToGrid w:val="0"/>
          <w:sz w:val="20"/>
          <w:szCs w:val="20"/>
        </w:rPr>
        <w:t>pri ich vzniku alebo bezodplatnom nadobudnutí – menovitou hodnotou,</w:t>
      </w:r>
    </w:p>
    <w:p w:rsidR="00F62946" w:rsidRPr="0082310A" w:rsidRDefault="00F62946" w:rsidP="00E13CC7">
      <w:pPr>
        <w:numPr>
          <w:ilvl w:val="0"/>
          <w:numId w:val="5"/>
        </w:numPr>
        <w:jc w:val="both"/>
        <w:rPr>
          <w:snapToGrid w:val="0"/>
          <w:sz w:val="20"/>
          <w:szCs w:val="20"/>
        </w:rPr>
      </w:pPr>
      <w:r w:rsidRPr="0082310A">
        <w:rPr>
          <w:snapToGrid w:val="0"/>
          <w:sz w:val="20"/>
          <w:szCs w:val="20"/>
        </w:rPr>
        <w:t>pri odplatnom nadobudnutí (postúpení) alebo nadobudnutí vkladom do základného imania – obstarávacou cenou.</w:t>
      </w:r>
    </w:p>
    <w:p w:rsidR="00F62946" w:rsidRPr="0082310A" w:rsidRDefault="00F62946" w:rsidP="00F62946">
      <w:pPr>
        <w:ind w:left="539"/>
        <w:rPr>
          <w:sz w:val="20"/>
          <w:szCs w:val="20"/>
        </w:rPr>
      </w:pPr>
    </w:p>
    <w:p w:rsidR="00F62946" w:rsidRPr="0082310A" w:rsidRDefault="00F62946" w:rsidP="00F62946">
      <w:pPr>
        <w:ind w:left="539"/>
        <w:rPr>
          <w:sz w:val="20"/>
          <w:szCs w:val="20"/>
        </w:rPr>
      </w:pPr>
    </w:p>
    <w:p w:rsidR="00F62946" w:rsidRPr="000B7215" w:rsidRDefault="00F62946" w:rsidP="000B7215">
      <w:pPr>
        <w:numPr>
          <w:ilvl w:val="0"/>
          <w:numId w:val="3"/>
        </w:numPr>
        <w:jc w:val="both"/>
        <w:rPr>
          <w:sz w:val="20"/>
          <w:szCs w:val="20"/>
        </w:rPr>
      </w:pPr>
      <w:r w:rsidRPr="0082310A">
        <w:rPr>
          <w:sz w:val="20"/>
          <w:szCs w:val="20"/>
        </w:rPr>
        <w:t>Krátkodobý finančný majetok – obstarávacou cenou. Obstarávacia cena je cena, za ktorú sa majetok obstaral, a náklady súvisiace s jeho obstaraním (poplatky a provízie maklérom, poradcom, burzám).</w:t>
      </w:r>
    </w:p>
    <w:p w:rsidR="00F62946" w:rsidRPr="0082310A" w:rsidRDefault="00F62946" w:rsidP="00F62946">
      <w:pPr>
        <w:rPr>
          <w:sz w:val="20"/>
          <w:szCs w:val="20"/>
        </w:rPr>
      </w:pPr>
    </w:p>
    <w:p w:rsidR="00F62946" w:rsidRPr="0082310A" w:rsidRDefault="00F62946" w:rsidP="00E13CC7">
      <w:pPr>
        <w:numPr>
          <w:ilvl w:val="0"/>
          <w:numId w:val="3"/>
        </w:numPr>
        <w:jc w:val="both"/>
        <w:rPr>
          <w:sz w:val="20"/>
          <w:szCs w:val="20"/>
        </w:rPr>
      </w:pPr>
      <w:r w:rsidRPr="0082310A">
        <w:rPr>
          <w:sz w:val="20"/>
          <w:szCs w:val="20"/>
        </w:rPr>
        <w:t>Záväzky:</w:t>
      </w:r>
    </w:p>
    <w:p w:rsidR="00F62946" w:rsidRPr="0082310A" w:rsidRDefault="00F62946" w:rsidP="00E13CC7">
      <w:pPr>
        <w:numPr>
          <w:ilvl w:val="0"/>
          <w:numId w:val="6"/>
        </w:numPr>
        <w:jc w:val="both"/>
        <w:rPr>
          <w:snapToGrid w:val="0"/>
          <w:sz w:val="20"/>
          <w:szCs w:val="20"/>
        </w:rPr>
      </w:pPr>
      <w:r w:rsidRPr="0082310A">
        <w:rPr>
          <w:snapToGrid w:val="0"/>
          <w:sz w:val="20"/>
          <w:szCs w:val="20"/>
        </w:rPr>
        <w:t>pri ich vzniku – menovitou hodnotou,</w:t>
      </w:r>
    </w:p>
    <w:p w:rsidR="00F62946" w:rsidRPr="009F5AA6" w:rsidRDefault="00F62946" w:rsidP="009F5AA6">
      <w:pPr>
        <w:numPr>
          <w:ilvl w:val="0"/>
          <w:numId w:val="6"/>
        </w:numPr>
        <w:jc w:val="both"/>
        <w:rPr>
          <w:snapToGrid w:val="0"/>
          <w:sz w:val="20"/>
          <w:szCs w:val="20"/>
        </w:rPr>
      </w:pPr>
      <w:r w:rsidRPr="0082310A">
        <w:rPr>
          <w:snapToGrid w:val="0"/>
          <w:sz w:val="20"/>
          <w:szCs w:val="20"/>
        </w:rPr>
        <w:lastRenderedPageBreak/>
        <w:t>pri prevzatí – obstarávacou cenou.</w:t>
      </w:r>
    </w:p>
    <w:p w:rsidR="00F62946" w:rsidRPr="0082310A" w:rsidRDefault="00F62946" w:rsidP="00F62946">
      <w:pPr>
        <w:rPr>
          <w:sz w:val="20"/>
          <w:szCs w:val="20"/>
        </w:rPr>
      </w:pPr>
    </w:p>
    <w:p w:rsidR="00F62946" w:rsidRPr="0082310A" w:rsidRDefault="00F62946" w:rsidP="00E13CC7">
      <w:pPr>
        <w:numPr>
          <w:ilvl w:val="0"/>
          <w:numId w:val="3"/>
        </w:numPr>
        <w:jc w:val="both"/>
        <w:rPr>
          <w:sz w:val="20"/>
          <w:szCs w:val="20"/>
        </w:rPr>
      </w:pPr>
      <w:r w:rsidRPr="0082310A">
        <w:rPr>
          <w:sz w:val="20"/>
          <w:szCs w:val="20"/>
        </w:rPr>
        <w:t xml:space="preserve">Daň z príjmov splatná – podľa slovenského zákona o dani z príjmov sa splatné dane z príjmov určujú z účtovného zisku pred zdanením pri sadzbe </w:t>
      </w:r>
      <w:r w:rsidR="009F5AA6">
        <w:rPr>
          <w:sz w:val="20"/>
          <w:szCs w:val="20"/>
        </w:rPr>
        <w:t>15</w:t>
      </w:r>
      <w:r w:rsidRPr="0082310A">
        <w:rPr>
          <w:sz w:val="20"/>
          <w:szCs w:val="20"/>
        </w:rPr>
        <w:t>% po úpravách o niektoré položky na daňové účely.</w:t>
      </w:r>
    </w:p>
    <w:p w:rsidR="00F62946" w:rsidRPr="0082310A" w:rsidRDefault="00F62946" w:rsidP="00F62946">
      <w:pPr>
        <w:rPr>
          <w:sz w:val="20"/>
          <w:szCs w:val="20"/>
        </w:rPr>
      </w:pPr>
    </w:p>
    <w:p w:rsidR="00947AC2" w:rsidRPr="0082310A" w:rsidRDefault="00947AC2" w:rsidP="00AC7913">
      <w:pPr>
        <w:jc w:val="both"/>
        <w:rPr>
          <w:sz w:val="20"/>
          <w:szCs w:val="20"/>
        </w:rPr>
      </w:pPr>
    </w:p>
    <w:p w:rsidR="00F62946" w:rsidRPr="0082310A" w:rsidRDefault="00F62946" w:rsidP="00F62946">
      <w:pPr>
        <w:pStyle w:val="Nadpis2"/>
        <w:numPr>
          <w:ilvl w:val="1"/>
          <w:numId w:val="0"/>
        </w:numPr>
        <w:tabs>
          <w:tab w:val="num" w:pos="539"/>
        </w:tabs>
        <w:spacing w:after="0"/>
        <w:ind w:left="539" w:hanging="539"/>
        <w:jc w:val="both"/>
        <w:rPr>
          <w:sz w:val="20"/>
          <w:szCs w:val="20"/>
        </w:rPr>
      </w:pPr>
      <w:r w:rsidRPr="0082310A">
        <w:rPr>
          <w:sz w:val="20"/>
          <w:szCs w:val="20"/>
        </w:rPr>
        <w:t>(3) Spôsob ocenenia jednotlivých zložiek majetku a záväzkov – nasledujúce ocenenie</w:t>
      </w:r>
    </w:p>
    <w:p w:rsidR="00F62946" w:rsidRPr="0082310A" w:rsidRDefault="00F62946" w:rsidP="00F62946">
      <w:pPr>
        <w:rPr>
          <w:sz w:val="20"/>
          <w:szCs w:val="20"/>
        </w:rPr>
      </w:pPr>
    </w:p>
    <w:p w:rsidR="00F62946" w:rsidRPr="0082310A" w:rsidRDefault="00F62946" w:rsidP="00E13CC7">
      <w:pPr>
        <w:numPr>
          <w:ilvl w:val="0"/>
          <w:numId w:val="7"/>
        </w:numPr>
        <w:tabs>
          <w:tab w:val="clear" w:pos="539"/>
          <w:tab w:val="num" w:pos="900"/>
        </w:tabs>
        <w:ind w:left="900" w:hanging="360"/>
        <w:jc w:val="both"/>
        <w:rPr>
          <w:snapToGrid w:val="0"/>
          <w:sz w:val="20"/>
          <w:szCs w:val="20"/>
        </w:rPr>
      </w:pPr>
      <w:r w:rsidRPr="0082310A">
        <w:rPr>
          <w:snapToGrid w:val="0"/>
          <w:sz w:val="20"/>
          <w:szCs w:val="20"/>
          <w:u w:val="single"/>
        </w:rPr>
        <w:t xml:space="preserve">Plán odpisov </w:t>
      </w:r>
    </w:p>
    <w:p w:rsidR="00F62946" w:rsidRPr="0082310A" w:rsidRDefault="00F62946" w:rsidP="00F62946">
      <w:pPr>
        <w:ind w:left="900"/>
        <w:rPr>
          <w:snapToGrid w:val="0"/>
          <w:sz w:val="20"/>
          <w:szCs w:val="20"/>
        </w:rPr>
      </w:pPr>
    </w:p>
    <w:p w:rsidR="00F62946" w:rsidRPr="0082310A" w:rsidRDefault="00F62946" w:rsidP="00F62946">
      <w:pPr>
        <w:ind w:left="900"/>
        <w:rPr>
          <w:sz w:val="20"/>
          <w:szCs w:val="20"/>
        </w:rPr>
      </w:pPr>
      <w:r w:rsidRPr="0082310A">
        <w:rPr>
          <w:sz w:val="20"/>
          <w:szCs w:val="20"/>
        </w:rPr>
        <w:t xml:space="preserve">Dlhodobý hmotný a nehmotný majetok sa odpisuje podľa plánu odpisov, ktorý bol stanovený vzhľadom na odhad jeho reálnej ekonomickej životnosti. Majetok sa odpisuje počas predpokladanej doby používania zodpovedajúcej spotrebe budúcich ekonomických úžitkov z majetku. Účtovné odpisy sú rovnomerné. Majetok sa začína odpisovať v mesiaci nasledujúcom po mesiaci zaradenia do používania. </w:t>
      </w:r>
    </w:p>
    <w:p w:rsidR="00F62946" w:rsidRPr="0082310A" w:rsidRDefault="00F62946" w:rsidP="00F62946">
      <w:pPr>
        <w:rPr>
          <w:sz w:val="20"/>
          <w:szCs w:val="20"/>
        </w:rPr>
      </w:pPr>
    </w:p>
    <w:p w:rsidR="00F62946" w:rsidRPr="0082310A" w:rsidRDefault="00F62946" w:rsidP="00F62946">
      <w:pPr>
        <w:ind w:left="900"/>
        <w:rPr>
          <w:sz w:val="20"/>
          <w:szCs w:val="20"/>
        </w:rPr>
      </w:pPr>
      <w:r w:rsidRPr="0082310A">
        <w:rPr>
          <w:sz w:val="20"/>
          <w:szCs w:val="20"/>
        </w:rPr>
        <w:t>Priemerné životnosti podľa plánu odpisov sú:</w:t>
      </w:r>
    </w:p>
    <w:p w:rsidR="00F62946" w:rsidRPr="0082310A" w:rsidRDefault="00F62946" w:rsidP="00F62946">
      <w:pPr>
        <w:ind w:left="539"/>
        <w:rPr>
          <w:b/>
          <w:snapToGrid w:val="0"/>
          <w:sz w:val="20"/>
          <w:szCs w:val="20"/>
        </w:rPr>
      </w:pPr>
    </w:p>
    <w:tbl>
      <w:tblPr>
        <w:tblW w:w="8172" w:type="dxa"/>
        <w:tblInd w:w="9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87"/>
        <w:gridCol w:w="1276"/>
        <w:gridCol w:w="2409"/>
      </w:tblGrid>
      <w:tr w:rsidR="00F62946" w:rsidRPr="0082310A" w:rsidTr="00E13CC7">
        <w:tc>
          <w:tcPr>
            <w:tcW w:w="448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F62946" w:rsidRPr="0082310A" w:rsidRDefault="00F62946" w:rsidP="00E13CC7">
            <w:pPr>
              <w:rPr>
                <w:b/>
                <w:i/>
                <w:sz w:val="20"/>
                <w:szCs w:val="20"/>
              </w:rPr>
            </w:pPr>
            <w:r w:rsidRPr="0082310A">
              <w:rPr>
                <w:b/>
                <w:i/>
                <w:sz w:val="20"/>
                <w:szCs w:val="20"/>
              </w:rPr>
              <w:t>Druh majetku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b/>
                <w:i/>
                <w:sz w:val="20"/>
                <w:szCs w:val="20"/>
              </w:rPr>
            </w:pPr>
            <w:r w:rsidRPr="0082310A">
              <w:rPr>
                <w:b/>
                <w:i/>
                <w:sz w:val="20"/>
                <w:szCs w:val="20"/>
              </w:rPr>
              <w:t>Životnosť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b/>
                <w:i/>
                <w:sz w:val="20"/>
                <w:szCs w:val="20"/>
              </w:rPr>
            </w:pPr>
            <w:r w:rsidRPr="0082310A">
              <w:rPr>
                <w:b/>
                <w:i/>
                <w:sz w:val="20"/>
                <w:szCs w:val="20"/>
              </w:rPr>
              <w:t>Ročná sadzba odpisov</w:t>
            </w:r>
          </w:p>
        </w:tc>
      </w:tr>
      <w:tr w:rsidR="00F62946" w:rsidRPr="0082310A" w:rsidTr="00E13CC7">
        <w:tc>
          <w:tcPr>
            <w:tcW w:w="4487" w:type="dxa"/>
            <w:tcBorders>
              <w:top w:val="single" w:sz="4" w:space="0" w:color="auto"/>
            </w:tcBorders>
            <w:shd w:val="clear" w:color="auto" w:fill="auto"/>
          </w:tcPr>
          <w:p w:rsidR="00F62946" w:rsidRPr="0082310A" w:rsidRDefault="00F62946" w:rsidP="00E13CC7">
            <w:pPr>
              <w:rPr>
                <w:b/>
                <w:snapToGrid w:val="0"/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Budovy a stavby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napToGrid w:val="0"/>
                <w:sz w:val="20"/>
                <w:szCs w:val="20"/>
              </w:rPr>
            </w:pPr>
            <w:r w:rsidRPr="0082310A">
              <w:rPr>
                <w:snapToGrid w:val="0"/>
                <w:sz w:val="20"/>
                <w:szCs w:val="20"/>
              </w:rPr>
              <w:t>40 rokov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2,5%</w:t>
            </w:r>
          </w:p>
        </w:tc>
      </w:tr>
      <w:tr w:rsidR="00F62946" w:rsidRPr="0082310A" w:rsidTr="00E13CC7">
        <w:tc>
          <w:tcPr>
            <w:tcW w:w="4487" w:type="dxa"/>
            <w:shd w:val="clear" w:color="auto" w:fill="auto"/>
          </w:tcPr>
          <w:p w:rsidR="00F62946" w:rsidRPr="0082310A" w:rsidRDefault="00F62946" w:rsidP="00E13CC7">
            <w:pPr>
              <w:tabs>
                <w:tab w:val="left" w:pos="1920"/>
              </w:tabs>
              <w:rPr>
                <w:b/>
                <w:snapToGrid w:val="0"/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Stroje, prístroje a zariadenia</w:t>
            </w:r>
          </w:p>
        </w:tc>
        <w:tc>
          <w:tcPr>
            <w:tcW w:w="1276" w:type="dxa"/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napToGrid w:val="0"/>
                <w:sz w:val="20"/>
                <w:szCs w:val="20"/>
              </w:rPr>
            </w:pPr>
            <w:r w:rsidRPr="0082310A">
              <w:rPr>
                <w:snapToGrid w:val="0"/>
                <w:sz w:val="20"/>
                <w:szCs w:val="20"/>
              </w:rPr>
              <w:t>4 roky</w:t>
            </w:r>
          </w:p>
        </w:tc>
        <w:tc>
          <w:tcPr>
            <w:tcW w:w="2409" w:type="dxa"/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25%</w:t>
            </w:r>
          </w:p>
        </w:tc>
      </w:tr>
      <w:tr w:rsidR="00F62946" w:rsidRPr="0082310A" w:rsidTr="00E13CC7">
        <w:tc>
          <w:tcPr>
            <w:tcW w:w="4487" w:type="dxa"/>
            <w:shd w:val="clear" w:color="auto" w:fill="auto"/>
          </w:tcPr>
          <w:p w:rsidR="00F62946" w:rsidRPr="0082310A" w:rsidRDefault="00F62946" w:rsidP="00E13CC7">
            <w:pPr>
              <w:rPr>
                <w:b/>
                <w:snapToGrid w:val="0"/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Dopravné prostriedky</w:t>
            </w:r>
          </w:p>
        </w:tc>
        <w:tc>
          <w:tcPr>
            <w:tcW w:w="1276" w:type="dxa"/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napToGrid w:val="0"/>
                <w:sz w:val="20"/>
                <w:szCs w:val="20"/>
              </w:rPr>
            </w:pPr>
            <w:r w:rsidRPr="0082310A">
              <w:rPr>
                <w:snapToGrid w:val="0"/>
                <w:sz w:val="20"/>
                <w:szCs w:val="20"/>
              </w:rPr>
              <w:t>4 roky</w:t>
            </w:r>
          </w:p>
        </w:tc>
        <w:tc>
          <w:tcPr>
            <w:tcW w:w="2409" w:type="dxa"/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25%</w:t>
            </w:r>
          </w:p>
        </w:tc>
      </w:tr>
      <w:tr w:rsidR="00F62946" w:rsidRPr="0082310A" w:rsidTr="00E13CC7">
        <w:tc>
          <w:tcPr>
            <w:tcW w:w="4487" w:type="dxa"/>
            <w:shd w:val="clear" w:color="auto" w:fill="auto"/>
          </w:tcPr>
          <w:p w:rsidR="00F62946" w:rsidRPr="0082310A" w:rsidRDefault="00F62946" w:rsidP="00E13CC7">
            <w:pPr>
              <w:rPr>
                <w:b/>
                <w:snapToGrid w:val="0"/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Inventár</w:t>
            </w:r>
          </w:p>
        </w:tc>
        <w:tc>
          <w:tcPr>
            <w:tcW w:w="1276" w:type="dxa"/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napToGrid w:val="0"/>
                <w:sz w:val="20"/>
                <w:szCs w:val="20"/>
              </w:rPr>
            </w:pPr>
            <w:r w:rsidRPr="0082310A">
              <w:rPr>
                <w:snapToGrid w:val="0"/>
                <w:sz w:val="20"/>
                <w:szCs w:val="20"/>
              </w:rPr>
              <w:t>6 rokov</w:t>
            </w:r>
          </w:p>
        </w:tc>
        <w:tc>
          <w:tcPr>
            <w:tcW w:w="2409" w:type="dxa"/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16,67%</w:t>
            </w:r>
          </w:p>
        </w:tc>
      </w:tr>
      <w:tr w:rsidR="00F62946" w:rsidRPr="0082310A" w:rsidTr="00E13CC7">
        <w:tc>
          <w:tcPr>
            <w:tcW w:w="4487" w:type="dxa"/>
            <w:shd w:val="clear" w:color="auto" w:fill="auto"/>
          </w:tcPr>
          <w:p w:rsidR="00F62946" w:rsidRPr="0082310A" w:rsidRDefault="00F62946" w:rsidP="00E13CC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z w:val="20"/>
                <w:szCs w:val="20"/>
              </w:rPr>
            </w:pPr>
          </w:p>
        </w:tc>
      </w:tr>
      <w:tr w:rsidR="00F62946" w:rsidRPr="0082310A" w:rsidTr="00E13CC7">
        <w:tc>
          <w:tcPr>
            <w:tcW w:w="4487" w:type="dxa"/>
            <w:shd w:val="clear" w:color="auto" w:fill="auto"/>
          </w:tcPr>
          <w:p w:rsidR="00F62946" w:rsidRPr="0082310A" w:rsidRDefault="00F62946" w:rsidP="00E13CC7">
            <w:pPr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Drobný dlhodobý hmotný majetok do 1700 EUR</w:t>
            </w:r>
          </w:p>
        </w:tc>
        <w:tc>
          <w:tcPr>
            <w:tcW w:w="1276" w:type="dxa"/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napToGrid w:val="0"/>
                <w:sz w:val="20"/>
                <w:szCs w:val="20"/>
              </w:rPr>
            </w:pPr>
            <w:r w:rsidRPr="0082310A">
              <w:rPr>
                <w:snapToGrid w:val="0"/>
                <w:sz w:val="20"/>
                <w:szCs w:val="20"/>
              </w:rPr>
              <w:t>neodpisuje</w:t>
            </w:r>
          </w:p>
        </w:tc>
        <w:tc>
          <w:tcPr>
            <w:tcW w:w="2409" w:type="dxa"/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neodpisuje</w:t>
            </w:r>
          </w:p>
        </w:tc>
      </w:tr>
      <w:tr w:rsidR="00F62946" w:rsidRPr="0082310A" w:rsidTr="00E13CC7">
        <w:tc>
          <w:tcPr>
            <w:tcW w:w="4487" w:type="dxa"/>
            <w:tcBorders>
              <w:bottom w:val="single" w:sz="8" w:space="0" w:color="auto"/>
            </w:tcBorders>
            <w:shd w:val="clear" w:color="auto" w:fill="auto"/>
          </w:tcPr>
          <w:p w:rsidR="00F62946" w:rsidRPr="0082310A" w:rsidRDefault="00F62946" w:rsidP="00E13CC7">
            <w:pPr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Softvér, oceniteľné práva (licencie)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5 rokov</w:t>
            </w:r>
          </w:p>
        </w:tc>
        <w:tc>
          <w:tcPr>
            <w:tcW w:w="2409" w:type="dxa"/>
            <w:tcBorders>
              <w:bottom w:val="single" w:sz="8" w:space="0" w:color="auto"/>
            </w:tcBorders>
            <w:shd w:val="clear" w:color="auto" w:fill="auto"/>
          </w:tcPr>
          <w:p w:rsidR="00F62946" w:rsidRPr="0082310A" w:rsidRDefault="00F62946" w:rsidP="00E13CC7">
            <w:pPr>
              <w:jc w:val="center"/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20%</w:t>
            </w:r>
          </w:p>
        </w:tc>
      </w:tr>
    </w:tbl>
    <w:p w:rsidR="00F62946" w:rsidRPr="0082310A" w:rsidRDefault="00F62946" w:rsidP="00F62946">
      <w:pPr>
        <w:ind w:left="900"/>
        <w:rPr>
          <w:snapToGrid w:val="0"/>
          <w:sz w:val="20"/>
          <w:szCs w:val="20"/>
        </w:rPr>
      </w:pPr>
    </w:p>
    <w:p w:rsidR="00F62946" w:rsidRPr="0082310A" w:rsidRDefault="00F62946" w:rsidP="00F62946">
      <w:pPr>
        <w:ind w:left="900"/>
        <w:rPr>
          <w:sz w:val="20"/>
          <w:szCs w:val="20"/>
        </w:rPr>
      </w:pPr>
      <w:r w:rsidRPr="0082310A">
        <w:rPr>
          <w:snapToGrid w:val="0"/>
          <w:sz w:val="20"/>
          <w:szCs w:val="20"/>
        </w:rPr>
        <w:t>Daňové odpisy sa uplatňujú podľa sadzieb uvedených v zákone o dani z príjmov platných pre rovnomerné</w:t>
      </w:r>
      <w:r w:rsidRPr="0082310A">
        <w:rPr>
          <w:sz w:val="20"/>
          <w:szCs w:val="20"/>
        </w:rPr>
        <w:t xml:space="preserve"> odpisovanie. Drobný dlhodobý hmotný majetok do 1700 EUR sa odpisuje jednorázovo do spotreby.</w:t>
      </w:r>
    </w:p>
    <w:p w:rsidR="00F62946" w:rsidRPr="0082310A" w:rsidRDefault="00F62946" w:rsidP="00F62946">
      <w:pPr>
        <w:rPr>
          <w:sz w:val="20"/>
          <w:szCs w:val="20"/>
        </w:rPr>
      </w:pPr>
    </w:p>
    <w:p w:rsidR="00FD334E" w:rsidRPr="0082310A" w:rsidRDefault="00FD334E" w:rsidP="00FD334E">
      <w:pPr>
        <w:pStyle w:val="Nadpis1"/>
        <w:numPr>
          <w:ilvl w:val="0"/>
          <w:numId w:val="0"/>
        </w:numPr>
        <w:tabs>
          <w:tab w:val="num" w:pos="539"/>
        </w:tabs>
        <w:spacing w:before="0" w:after="0"/>
        <w:ind w:left="539" w:hanging="539"/>
        <w:jc w:val="both"/>
        <w:rPr>
          <w:rFonts w:cs="Times New Roman"/>
          <w:sz w:val="20"/>
          <w:szCs w:val="20"/>
        </w:rPr>
      </w:pPr>
      <w:bookmarkStart w:id="0" w:name="_Ref150575427"/>
      <w:r w:rsidRPr="0082310A">
        <w:rPr>
          <w:rFonts w:cs="Times New Roman"/>
          <w:sz w:val="20"/>
          <w:szCs w:val="20"/>
        </w:rPr>
        <w:t xml:space="preserve">(4) </w:t>
      </w:r>
      <w:r w:rsidR="0082310A" w:rsidRPr="0082310A">
        <w:rPr>
          <w:rFonts w:cs="Times New Roman"/>
          <w:sz w:val="20"/>
          <w:szCs w:val="20"/>
        </w:rPr>
        <w:t xml:space="preserve">Použité účtovné zásady </w:t>
      </w:r>
      <w:r w:rsidR="009F5AA6">
        <w:rPr>
          <w:rFonts w:cs="Times New Roman"/>
          <w:sz w:val="20"/>
          <w:szCs w:val="20"/>
        </w:rPr>
        <w:t>a</w:t>
      </w:r>
      <w:r w:rsidR="0082310A" w:rsidRPr="0082310A">
        <w:rPr>
          <w:rFonts w:cs="Times New Roman"/>
          <w:sz w:val="20"/>
          <w:szCs w:val="20"/>
        </w:rPr>
        <w:t xml:space="preserve"> účtovné metódy</w:t>
      </w:r>
    </w:p>
    <w:bookmarkEnd w:id="0"/>
    <w:p w:rsidR="00FD334E" w:rsidRPr="0082310A" w:rsidRDefault="00FD334E" w:rsidP="00FD334E">
      <w:pPr>
        <w:rPr>
          <w:sz w:val="20"/>
          <w:szCs w:val="20"/>
        </w:rPr>
      </w:pPr>
    </w:p>
    <w:p w:rsidR="00FD334E" w:rsidRPr="0082310A" w:rsidRDefault="00FD334E" w:rsidP="00E13CC7">
      <w:pPr>
        <w:numPr>
          <w:ilvl w:val="0"/>
          <w:numId w:val="9"/>
        </w:numPr>
        <w:jc w:val="both"/>
        <w:rPr>
          <w:snapToGrid w:val="0"/>
          <w:sz w:val="20"/>
          <w:szCs w:val="20"/>
        </w:rPr>
      </w:pPr>
      <w:r w:rsidRPr="0082310A">
        <w:rPr>
          <w:snapToGrid w:val="0"/>
          <w:sz w:val="20"/>
          <w:szCs w:val="20"/>
        </w:rPr>
        <w:t>Spoločnosť uplatňuje účtovné princípy a postupy účtovania v súlade so zákonom o účtovníctve a s postupmi účtovania pre podnikateľov, ktoré platia v Slovenskej republike. Účtovníctvo sa vedie v peňažných jednotkách slovenskej meny, t. j. v eurách.</w:t>
      </w:r>
    </w:p>
    <w:p w:rsidR="00FD334E" w:rsidRPr="0082310A" w:rsidRDefault="00FD334E" w:rsidP="00FD334E">
      <w:pPr>
        <w:tabs>
          <w:tab w:val="num" w:pos="540"/>
        </w:tabs>
        <w:ind w:left="540" w:hanging="540"/>
        <w:rPr>
          <w:sz w:val="20"/>
          <w:szCs w:val="20"/>
        </w:rPr>
      </w:pPr>
    </w:p>
    <w:p w:rsidR="00FD334E" w:rsidRPr="0082310A" w:rsidRDefault="00FD334E" w:rsidP="00E13CC7">
      <w:pPr>
        <w:numPr>
          <w:ilvl w:val="0"/>
          <w:numId w:val="9"/>
        </w:numPr>
        <w:jc w:val="both"/>
        <w:rPr>
          <w:sz w:val="20"/>
          <w:szCs w:val="20"/>
        </w:rPr>
      </w:pPr>
      <w:r w:rsidRPr="0082310A">
        <w:rPr>
          <w:sz w:val="20"/>
          <w:szCs w:val="20"/>
        </w:rPr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:rsidR="00FD334E" w:rsidRPr="0082310A" w:rsidRDefault="00FD334E" w:rsidP="00FD334E">
      <w:pPr>
        <w:tabs>
          <w:tab w:val="num" w:pos="540"/>
        </w:tabs>
        <w:ind w:left="540" w:hanging="540"/>
        <w:rPr>
          <w:sz w:val="20"/>
          <w:szCs w:val="20"/>
        </w:rPr>
      </w:pPr>
    </w:p>
    <w:p w:rsidR="00901FC9" w:rsidRDefault="00FD334E" w:rsidP="00901FC9">
      <w:pPr>
        <w:numPr>
          <w:ilvl w:val="0"/>
          <w:numId w:val="9"/>
        </w:numPr>
        <w:jc w:val="both"/>
        <w:rPr>
          <w:sz w:val="20"/>
          <w:szCs w:val="20"/>
        </w:rPr>
      </w:pPr>
      <w:r w:rsidRPr="0082310A">
        <w:rPr>
          <w:sz w:val="20"/>
          <w:szCs w:val="20"/>
        </w:rPr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:rsidR="00901FC9" w:rsidRPr="00901FC9" w:rsidRDefault="00901FC9" w:rsidP="00901FC9">
      <w:pPr>
        <w:ind w:left="539"/>
        <w:jc w:val="both"/>
        <w:rPr>
          <w:sz w:val="20"/>
          <w:szCs w:val="20"/>
        </w:rPr>
      </w:pPr>
    </w:p>
    <w:p w:rsidR="000B7215" w:rsidRDefault="000B7215" w:rsidP="000B7215"/>
    <w:p w:rsidR="00901FC9" w:rsidRDefault="00901FC9" w:rsidP="000B7215"/>
    <w:p w:rsidR="00901FC9" w:rsidRDefault="00901FC9" w:rsidP="000B7215"/>
    <w:p w:rsidR="00901FC9" w:rsidRDefault="00901FC9" w:rsidP="000B7215"/>
    <w:p w:rsidR="00901FC9" w:rsidRDefault="00901FC9" w:rsidP="000B7215"/>
    <w:p w:rsidR="00901FC9" w:rsidRDefault="00901FC9" w:rsidP="000B7215"/>
    <w:p w:rsidR="00901FC9" w:rsidRDefault="00901FC9" w:rsidP="000B7215"/>
    <w:p w:rsidR="00901FC9" w:rsidRDefault="00901FC9" w:rsidP="000B7215"/>
    <w:p w:rsidR="00901FC9" w:rsidRDefault="00901FC9" w:rsidP="000B7215"/>
    <w:p w:rsidR="00901FC9" w:rsidRDefault="00901FC9" w:rsidP="000B7215"/>
    <w:p w:rsidR="00901FC9" w:rsidRDefault="00901FC9" w:rsidP="000B7215"/>
    <w:p w:rsidR="00901FC9" w:rsidRDefault="00901FC9" w:rsidP="000B7215"/>
    <w:p w:rsidR="00901FC9" w:rsidRPr="000B7215" w:rsidRDefault="00901FC9" w:rsidP="000B7215"/>
    <w:p w:rsidR="00C92F19" w:rsidRPr="007031A0" w:rsidRDefault="00C92F19" w:rsidP="007031A0">
      <w:pPr>
        <w:pStyle w:val="Nadpis1"/>
        <w:numPr>
          <w:ilvl w:val="0"/>
          <w:numId w:val="0"/>
        </w:numPr>
        <w:tabs>
          <w:tab w:val="num" w:pos="539"/>
        </w:tabs>
        <w:spacing w:before="0" w:after="0"/>
        <w:ind w:left="539" w:hanging="539"/>
        <w:jc w:val="both"/>
        <w:rPr>
          <w:rFonts w:cs="Times New Roman"/>
          <w:sz w:val="20"/>
          <w:szCs w:val="20"/>
        </w:rPr>
      </w:pPr>
      <w:r w:rsidRPr="0082310A">
        <w:rPr>
          <w:rFonts w:cs="Times New Roman"/>
          <w:sz w:val="20"/>
          <w:szCs w:val="20"/>
        </w:rPr>
        <w:lastRenderedPageBreak/>
        <w:t>(</w:t>
      </w:r>
      <w:r w:rsidR="0082310A" w:rsidRPr="0082310A">
        <w:rPr>
          <w:rFonts w:cs="Times New Roman"/>
          <w:sz w:val="20"/>
          <w:szCs w:val="20"/>
        </w:rPr>
        <w:t>5</w:t>
      </w:r>
      <w:r w:rsidRPr="0082310A">
        <w:rPr>
          <w:rFonts w:cs="Times New Roman"/>
          <w:sz w:val="20"/>
          <w:szCs w:val="20"/>
        </w:rPr>
        <w:t>)  Informácie, ktoré vysvetľujú a dopĺňajú súvahu a výkaz ziskov a strát</w:t>
      </w:r>
    </w:p>
    <w:p w:rsidR="007031A0" w:rsidRDefault="007031A0" w:rsidP="00C92F19">
      <w:pPr>
        <w:pStyle w:val="Nadpis2"/>
        <w:numPr>
          <w:ilvl w:val="1"/>
          <w:numId w:val="0"/>
        </w:numPr>
        <w:tabs>
          <w:tab w:val="num" w:pos="539"/>
        </w:tabs>
        <w:spacing w:after="0"/>
        <w:ind w:left="539" w:hanging="539"/>
        <w:jc w:val="both"/>
        <w:rPr>
          <w:sz w:val="20"/>
          <w:szCs w:val="20"/>
        </w:rPr>
      </w:pPr>
    </w:p>
    <w:p w:rsidR="00C92F19" w:rsidRPr="0082310A" w:rsidRDefault="00C92F19" w:rsidP="00C92F19">
      <w:pPr>
        <w:pStyle w:val="Nadpis2"/>
        <w:numPr>
          <w:ilvl w:val="1"/>
          <w:numId w:val="0"/>
        </w:numPr>
        <w:tabs>
          <w:tab w:val="num" w:pos="539"/>
        </w:tabs>
        <w:spacing w:after="0"/>
        <w:ind w:left="539" w:hanging="539"/>
        <w:jc w:val="both"/>
        <w:rPr>
          <w:sz w:val="20"/>
          <w:szCs w:val="20"/>
        </w:rPr>
      </w:pPr>
      <w:r w:rsidRPr="0082310A">
        <w:rPr>
          <w:sz w:val="20"/>
          <w:szCs w:val="20"/>
        </w:rPr>
        <w:t xml:space="preserve">Záväzky </w:t>
      </w:r>
    </w:p>
    <w:p w:rsidR="00C92F19" w:rsidRPr="0082310A" w:rsidRDefault="00C92F19" w:rsidP="00FD334E">
      <w:pPr>
        <w:pStyle w:val="Nadpis3"/>
        <w:numPr>
          <w:ilvl w:val="2"/>
          <w:numId w:val="0"/>
        </w:numPr>
        <w:tabs>
          <w:tab w:val="num" w:pos="539"/>
        </w:tabs>
        <w:ind w:left="539" w:hanging="539"/>
        <w:rPr>
          <w:sz w:val="20"/>
          <w:szCs w:val="20"/>
        </w:rPr>
      </w:pPr>
    </w:p>
    <w:p w:rsidR="00FD334E" w:rsidRPr="0082310A" w:rsidRDefault="00FD334E" w:rsidP="00FD334E">
      <w:pPr>
        <w:pStyle w:val="Nadpis3"/>
        <w:numPr>
          <w:ilvl w:val="2"/>
          <w:numId w:val="0"/>
        </w:numPr>
        <w:tabs>
          <w:tab w:val="num" w:pos="539"/>
        </w:tabs>
        <w:ind w:left="539" w:hanging="539"/>
        <w:rPr>
          <w:sz w:val="20"/>
          <w:szCs w:val="20"/>
        </w:rPr>
      </w:pPr>
      <w:r w:rsidRPr="0082310A">
        <w:rPr>
          <w:sz w:val="20"/>
          <w:szCs w:val="20"/>
        </w:rPr>
        <w:t>Výška záväzkov so zostatkovou dobou splatnosti dlhšou ako 1 rok</w:t>
      </w:r>
      <w:r w:rsidR="00D56DAC">
        <w:rPr>
          <w:sz w:val="20"/>
          <w:szCs w:val="20"/>
        </w:rPr>
        <w:t xml:space="preserve"> </w:t>
      </w:r>
      <w:r w:rsidRPr="0082310A">
        <w:rPr>
          <w:sz w:val="20"/>
          <w:szCs w:val="20"/>
        </w:rPr>
        <w:t>do lehoty a po lehote splatnosti vrátane skupiny a záväzky podľa zostatkovej doby splatnosti</w:t>
      </w:r>
    </w:p>
    <w:p w:rsidR="00FD334E" w:rsidRPr="0082310A" w:rsidRDefault="00FD334E" w:rsidP="00FD334E">
      <w:pPr>
        <w:rPr>
          <w:snapToGrid w:val="0"/>
          <w:sz w:val="20"/>
          <w:szCs w:val="20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6014"/>
        <w:gridCol w:w="842"/>
        <w:gridCol w:w="1376"/>
        <w:gridCol w:w="1376"/>
      </w:tblGrid>
      <w:tr w:rsidR="00FD334E" w:rsidRPr="0082310A" w:rsidTr="00E13CC7">
        <w:tc>
          <w:tcPr>
            <w:tcW w:w="3130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334E" w:rsidRPr="0082310A" w:rsidRDefault="00FD334E" w:rsidP="00E13CC7">
            <w:pPr>
              <w:rPr>
                <w:b/>
                <w:bCs/>
                <w:i/>
                <w:iCs/>
                <w:sz w:val="20"/>
                <w:szCs w:val="20"/>
              </w:rPr>
            </w:pPr>
            <w:bookmarkStart w:id="1" w:name="RANGE!B9:E18"/>
            <w:r w:rsidRPr="0082310A">
              <w:rPr>
                <w:b/>
                <w:bCs/>
                <w:i/>
                <w:iCs/>
                <w:sz w:val="20"/>
                <w:szCs w:val="20"/>
              </w:rPr>
              <w:t>Položka</w:t>
            </w:r>
            <w:bookmarkEnd w:id="1"/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D334E" w:rsidRPr="0082310A" w:rsidRDefault="00FD334E" w:rsidP="00E13CC7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FD334E" w:rsidRPr="0082310A" w:rsidRDefault="00FD334E" w:rsidP="000E3D84">
            <w:pPr>
              <w:jc w:val="center"/>
              <w:rPr>
                <w:sz w:val="20"/>
                <w:szCs w:val="20"/>
              </w:rPr>
            </w:pPr>
            <w:r w:rsidRPr="0082310A">
              <w:rPr>
                <w:b/>
                <w:i/>
                <w:sz w:val="20"/>
                <w:szCs w:val="20"/>
              </w:rPr>
              <w:t>31. 12. 20</w:t>
            </w:r>
            <w:r w:rsidR="009F5AA6">
              <w:rPr>
                <w:b/>
                <w:i/>
                <w:sz w:val="20"/>
                <w:szCs w:val="20"/>
              </w:rPr>
              <w:t>2</w:t>
            </w:r>
            <w:r w:rsidR="000E3D84"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FD334E" w:rsidRPr="0082310A" w:rsidRDefault="00FD334E" w:rsidP="000E3D84">
            <w:pPr>
              <w:jc w:val="center"/>
              <w:rPr>
                <w:sz w:val="20"/>
                <w:szCs w:val="20"/>
              </w:rPr>
            </w:pPr>
            <w:r w:rsidRPr="0082310A">
              <w:rPr>
                <w:b/>
                <w:i/>
                <w:sz w:val="20"/>
                <w:szCs w:val="20"/>
              </w:rPr>
              <w:t>31. 12. 20</w:t>
            </w:r>
            <w:r w:rsidR="003540E6">
              <w:rPr>
                <w:b/>
                <w:i/>
                <w:sz w:val="20"/>
                <w:szCs w:val="20"/>
              </w:rPr>
              <w:t>2</w:t>
            </w:r>
            <w:r w:rsidR="000E3D84">
              <w:rPr>
                <w:b/>
                <w:i/>
                <w:sz w:val="20"/>
                <w:szCs w:val="20"/>
              </w:rPr>
              <w:t>2</w:t>
            </w:r>
          </w:p>
        </w:tc>
      </w:tr>
      <w:tr w:rsidR="00FD334E" w:rsidRPr="0082310A" w:rsidTr="00E13CC7">
        <w:tc>
          <w:tcPr>
            <w:tcW w:w="31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334E" w:rsidRPr="0082310A" w:rsidRDefault="00FD334E" w:rsidP="00E13CC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2310A">
              <w:rPr>
                <w:b/>
                <w:bCs/>
                <w:i/>
                <w:iCs/>
                <w:sz w:val="20"/>
                <w:szCs w:val="20"/>
              </w:rPr>
              <w:t>Dlhodobé záväzky: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D334E" w:rsidRPr="0082310A" w:rsidRDefault="00FD334E" w:rsidP="00E13CC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D334E" w:rsidRPr="0082310A" w:rsidRDefault="00FD334E" w:rsidP="00E13CC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D334E" w:rsidRPr="0082310A" w:rsidRDefault="00FD334E" w:rsidP="00E13CC7">
            <w:pPr>
              <w:jc w:val="right"/>
              <w:rPr>
                <w:sz w:val="20"/>
                <w:szCs w:val="20"/>
              </w:rPr>
            </w:pPr>
          </w:p>
        </w:tc>
      </w:tr>
      <w:tr w:rsidR="00FD334E" w:rsidRPr="0082310A" w:rsidTr="00E13CC7">
        <w:tc>
          <w:tcPr>
            <w:tcW w:w="3130" w:type="pct"/>
            <w:vAlign w:val="center"/>
            <w:hideMark/>
          </w:tcPr>
          <w:p w:rsidR="00FD334E" w:rsidRPr="0082310A" w:rsidRDefault="00FD334E" w:rsidP="00E13CC7">
            <w:pPr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438" w:type="pct"/>
            <w:vAlign w:val="center"/>
          </w:tcPr>
          <w:p w:rsidR="00FD334E" w:rsidRPr="0082310A" w:rsidRDefault="00FD334E" w:rsidP="00E13CC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16" w:type="pct"/>
            <w:vAlign w:val="bottom"/>
            <w:hideMark/>
          </w:tcPr>
          <w:p w:rsidR="00FD334E" w:rsidRPr="00D56DAC" w:rsidRDefault="00CA0E1B" w:rsidP="00E13CC7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363</w:t>
            </w:r>
          </w:p>
        </w:tc>
        <w:tc>
          <w:tcPr>
            <w:tcW w:w="716" w:type="pct"/>
            <w:vAlign w:val="bottom"/>
            <w:hideMark/>
          </w:tcPr>
          <w:p w:rsidR="00FD334E" w:rsidRPr="00D56DAC" w:rsidRDefault="000E3D84" w:rsidP="00E13CC7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316</w:t>
            </w:r>
          </w:p>
        </w:tc>
      </w:tr>
      <w:tr w:rsidR="00FD334E" w:rsidRPr="0082310A" w:rsidTr="00E13CC7">
        <w:tc>
          <w:tcPr>
            <w:tcW w:w="3130" w:type="pct"/>
            <w:vAlign w:val="center"/>
            <w:hideMark/>
          </w:tcPr>
          <w:p w:rsidR="00FD334E" w:rsidRPr="0082310A" w:rsidRDefault="00FD334E" w:rsidP="00E13CC7">
            <w:pPr>
              <w:rPr>
                <w:sz w:val="20"/>
                <w:szCs w:val="20"/>
              </w:rPr>
            </w:pPr>
            <w:r w:rsidRPr="0082310A"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438" w:type="pct"/>
            <w:vAlign w:val="center"/>
          </w:tcPr>
          <w:p w:rsidR="00FD334E" w:rsidRPr="0082310A" w:rsidRDefault="00FD334E" w:rsidP="00E13CC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D334E" w:rsidRPr="00D56DAC" w:rsidRDefault="00D56DAC" w:rsidP="00E13CC7">
            <w:pPr>
              <w:jc w:val="right"/>
              <w:rPr>
                <w:i/>
                <w:sz w:val="20"/>
                <w:szCs w:val="20"/>
              </w:rPr>
            </w:pPr>
            <w:r w:rsidRPr="00D56DAC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D334E" w:rsidRPr="00D56DAC" w:rsidRDefault="00D56DAC" w:rsidP="00E13CC7">
            <w:pPr>
              <w:jc w:val="right"/>
              <w:rPr>
                <w:i/>
                <w:sz w:val="20"/>
                <w:szCs w:val="20"/>
              </w:rPr>
            </w:pPr>
            <w:r w:rsidRPr="00D56DAC">
              <w:rPr>
                <w:i/>
                <w:sz w:val="20"/>
                <w:szCs w:val="20"/>
              </w:rPr>
              <w:t>0</w:t>
            </w:r>
          </w:p>
        </w:tc>
      </w:tr>
      <w:tr w:rsidR="00FD334E" w:rsidRPr="0082310A" w:rsidTr="00E13CC7">
        <w:tc>
          <w:tcPr>
            <w:tcW w:w="313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FD334E" w:rsidRPr="0082310A" w:rsidRDefault="00FD334E" w:rsidP="00E13CC7">
            <w:pPr>
              <w:rPr>
                <w:b/>
                <w:bCs/>
                <w:sz w:val="20"/>
                <w:szCs w:val="20"/>
              </w:rPr>
            </w:pPr>
            <w:r w:rsidRPr="0082310A">
              <w:rPr>
                <w:b/>
                <w:bCs/>
                <w:sz w:val="20"/>
                <w:szCs w:val="20"/>
              </w:rPr>
              <w:t>Spolu dlhodobé záväzky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D334E" w:rsidRPr="0082310A" w:rsidRDefault="00FD334E" w:rsidP="00E13CC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72349" w:rsidRPr="00D56DAC" w:rsidRDefault="007A244C" w:rsidP="00CA0E1B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3</w:t>
            </w:r>
            <w:r w:rsidR="00CA0E1B">
              <w:rPr>
                <w:b/>
                <w:bCs/>
                <w:i/>
                <w:sz w:val="20"/>
                <w:szCs w:val="20"/>
              </w:rPr>
              <w:t>63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FD334E" w:rsidRPr="00D56DAC" w:rsidRDefault="000E3D84" w:rsidP="007A244C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316</w:t>
            </w:r>
          </w:p>
        </w:tc>
      </w:tr>
    </w:tbl>
    <w:p w:rsidR="00FD334E" w:rsidRDefault="00FD334E" w:rsidP="00FD334E">
      <w:pPr>
        <w:rPr>
          <w:snapToGrid w:val="0"/>
          <w:sz w:val="20"/>
          <w:szCs w:val="20"/>
          <w:u w:val="single"/>
        </w:rPr>
      </w:pPr>
    </w:p>
    <w:p w:rsidR="00465FAA" w:rsidRDefault="00465FAA" w:rsidP="00FD334E">
      <w:pPr>
        <w:rPr>
          <w:snapToGrid w:val="0"/>
          <w:sz w:val="20"/>
          <w:szCs w:val="20"/>
          <w:u w:val="single"/>
        </w:rPr>
      </w:pPr>
    </w:p>
    <w:p w:rsidR="00465FAA" w:rsidRDefault="00465FAA" w:rsidP="00FD334E">
      <w:pPr>
        <w:rPr>
          <w:snapToGrid w:val="0"/>
          <w:sz w:val="20"/>
          <w:szCs w:val="20"/>
          <w:u w:val="single"/>
        </w:rPr>
      </w:pPr>
    </w:p>
    <w:p w:rsidR="00465FAA" w:rsidRDefault="00465FAA" w:rsidP="00FD334E">
      <w:pPr>
        <w:rPr>
          <w:snapToGrid w:val="0"/>
          <w:sz w:val="20"/>
          <w:szCs w:val="20"/>
          <w:u w:val="single"/>
        </w:rPr>
      </w:pPr>
    </w:p>
    <w:p w:rsidR="00465FAA" w:rsidRDefault="00465FAA" w:rsidP="00FD334E">
      <w:pPr>
        <w:rPr>
          <w:snapToGrid w:val="0"/>
          <w:sz w:val="20"/>
          <w:szCs w:val="20"/>
          <w:u w:val="single"/>
        </w:rPr>
      </w:pPr>
    </w:p>
    <w:p w:rsidR="00465FAA" w:rsidRPr="0082310A" w:rsidRDefault="00465FAA" w:rsidP="00FD334E">
      <w:pPr>
        <w:rPr>
          <w:snapToGrid w:val="0"/>
          <w:sz w:val="20"/>
          <w:szCs w:val="20"/>
          <w:u w:val="single"/>
        </w:rPr>
      </w:pPr>
    </w:p>
    <w:p w:rsidR="00FD334E" w:rsidRPr="0082310A" w:rsidRDefault="00FD334E" w:rsidP="00FD334E">
      <w:pPr>
        <w:rPr>
          <w:snapToGrid w:val="0"/>
          <w:sz w:val="20"/>
          <w:szCs w:val="20"/>
          <w:u w:val="single"/>
        </w:rPr>
      </w:pPr>
      <w:r w:rsidRPr="0082310A">
        <w:rPr>
          <w:snapToGrid w:val="0"/>
          <w:sz w:val="20"/>
          <w:szCs w:val="20"/>
        </w:rPr>
        <w:t xml:space="preserve">1.2. </w:t>
      </w:r>
      <w:r w:rsidRPr="0082310A">
        <w:rPr>
          <w:snapToGrid w:val="0"/>
          <w:sz w:val="20"/>
          <w:szCs w:val="20"/>
          <w:u w:val="single"/>
        </w:rPr>
        <w:t xml:space="preserve">Výška krátkodobých záväzkov – veková štruktúra </w:t>
      </w:r>
    </w:p>
    <w:p w:rsidR="00FD334E" w:rsidRPr="0082310A" w:rsidRDefault="00FD334E" w:rsidP="00FD334E">
      <w:pPr>
        <w:rPr>
          <w:snapToGrid w:val="0"/>
          <w:sz w:val="20"/>
          <w:szCs w:val="20"/>
          <w:highlight w:val="yellow"/>
        </w:rPr>
      </w:pPr>
    </w:p>
    <w:tbl>
      <w:tblPr>
        <w:tblW w:w="9322" w:type="dxa"/>
        <w:tblLook w:val="04A0"/>
      </w:tblPr>
      <w:tblGrid>
        <w:gridCol w:w="6487"/>
        <w:gridCol w:w="1418"/>
        <w:gridCol w:w="1417"/>
      </w:tblGrid>
      <w:tr w:rsidR="00FD334E" w:rsidRPr="0082310A" w:rsidTr="00FD334E"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</w:tcPr>
          <w:p w:rsidR="00FD334E" w:rsidRPr="0082310A" w:rsidRDefault="00FD334E" w:rsidP="00FD334E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  <w:highlight w:val="yellow"/>
              </w:rPr>
            </w:pPr>
            <w:r w:rsidRPr="0082310A">
              <w:rPr>
                <w:b/>
                <w:bCs/>
                <w:i/>
                <w:iCs/>
                <w:sz w:val="20"/>
                <w:szCs w:val="20"/>
              </w:rPr>
              <w:t>Položka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D334E" w:rsidRPr="0082310A" w:rsidRDefault="00FD334E" w:rsidP="000E3D84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  <w:highlight w:val="yellow"/>
              </w:rPr>
            </w:pPr>
            <w:r w:rsidRPr="0082310A">
              <w:rPr>
                <w:b/>
                <w:bCs/>
                <w:i/>
                <w:sz w:val="20"/>
                <w:szCs w:val="20"/>
              </w:rPr>
              <w:t>31. 12. 20</w:t>
            </w:r>
            <w:r w:rsidR="00465FAA">
              <w:rPr>
                <w:b/>
                <w:bCs/>
                <w:i/>
                <w:sz w:val="20"/>
                <w:szCs w:val="20"/>
              </w:rPr>
              <w:t>2</w:t>
            </w:r>
            <w:r w:rsidR="000E3D84">
              <w:rPr>
                <w:b/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D334E" w:rsidRPr="0082310A" w:rsidRDefault="00FD334E" w:rsidP="000E3D84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  <w:highlight w:val="yellow"/>
              </w:rPr>
            </w:pPr>
            <w:r w:rsidRPr="0082310A">
              <w:rPr>
                <w:b/>
                <w:bCs/>
                <w:i/>
                <w:sz w:val="20"/>
                <w:szCs w:val="20"/>
              </w:rPr>
              <w:t>31. 12. 20</w:t>
            </w:r>
            <w:r w:rsidR="00690421">
              <w:rPr>
                <w:b/>
                <w:bCs/>
                <w:i/>
                <w:sz w:val="20"/>
                <w:szCs w:val="20"/>
              </w:rPr>
              <w:t>2</w:t>
            </w:r>
            <w:r w:rsidR="000E3D84">
              <w:rPr>
                <w:b/>
                <w:bCs/>
                <w:i/>
                <w:sz w:val="20"/>
                <w:szCs w:val="20"/>
              </w:rPr>
              <w:t>2</w:t>
            </w:r>
          </w:p>
        </w:tc>
      </w:tr>
      <w:tr w:rsidR="00FD334E" w:rsidRPr="0082310A" w:rsidTr="00FD334E">
        <w:tc>
          <w:tcPr>
            <w:tcW w:w="6487" w:type="dxa"/>
            <w:tcBorders>
              <w:top w:val="single" w:sz="4" w:space="0" w:color="auto"/>
            </w:tcBorders>
          </w:tcPr>
          <w:p w:rsidR="00FD334E" w:rsidRPr="0082310A" w:rsidRDefault="00FD334E" w:rsidP="00FD334E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  <w:highlight w:val="yellow"/>
              </w:rPr>
            </w:pPr>
            <w:r w:rsidRPr="0082310A">
              <w:rPr>
                <w:b/>
                <w:bCs/>
                <w:i/>
                <w:iCs/>
                <w:sz w:val="20"/>
                <w:szCs w:val="20"/>
              </w:rPr>
              <w:t>Krátkodobé záväzky z obchodného styku: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D334E" w:rsidRPr="0082310A" w:rsidRDefault="00FD334E" w:rsidP="00FD334E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D334E" w:rsidRPr="0082310A" w:rsidRDefault="00FD334E" w:rsidP="00FD334E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  <w:highlight w:val="yellow"/>
              </w:rPr>
            </w:pPr>
          </w:p>
        </w:tc>
      </w:tr>
      <w:tr w:rsidR="00C92F19" w:rsidRPr="0082310A" w:rsidTr="00FD334E">
        <w:tc>
          <w:tcPr>
            <w:tcW w:w="6487" w:type="dxa"/>
            <w:shd w:val="clear" w:color="auto" w:fill="auto"/>
          </w:tcPr>
          <w:p w:rsidR="00C92F19" w:rsidRPr="0082310A" w:rsidRDefault="00C92F19" w:rsidP="00FD334E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</w:rPr>
            </w:pPr>
            <w:r w:rsidRPr="0082310A">
              <w:rPr>
                <w:b/>
                <w:bCs/>
                <w:snapToGrid w:val="0"/>
                <w:sz w:val="20"/>
                <w:szCs w:val="20"/>
              </w:rPr>
              <w:t>Záväzky do lehoty splatnosti</w:t>
            </w:r>
          </w:p>
        </w:tc>
        <w:tc>
          <w:tcPr>
            <w:tcW w:w="1418" w:type="dxa"/>
            <w:shd w:val="clear" w:color="auto" w:fill="auto"/>
          </w:tcPr>
          <w:p w:rsidR="00C92F19" w:rsidRPr="0082310A" w:rsidRDefault="00CA0E1B" w:rsidP="007A244C">
            <w:pPr>
              <w:ind w:right="-468"/>
              <w:jc w:val="center"/>
              <w:rPr>
                <w:b/>
                <w:bCs/>
                <w:i/>
                <w:snapToGrid w:val="0"/>
                <w:sz w:val="20"/>
                <w:szCs w:val="20"/>
              </w:rPr>
            </w:pPr>
            <w:r>
              <w:rPr>
                <w:b/>
                <w:bCs/>
                <w:i/>
                <w:snapToGrid w:val="0"/>
                <w:sz w:val="20"/>
                <w:szCs w:val="20"/>
              </w:rPr>
              <w:t>1029</w:t>
            </w:r>
          </w:p>
        </w:tc>
        <w:tc>
          <w:tcPr>
            <w:tcW w:w="1417" w:type="dxa"/>
          </w:tcPr>
          <w:p w:rsidR="00C92F19" w:rsidRPr="0082310A" w:rsidRDefault="007A244C" w:rsidP="000E3D84">
            <w:pPr>
              <w:ind w:right="-468"/>
              <w:jc w:val="center"/>
              <w:rPr>
                <w:b/>
                <w:bCs/>
                <w:i/>
                <w:snapToGrid w:val="0"/>
                <w:sz w:val="20"/>
                <w:szCs w:val="20"/>
              </w:rPr>
            </w:pPr>
            <w:r>
              <w:rPr>
                <w:b/>
                <w:bCs/>
                <w:i/>
                <w:snapToGrid w:val="0"/>
                <w:sz w:val="20"/>
                <w:szCs w:val="20"/>
              </w:rPr>
              <w:t>1</w:t>
            </w:r>
            <w:r w:rsidR="000E3D84">
              <w:rPr>
                <w:b/>
                <w:bCs/>
                <w:i/>
                <w:snapToGrid w:val="0"/>
                <w:sz w:val="20"/>
                <w:szCs w:val="20"/>
              </w:rPr>
              <w:t>088</w:t>
            </w:r>
          </w:p>
        </w:tc>
      </w:tr>
      <w:tr w:rsidR="00C92F19" w:rsidRPr="0082310A" w:rsidTr="00FD334E">
        <w:tc>
          <w:tcPr>
            <w:tcW w:w="6487" w:type="dxa"/>
            <w:shd w:val="clear" w:color="auto" w:fill="auto"/>
          </w:tcPr>
          <w:p w:rsidR="00C92F19" w:rsidRPr="0082310A" w:rsidRDefault="00C92F19" w:rsidP="00FD334E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</w:rPr>
            </w:pPr>
            <w:r w:rsidRPr="0082310A">
              <w:rPr>
                <w:b/>
                <w:bCs/>
                <w:snapToGrid w:val="0"/>
                <w:sz w:val="20"/>
                <w:szCs w:val="20"/>
              </w:rPr>
              <w:t>Záväzky po lehote splatnosti</w:t>
            </w:r>
          </w:p>
        </w:tc>
        <w:tc>
          <w:tcPr>
            <w:tcW w:w="1418" w:type="dxa"/>
            <w:shd w:val="clear" w:color="auto" w:fill="auto"/>
          </w:tcPr>
          <w:p w:rsidR="00C92F19" w:rsidRPr="0082310A" w:rsidRDefault="00D56DAC" w:rsidP="00FD334E">
            <w:pPr>
              <w:ind w:right="-468"/>
              <w:jc w:val="center"/>
              <w:rPr>
                <w:b/>
                <w:bCs/>
                <w:i/>
                <w:snapToGrid w:val="0"/>
                <w:sz w:val="20"/>
                <w:szCs w:val="20"/>
              </w:rPr>
            </w:pPr>
            <w:r>
              <w:rPr>
                <w:b/>
                <w:bCs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C92F19" w:rsidRPr="0082310A" w:rsidRDefault="00D56DAC" w:rsidP="00E13CC7">
            <w:pPr>
              <w:ind w:right="-468"/>
              <w:jc w:val="center"/>
              <w:rPr>
                <w:b/>
                <w:bCs/>
                <w:i/>
                <w:snapToGrid w:val="0"/>
                <w:sz w:val="20"/>
                <w:szCs w:val="20"/>
              </w:rPr>
            </w:pPr>
            <w:r>
              <w:rPr>
                <w:b/>
                <w:bCs/>
                <w:i/>
                <w:snapToGrid w:val="0"/>
                <w:sz w:val="20"/>
                <w:szCs w:val="20"/>
              </w:rPr>
              <w:t>0</w:t>
            </w:r>
          </w:p>
        </w:tc>
      </w:tr>
      <w:tr w:rsidR="00FD334E" w:rsidRPr="0082310A" w:rsidTr="00FD334E">
        <w:trPr>
          <w:trHeight w:val="237"/>
        </w:trPr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</w:tcPr>
          <w:p w:rsidR="00FD334E" w:rsidRPr="0082310A" w:rsidRDefault="00FD334E" w:rsidP="00FD334E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</w:rPr>
            </w:pPr>
            <w:r w:rsidRPr="0082310A">
              <w:rPr>
                <w:b/>
                <w:bCs/>
                <w:sz w:val="20"/>
                <w:szCs w:val="20"/>
              </w:rPr>
              <w:t>Spolu krátkodobé záväzky z obchodného styku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FD334E" w:rsidRPr="0082310A" w:rsidRDefault="003540E6" w:rsidP="00CA0E1B">
            <w:pPr>
              <w:ind w:right="-468"/>
              <w:jc w:val="center"/>
              <w:rPr>
                <w:b/>
                <w:bCs/>
                <w:snapToGrid w:val="0"/>
                <w:sz w:val="20"/>
                <w:szCs w:val="20"/>
              </w:rPr>
            </w:pPr>
            <w:r>
              <w:rPr>
                <w:b/>
                <w:bCs/>
                <w:i/>
                <w:snapToGrid w:val="0"/>
                <w:sz w:val="20"/>
                <w:szCs w:val="20"/>
              </w:rPr>
              <w:t>1</w:t>
            </w:r>
            <w:r w:rsidR="007A244C">
              <w:rPr>
                <w:b/>
                <w:bCs/>
                <w:i/>
                <w:snapToGrid w:val="0"/>
                <w:sz w:val="20"/>
                <w:szCs w:val="20"/>
              </w:rPr>
              <w:t>0</w:t>
            </w:r>
            <w:r w:rsidR="00CA0E1B">
              <w:rPr>
                <w:b/>
                <w:bCs/>
                <w:i/>
                <w:snapToGrid w:val="0"/>
                <w:sz w:val="20"/>
                <w:szCs w:val="20"/>
              </w:rPr>
              <w:t>29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auto"/>
            </w:tcBorders>
          </w:tcPr>
          <w:p w:rsidR="00FD334E" w:rsidRDefault="000E3D84" w:rsidP="00FD334E">
            <w:pPr>
              <w:ind w:right="-468"/>
              <w:jc w:val="center"/>
              <w:rPr>
                <w:b/>
                <w:bCs/>
                <w:i/>
                <w:snapToGrid w:val="0"/>
                <w:sz w:val="20"/>
                <w:szCs w:val="20"/>
              </w:rPr>
            </w:pPr>
            <w:r>
              <w:rPr>
                <w:b/>
                <w:bCs/>
                <w:i/>
                <w:snapToGrid w:val="0"/>
                <w:sz w:val="20"/>
                <w:szCs w:val="20"/>
              </w:rPr>
              <w:t>1088</w:t>
            </w:r>
          </w:p>
          <w:p w:rsidR="00D56DAC" w:rsidRDefault="00D56DAC" w:rsidP="00FD334E">
            <w:pPr>
              <w:ind w:right="-468"/>
              <w:jc w:val="center"/>
              <w:rPr>
                <w:b/>
                <w:bCs/>
                <w:i/>
                <w:snapToGrid w:val="0"/>
                <w:sz w:val="20"/>
                <w:szCs w:val="20"/>
              </w:rPr>
            </w:pPr>
          </w:p>
          <w:p w:rsidR="00D82F4F" w:rsidRPr="0082310A" w:rsidRDefault="00D82F4F" w:rsidP="00FD334E">
            <w:pPr>
              <w:ind w:right="-468"/>
              <w:jc w:val="center"/>
              <w:rPr>
                <w:b/>
                <w:bCs/>
                <w:i/>
                <w:snapToGrid w:val="0"/>
                <w:sz w:val="20"/>
                <w:szCs w:val="20"/>
              </w:rPr>
            </w:pPr>
          </w:p>
        </w:tc>
      </w:tr>
      <w:tr w:rsidR="00FD334E" w:rsidRPr="0082310A" w:rsidTr="00FD334E">
        <w:tc>
          <w:tcPr>
            <w:tcW w:w="6487" w:type="dxa"/>
            <w:tcBorders>
              <w:top w:val="single" w:sz="4" w:space="0" w:color="auto"/>
            </w:tcBorders>
          </w:tcPr>
          <w:p w:rsidR="00FD334E" w:rsidRPr="0082310A" w:rsidRDefault="00FD334E" w:rsidP="00FD334E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D334E" w:rsidRPr="0082310A" w:rsidRDefault="00FD334E" w:rsidP="00FD334E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D334E" w:rsidRPr="0082310A" w:rsidRDefault="00FD334E" w:rsidP="00FD334E">
            <w:pPr>
              <w:ind w:right="-468"/>
              <w:jc w:val="both"/>
              <w:rPr>
                <w:b/>
                <w:bCs/>
                <w:snapToGrid w:val="0"/>
                <w:sz w:val="20"/>
                <w:szCs w:val="20"/>
                <w:highlight w:val="yellow"/>
              </w:rPr>
            </w:pPr>
          </w:p>
        </w:tc>
      </w:tr>
    </w:tbl>
    <w:p w:rsidR="00FD334E" w:rsidRPr="0082310A" w:rsidRDefault="0082310A" w:rsidP="00FD334E">
      <w:pPr>
        <w:pStyle w:val="Obyajntext"/>
        <w:rPr>
          <w:rFonts w:ascii="Times New Roman" w:hAnsi="Times New Roman"/>
          <w:b/>
          <w:sz w:val="20"/>
          <w:szCs w:val="20"/>
        </w:rPr>
      </w:pPr>
      <w:r w:rsidRPr="0082310A">
        <w:rPr>
          <w:rFonts w:ascii="Times New Roman" w:hAnsi="Times New Roman"/>
          <w:b/>
          <w:sz w:val="20"/>
          <w:szCs w:val="20"/>
        </w:rPr>
        <w:t>(6) Informácie o nákladoch a výnosoch, ktoré majú výnimočný rozsah alebo výskyt</w:t>
      </w:r>
    </w:p>
    <w:p w:rsidR="0082310A" w:rsidRDefault="0082310A" w:rsidP="00C92F19">
      <w:pPr>
        <w:pStyle w:val="Nadpis1"/>
        <w:numPr>
          <w:ilvl w:val="0"/>
          <w:numId w:val="0"/>
        </w:numPr>
        <w:tabs>
          <w:tab w:val="num" w:pos="539"/>
        </w:tabs>
        <w:spacing w:before="0" w:after="0"/>
        <w:ind w:left="539" w:hanging="539"/>
        <w:jc w:val="both"/>
        <w:rPr>
          <w:rFonts w:cs="Times New Roman"/>
          <w:sz w:val="20"/>
          <w:szCs w:val="20"/>
        </w:rPr>
      </w:pPr>
    </w:p>
    <w:p w:rsidR="00C92F19" w:rsidRPr="0082310A" w:rsidRDefault="00C92F19" w:rsidP="00C92F19">
      <w:pPr>
        <w:pStyle w:val="Nadpis1"/>
        <w:numPr>
          <w:ilvl w:val="0"/>
          <w:numId w:val="0"/>
        </w:numPr>
        <w:tabs>
          <w:tab w:val="num" w:pos="539"/>
        </w:tabs>
        <w:spacing w:before="0" w:after="0"/>
        <w:ind w:left="539" w:hanging="539"/>
        <w:jc w:val="both"/>
        <w:rPr>
          <w:rFonts w:cs="Times New Roman"/>
          <w:sz w:val="20"/>
          <w:szCs w:val="20"/>
        </w:rPr>
      </w:pPr>
      <w:r w:rsidRPr="0082310A">
        <w:rPr>
          <w:rFonts w:cs="Times New Roman"/>
          <w:sz w:val="20"/>
          <w:szCs w:val="20"/>
        </w:rPr>
        <w:t>INÉ AKTÍVA A INÉ PASÍVA</w:t>
      </w:r>
    </w:p>
    <w:p w:rsidR="00C92F19" w:rsidRPr="0082310A" w:rsidRDefault="00C92F19" w:rsidP="00C92F19">
      <w:pPr>
        <w:rPr>
          <w:sz w:val="20"/>
          <w:szCs w:val="20"/>
        </w:rPr>
      </w:pPr>
    </w:p>
    <w:p w:rsidR="00C92F19" w:rsidRPr="0082310A" w:rsidRDefault="00C92F19" w:rsidP="00C92F19">
      <w:pPr>
        <w:pStyle w:val="Nadpis2"/>
        <w:numPr>
          <w:ilvl w:val="1"/>
          <w:numId w:val="0"/>
        </w:numPr>
        <w:tabs>
          <w:tab w:val="num" w:pos="539"/>
        </w:tabs>
        <w:spacing w:after="0"/>
        <w:ind w:left="539" w:hanging="539"/>
        <w:jc w:val="both"/>
        <w:rPr>
          <w:sz w:val="20"/>
          <w:szCs w:val="20"/>
        </w:rPr>
      </w:pPr>
      <w:r w:rsidRPr="0082310A">
        <w:rPr>
          <w:sz w:val="20"/>
          <w:szCs w:val="20"/>
        </w:rPr>
        <w:t>Podmienené záväzky</w:t>
      </w:r>
    </w:p>
    <w:p w:rsidR="00C92F19" w:rsidRPr="0082310A" w:rsidRDefault="00C92F19" w:rsidP="00C92F19">
      <w:pPr>
        <w:rPr>
          <w:snapToGrid w:val="0"/>
          <w:sz w:val="20"/>
          <w:szCs w:val="20"/>
        </w:rPr>
      </w:pPr>
    </w:p>
    <w:p w:rsidR="003A548C" w:rsidRPr="003A548C" w:rsidRDefault="003A548C" w:rsidP="003A548C">
      <w:pPr>
        <w:rPr>
          <w:snapToGrid w:val="0"/>
          <w:sz w:val="20"/>
          <w:szCs w:val="20"/>
        </w:rPr>
      </w:pPr>
      <w:r w:rsidRPr="003A548C">
        <w:rPr>
          <w:snapToGrid w:val="0"/>
          <w:sz w:val="20"/>
          <w:szCs w:val="20"/>
        </w:rPr>
        <w:t>Daňové priznania zostávajú otvorené a môžu byť predmetom kontroly počas obdobia piatich rokov. Skutočnosť, že určité obdobie alebo daňové priznanie vzťahujúce sa na toto obdobie bolo kontrolované, nemá vplyv na vylúčenie tohto obdobia z prípadnej ďalšej kontroly počas obdobia piatich rokov. V dôsledku toho sú k 31. decembru 202</w:t>
      </w:r>
      <w:r w:rsidR="000E3D84">
        <w:rPr>
          <w:snapToGrid w:val="0"/>
          <w:sz w:val="20"/>
          <w:szCs w:val="20"/>
        </w:rPr>
        <w:t>3</w:t>
      </w:r>
      <w:r w:rsidRPr="003A548C">
        <w:rPr>
          <w:snapToGrid w:val="0"/>
          <w:sz w:val="20"/>
          <w:szCs w:val="20"/>
        </w:rPr>
        <w:t xml:space="preserve"> daňové priznania spoločnosti za roky 201</w:t>
      </w:r>
      <w:r w:rsidR="000E3D84">
        <w:rPr>
          <w:snapToGrid w:val="0"/>
          <w:sz w:val="20"/>
          <w:szCs w:val="20"/>
        </w:rPr>
        <w:t xml:space="preserve">9 </w:t>
      </w:r>
      <w:r w:rsidRPr="003A548C">
        <w:rPr>
          <w:snapToGrid w:val="0"/>
          <w:sz w:val="20"/>
          <w:szCs w:val="20"/>
        </w:rPr>
        <w:t>až 202</w:t>
      </w:r>
      <w:r w:rsidR="000E3D84">
        <w:rPr>
          <w:snapToGrid w:val="0"/>
          <w:sz w:val="20"/>
          <w:szCs w:val="20"/>
        </w:rPr>
        <w:t>3</w:t>
      </w:r>
      <w:r w:rsidRPr="003A548C">
        <w:rPr>
          <w:snapToGrid w:val="0"/>
          <w:sz w:val="20"/>
          <w:szCs w:val="20"/>
        </w:rPr>
        <w:t xml:space="preserve"> otvorené a môžu sa stať predmetom kontroly.</w:t>
      </w:r>
    </w:p>
    <w:p w:rsidR="00CB4C58" w:rsidRPr="0082310A" w:rsidRDefault="00CB4C58" w:rsidP="006F74F4">
      <w:pPr>
        <w:ind w:left="360"/>
        <w:rPr>
          <w:sz w:val="20"/>
          <w:szCs w:val="20"/>
        </w:rPr>
      </w:pPr>
    </w:p>
    <w:p w:rsidR="00C92F19" w:rsidRPr="0082310A" w:rsidRDefault="00C92F19" w:rsidP="00C92F19">
      <w:pPr>
        <w:pStyle w:val="Nadpis1"/>
        <w:numPr>
          <w:ilvl w:val="0"/>
          <w:numId w:val="0"/>
        </w:numPr>
        <w:tabs>
          <w:tab w:val="num" w:pos="539"/>
        </w:tabs>
        <w:spacing w:before="0" w:after="0"/>
        <w:ind w:left="539" w:hanging="539"/>
        <w:jc w:val="left"/>
        <w:rPr>
          <w:rFonts w:cs="Times New Roman"/>
          <w:sz w:val="20"/>
          <w:szCs w:val="20"/>
        </w:rPr>
      </w:pPr>
      <w:r w:rsidRPr="0082310A">
        <w:rPr>
          <w:rFonts w:cs="Times New Roman"/>
          <w:sz w:val="20"/>
          <w:szCs w:val="20"/>
        </w:rPr>
        <w:t>SKUTOČNOSTI, KTORÉ NASTALI PO DNI, KU KTORÉMU SA ZOSTAVUJE ÚČTOVNÁ</w:t>
      </w:r>
    </w:p>
    <w:p w:rsidR="00C92F19" w:rsidRPr="0082310A" w:rsidRDefault="00C92F19" w:rsidP="00C92F19">
      <w:pPr>
        <w:pStyle w:val="Nadpis1"/>
        <w:numPr>
          <w:ilvl w:val="0"/>
          <w:numId w:val="0"/>
        </w:numPr>
        <w:tabs>
          <w:tab w:val="num" w:pos="539"/>
        </w:tabs>
        <w:spacing w:before="0" w:after="0"/>
        <w:ind w:left="539" w:hanging="539"/>
        <w:jc w:val="left"/>
        <w:rPr>
          <w:rFonts w:cs="Times New Roman"/>
          <w:sz w:val="20"/>
          <w:szCs w:val="20"/>
        </w:rPr>
      </w:pPr>
      <w:r w:rsidRPr="0082310A">
        <w:rPr>
          <w:rFonts w:cs="Times New Roman"/>
          <w:sz w:val="20"/>
          <w:szCs w:val="20"/>
        </w:rPr>
        <w:t>ZÁVIERKA,A DO DŇA ZOSTAVENIA ÚČTOVNEJ ZÁVIERKY</w:t>
      </w:r>
    </w:p>
    <w:p w:rsidR="00C92F19" w:rsidRPr="0082310A" w:rsidRDefault="00C92F19" w:rsidP="00C92F19">
      <w:pPr>
        <w:pStyle w:val="Obyajntext"/>
        <w:rPr>
          <w:rFonts w:ascii="Times New Roman" w:hAnsi="Times New Roman"/>
          <w:sz w:val="20"/>
          <w:szCs w:val="20"/>
        </w:rPr>
      </w:pPr>
    </w:p>
    <w:p w:rsidR="007A244C" w:rsidRPr="000524A8" w:rsidRDefault="007A244C" w:rsidP="007A244C">
      <w:pPr>
        <w:pStyle w:val="Obyajntext"/>
        <w:rPr>
          <w:rFonts w:ascii="Times New Roman" w:hAnsi="Times New Roman"/>
          <w:sz w:val="20"/>
          <w:szCs w:val="20"/>
        </w:rPr>
      </w:pPr>
      <w:r w:rsidRPr="000524A8">
        <w:rPr>
          <w:rFonts w:ascii="Times New Roman" w:hAnsi="Times New Roman"/>
          <w:sz w:val="20"/>
          <w:szCs w:val="20"/>
        </w:rPr>
        <w:t>V súvislosti s</w:t>
      </w:r>
      <w:r>
        <w:rPr>
          <w:rFonts w:ascii="Times New Roman" w:hAnsi="Times New Roman"/>
          <w:sz w:val="20"/>
          <w:szCs w:val="20"/>
        </w:rPr>
        <w:t xml:space="preserve"> pokračujúcim</w:t>
      </w:r>
      <w:r w:rsidRPr="000524A8">
        <w:rPr>
          <w:rFonts w:ascii="Times New Roman" w:hAnsi="Times New Roman"/>
          <w:sz w:val="20"/>
          <w:szCs w:val="20"/>
        </w:rPr>
        <w:t xml:space="preserve"> vojnovým konfliktom na Ukrajine vedenie Spoločnosti urobilo analýzu možných účinkov a následkov na Spoločnosť a dospelo k názoru, že v súčasnosti nemajú významné nepriaznivé dopady na Spoločnosť (okrem rastúcich cien vstupov, najmä pohonných hmôt, energií, materiálov, tovarov a služieb). Vedenie Spoločnosti nepredpokladá významné ohrozenie predpokladu nepretržitého pokračovania v činnosti v blízkej budúcnosti (t.j. počas nasledujúcich 12 mesiacov od dátumu </w:t>
      </w:r>
      <w:r>
        <w:rPr>
          <w:rFonts w:ascii="Times New Roman" w:hAnsi="Times New Roman"/>
          <w:sz w:val="20"/>
          <w:szCs w:val="20"/>
        </w:rPr>
        <w:t>z</w:t>
      </w:r>
      <w:r w:rsidRPr="000524A8">
        <w:rPr>
          <w:rFonts w:ascii="Times New Roman" w:hAnsi="Times New Roman"/>
          <w:sz w:val="20"/>
          <w:szCs w:val="20"/>
        </w:rPr>
        <w:t>ostavenia UZ).</w:t>
      </w:r>
    </w:p>
    <w:p w:rsidR="00901FC9" w:rsidRPr="00901FC9" w:rsidRDefault="00901FC9" w:rsidP="00901FC9">
      <w:pPr>
        <w:pStyle w:val="Obyajntext"/>
        <w:rPr>
          <w:rFonts w:ascii="Times New Roman" w:hAnsi="Times New Roman"/>
          <w:sz w:val="20"/>
          <w:szCs w:val="20"/>
        </w:rPr>
      </w:pPr>
    </w:p>
    <w:p w:rsidR="00901FC9" w:rsidRPr="00901FC9" w:rsidRDefault="00901FC9" w:rsidP="00901FC9">
      <w:pPr>
        <w:pStyle w:val="Obyajntext"/>
        <w:jc w:val="both"/>
        <w:rPr>
          <w:rFonts w:ascii="Times New Roman" w:hAnsi="Times New Roman"/>
          <w:sz w:val="20"/>
          <w:szCs w:val="20"/>
        </w:rPr>
      </w:pPr>
      <w:r w:rsidRPr="00901FC9">
        <w:rPr>
          <w:rFonts w:ascii="Times New Roman" w:hAnsi="Times New Roman"/>
          <w:sz w:val="20"/>
          <w:szCs w:val="20"/>
        </w:rPr>
        <w:t>Okrem vyššie spomenutého po 31.12.202</w:t>
      </w:r>
      <w:r w:rsidR="000E3D84">
        <w:rPr>
          <w:rFonts w:ascii="Times New Roman" w:hAnsi="Times New Roman"/>
          <w:sz w:val="20"/>
          <w:szCs w:val="20"/>
        </w:rPr>
        <w:t>3</w:t>
      </w:r>
      <w:r w:rsidRPr="00901FC9">
        <w:rPr>
          <w:rFonts w:ascii="Times New Roman" w:hAnsi="Times New Roman"/>
          <w:sz w:val="20"/>
          <w:szCs w:val="20"/>
        </w:rPr>
        <w:t xml:space="preserve"> nenastali také udalosti, ktoré majú vplyv na verné </w:t>
      </w:r>
      <w:r>
        <w:rPr>
          <w:rFonts w:ascii="Times New Roman" w:hAnsi="Times New Roman"/>
          <w:sz w:val="20"/>
          <w:szCs w:val="20"/>
        </w:rPr>
        <w:t>z</w:t>
      </w:r>
      <w:r w:rsidRPr="00901FC9">
        <w:rPr>
          <w:rFonts w:ascii="Times New Roman" w:hAnsi="Times New Roman"/>
          <w:sz w:val="20"/>
          <w:szCs w:val="20"/>
        </w:rPr>
        <w:t>obrazenie skutočností uvádzaných v tejto účtovnej závierke.</w:t>
      </w:r>
    </w:p>
    <w:p w:rsidR="00C92F19" w:rsidRPr="0082310A" w:rsidRDefault="00C92F19" w:rsidP="006F74F4">
      <w:pPr>
        <w:ind w:left="360"/>
        <w:rPr>
          <w:sz w:val="20"/>
          <w:szCs w:val="20"/>
        </w:rPr>
      </w:pPr>
    </w:p>
    <w:sectPr w:rsidR="00C92F19" w:rsidRPr="0082310A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776" w:rsidRDefault="00E57776" w:rsidP="001869C8">
      <w:r>
        <w:separator/>
      </w:r>
    </w:p>
  </w:endnote>
  <w:endnote w:type="continuationSeparator" w:id="1">
    <w:p w:rsidR="00E57776" w:rsidRDefault="00E57776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122A1F">
    <w:pPr>
      <w:pStyle w:val="Pta"/>
      <w:jc w:val="center"/>
    </w:pPr>
    <w:fldSimple w:instr=" PAGE   \* MERGEFORMAT ">
      <w:r w:rsidR="00064F22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776" w:rsidRDefault="00E57776" w:rsidP="001869C8">
      <w:r>
        <w:separator/>
      </w:r>
    </w:p>
  </w:footnote>
  <w:footnote w:type="continuationSeparator" w:id="1">
    <w:p w:rsidR="00E57776" w:rsidRDefault="00E57776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D56DA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D56DA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D56DA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B72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D56DA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D56DA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D56DA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D56DA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E57B69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D56DA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E57B69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D56DA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D56DA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D56DA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D56DA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D56DA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D56DA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D56DA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B0581E"/>
    <w:multiLevelType w:val="hybridMultilevel"/>
    <w:tmpl w:val="E526936C"/>
    <w:lvl w:ilvl="0" w:tplc="2646A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9"/>
  </w:num>
  <w:num w:numId="7">
    <w:abstractNumId w:val="6"/>
  </w:num>
  <w:num w:numId="8">
    <w:abstractNumId w:val="4"/>
  </w:num>
  <w:num w:numId="9">
    <w:abstractNumId w:val="3"/>
  </w:num>
  <w:num w:numId="10">
    <w:abstractNumId w:val="8"/>
  </w:num>
  <w:num w:numId="11">
    <w:abstractNumId w:val="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4F22"/>
    <w:rsid w:val="00065EAA"/>
    <w:rsid w:val="00073DFA"/>
    <w:rsid w:val="000750CC"/>
    <w:rsid w:val="000863E3"/>
    <w:rsid w:val="00091325"/>
    <w:rsid w:val="000936E4"/>
    <w:rsid w:val="000A01D9"/>
    <w:rsid w:val="000A4158"/>
    <w:rsid w:val="000A5B44"/>
    <w:rsid w:val="000B7215"/>
    <w:rsid w:val="000C089A"/>
    <w:rsid w:val="000C50DA"/>
    <w:rsid w:val="000C67DA"/>
    <w:rsid w:val="000D00F5"/>
    <w:rsid w:val="000D2BAA"/>
    <w:rsid w:val="000E000C"/>
    <w:rsid w:val="000E3D84"/>
    <w:rsid w:val="000F7A09"/>
    <w:rsid w:val="00106EF5"/>
    <w:rsid w:val="00114AF7"/>
    <w:rsid w:val="0011529D"/>
    <w:rsid w:val="00115986"/>
    <w:rsid w:val="00117DCC"/>
    <w:rsid w:val="00122A1F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754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550ED"/>
    <w:rsid w:val="0026291E"/>
    <w:rsid w:val="00272183"/>
    <w:rsid w:val="00273CFB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40E6"/>
    <w:rsid w:val="00356949"/>
    <w:rsid w:val="00357174"/>
    <w:rsid w:val="003609B0"/>
    <w:rsid w:val="003843EF"/>
    <w:rsid w:val="003858D6"/>
    <w:rsid w:val="0038596D"/>
    <w:rsid w:val="003A0E58"/>
    <w:rsid w:val="003A3091"/>
    <w:rsid w:val="003A548C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388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5FAA"/>
    <w:rsid w:val="00467072"/>
    <w:rsid w:val="004702B3"/>
    <w:rsid w:val="004752D3"/>
    <w:rsid w:val="0048444D"/>
    <w:rsid w:val="00484684"/>
    <w:rsid w:val="0049690C"/>
    <w:rsid w:val="004A7709"/>
    <w:rsid w:val="004B6C3E"/>
    <w:rsid w:val="004C1C42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3463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788"/>
    <w:rsid w:val="00613C25"/>
    <w:rsid w:val="00616F83"/>
    <w:rsid w:val="00640A04"/>
    <w:rsid w:val="00642FE0"/>
    <w:rsid w:val="00643166"/>
    <w:rsid w:val="0064650D"/>
    <w:rsid w:val="00661D6C"/>
    <w:rsid w:val="00662DFF"/>
    <w:rsid w:val="00663AA1"/>
    <w:rsid w:val="00664E2B"/>
    <w:rsid w:val="00667B4C"/>
    <w:rsid w:val="006718F1"/>
    <w:rsid w:val="00675834"/>
    <w:rsid w:val="00690421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31A0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5476B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244C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10A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2349"/>
    <w:rsid w:val="008904A0"/>
    <w:rsid w:val="008A144B"/>
    <w:rsid w:val="008B04DC"/>
    <w:rsid w:val="008B2D04"/>
    <w:rsid w:val="008C08A3"/>
    <w:rsid w:val="008C5D41"/>
    <w:rsid w:val="008D3699"/>
    <w:rsid w:val="008E22E6"/>
    <w:rsid w:val="008E293A"/>
    <w:rsid w:val="008E4DFF"/>
    <w:rsid w:val="008E7213"/>
    <w:rsid w:val="00900521"/>
    <w:rsid w:val="00901FC9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5BA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9F5AA6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868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2DA4"/>
    <w:rsid w:val="00B65B76"/>
    <w:rsid w:val="00B6654F"/>
    <w:rsid w:val="00B66E7C"/>
    <w:rsid w:val="00B7133B"/>
    <w:rsid w:val="00B81986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4721"/>
    <w:rsid w:val="00C5601F"/>
    <w:rsid w:val="00C56406"/>
    <w:rsid w:val="00C6761A"/>
    <w:rsid w:val="00C702AB"/>
    <w:rsid w:val="00C71EA9"/>
    <w:rsid w:val="00C73C47"/>
    <w:rsid w:val="00C74D59"/>
    <w:rsid w:val="00C7529F"/>
    <w:rsid w:val="00C82CAB"/>
    <w:rsid w:val="00C84CF1"/>
    <w:rsid w:val="00C85239"/>
    <w:rsid w:val="00C86478"/>
    <w:rsid w:val="00C92F19"/>
    <w:rsid w:val="00C979FB"/>
    <w:rsid w:val="00CA0E1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6DAC"/>
    <w:rsid w:val="00D60163"/>
    <w:rsid w:val="00D65DEF"/>
    <w:rsid w:val="00D6721F"/>
    <w:rsid w:val="00D7355D"/>
    <w:rsid w:val="00D76AA3"/>
    <w:rsid w:val="00D76F50"/>
    <w:rsid w:val="00D811B6"/>
    <w:rsid w:val="00D82F4F"/>
    <w:rsid w:val="00D87FFA"/>
    <w:rsid w:val="00D90D87"/>
    <w:rsid w:val="00D946F0"/>
    <w:rsid w:val="00DA002A"/>
    <w:rsid w:val="00DA2858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3CC7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57776"/>
    <w:rsid w:val="00E57B69"/>
    <w:rsid w:val="00E6578B"/>
    <w:rsid w:val="00E84CB3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2946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D334E"/>
    <w:rsid w:val="00FE5C71"/>
    <w:rsid w:val="00FE678A"/>
    <w:rsid w:val="00FF3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92F19"/>
    <w:rPr>
      <w:sz w:val="24"/>
      <w:szCs w:val="24"/>
    </w:rPr>
  </w:style>
  <w:style w:type="paragraph" w:styleId="Nadpis1">
    <w:name w:val="heading 1"/>
    <w:next w:val="Nadpis2"/>
    <w:link w:val="Nadpis1Char"/>
    <w:qFormat/>
    <w:rsid w:val="0075476B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link w:val="Nadpis2Char"/>
    <w:qFormat/>
    <w:rsid w:val="0075476B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75476B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75476B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75476B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75476B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paragraph" w:styleId="Nadpis7">
    <w:name w:val="heading 7"/>
    <w:basedOn w:val="Normlny"/>
    <w:next w:val="Normlny"/>
    <w:link w:val="Nadpis7Char"/>
    <w:qFormat/>
    <w:rsid w:val="00F62946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Verdana" w:hAnsi="Verdana"/>
      <w:sz w:val="17"/>
      <w:lang w:eastAsia="en-US"/>
    </w:rPr>
  </w:style>
  <w:style w:type="paragraph" w:styleId="Nadpis8">
    <w:name w:val="heading 8"/>
    <w:basedOn w:val="Normlny"/>
    <w:next w:val="Normlny"/>
    <w:link w:val="Nadpis8Char"/>
    <w:qFormat/>
    <w:rsid w:val="00F62946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Verdana" w:hAnsi="Verdana"/>
      <w:i/>
      <w:iCs/>
      <w:sz w:val="17"/>
      <w:lang w:eastAsia="en-US"/>
    </w:rPr>
  </w:style>
  <w:style w:type="paragraph" w:styleId="Nadpis9">
    <w:name w:val="heading 9"/>
    <w:basedOn w:val="Normlny"/>
    <w:next w:val="Normlny"/>
    <w:link w:val="Nadpis9Char"/>
    <w:qFormat/>
    <w:rsid w:val="00F62946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Verdana" w:hAnsi="Verdana" w:cs="Arial"/>
      <w:sz w:val="17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75476B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75476B"/>
    <w:rPr>
      <w:sz w:val="20"/>
      <w:szCs w:val="20"/>
    </w:rPr>
  </w:style>
  <w:style w:type="character" w:styleId="Odkaznapoznmkupodiarou">
    <w:name w:val="footnote reference"/>
    <w:semiHidden/>
    <w:rsid w:val="0075476B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75476B"/>
  </w:style>
  <w:style w:type="paragraph" w:styleId="Zkladntext0">
    <w:name w:val="Body Text"/>
    <w:basedOn w:val="Normlny"/>
    <w:semiHidden/>
    <w:rsid w:val="0075476B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75476B"/>
    <w:pPr>
      <w:jc w:val="both"/>
    </w:pPr>
  </w:style>
  <w:style w:type="paragraph" w:styleId="Zarkazkladnhotextu">
    <w:name w:val="Body Text Indent"/>
    <w:basedOn w:val="Normlny"/>
    <w:semiHidden/>
    <w:rsid w:val="0075476B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75476B"/>
    <w:pPr>
      <w:ind w:firstLine="360"/>
    </w:pPr>
  </w:style>
  <w:style w:type="paragraph" w:styleId="Zkladntext3">
    <w:name w:val="Body Text 3"/>
    <w:basedOn w:val="Normlny"/>
    <w:semiHidden/>
    <w:rsid w:val="0075476B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75476B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75476B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75476B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dpis7Char">
    <w:name w:val="Nadpis 7 Char"/>
    <w:basedOn w:val="Predvolenpsmoodseku"/>
    <w:link w:val="Nadpis7"/>
    <w:rsid w:val="00F62946"/>
    <w:rPr>
      <w:rFonts w:ascii="Verdana" w:hAnsi="Verdana"/>
      <w:sz w:val="17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rsid w:val="00F62946"/>
    <w:rPr>
      <w:rFonts w:ascii="Verdana" w:hAnsi="Verdana"/>
      <w:i/>
      <w:iCs/>
      <w:sz w:val="17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rsid w:val="00F62946"/>
    <w:rPr>
      <w:rFonts w:ascii="Verdana" w:hAnsi="Verdana" w:cs="Arial"/>
      <w:sz w:val="17"/>
      <w:szCs w:val="22"/>
      <w:lang w:eastAsia="en-US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FD334E"/>
    <w:rPr>
      <w:rFonts w:ascii="Calibri" w:eastAsia="Calibri" w:hAnsi="Calibr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FD334E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Nadpis1Char">
    <w:name w:val="Nadpis 1 Char"/>
    <w:basedOn w:val="Predvolenpsmoodseku"/>
    <w:link w:val="Nadpis1"/>
    <w:rsid w:val="00C92F19"/>
    <w:rPr>
      <w:rFonts w:cs="Arial"/>
      <w:b/>
      <w:bCs/>
      <w:kern w:val="32"/>
      <w:sz w:val="24"/>
      <w:szCs w:val="32"/>
      <w:lang w:val="sk-SK" w:eastAsia="sk-SK" w:bidi="ar-SA"/>
    </w:rPr>
  </w:style>
  <w:style w:type="character" w:customStyle="1" w:styleId="Nadpis2Char">
    <w:name w:val="Nadpis 2 Char"/>
    <w:basedOn w:val="Predvolenpsmoodseku"/>
    <w:link w:val="Nadpis2"/>
    <w:rsid w:val="00C92F19"/>
    <w:rPr>
      <w:b/>
      <w:sz w:val="24"/>
      <w:szCs w:val="24"/>
    </w:rPr>
  </w:style>
  <w:style w:type="character" w:styleId="Odkaznakomentr">
    <w:name w:val="annotation reference"/>
    <w:semiHidden/>
    <w:rsid w:val="00901FC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901FC9"/>
    <w:pPr>
      <w:jc w:val="both"/>
    </w:pPr>
    <w:rPr>
      <w:rFonts w:ascii="Verdana" w:hAnsi="Verdana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semiHidden/>
    <w:rsid w:val="00901FC9"/>
    <w:rPr>
      <w:rFonts w:ascii="Verdana" w:hAnsi="Verdan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6FB51-5D56-4ED9-ABD7-CA9666C89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974</Words>
  <Characters>5552</Characters>
  <Application>Microsoft Office Word</Application>
  <DocSecurity>0</DocSecurity>
  <Lines>46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Magda</cp:lastModifiedBy>
  <cp:revision>6</cp:revision>
  <cp:lastPrinted>2016-12-18T15:02:00Z</cp:lastPrinted>
  <dcterms:created xsi:type="dcterms:W3CDTF">2024-06-26T22:05:00Z</dcterms:created>
  <dcterms:modified xsi:type="dcterms:W3CDTF">2024-07-01T09:16:00Z</dcterms:modified>
</cp:coreProperties>
</file>