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Poznámky Úč MÚJ 3 - 01 </w:t>
        <w:tab/>
        <w:t xml:space="preserve">IČO: 53862201 </w:t>
        <w:tab/>
        <w:tab/>
        <w:t xml:space="preserve">DIČ: 2121522447 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(1) Názov právnickej osoby a jej sídlo </w:t>
      </w:r>
    </w:p>
    <w:p>
      <w:pPr>
        <w:pStyle w:val="Normal1"/>
        <w:spacing w:lineRule="auto" w:line="360"/>
        <w:ind w:firstLine="720"/>
        <w:rPr>
          <w:b/>
          <w:bCs/>
          <w:i/>
          <w:i/>
          <w:iCs/>
        </w:rPr>
      </w:pPr>
      <w:r>
        <w:rPr>
          <w:rFonts w:eastAsia="Times New Roman" w:cs="Times New Roman" w:ascii="Times New Roman" w:hAnsi="Times New Roman"/>
          <w:b/>
          <w:bCs/>
          <w:i/>
          <w:iCs/>
        </w:rPr>
        <w:t>Keep Smart s. r. o.</w:t>
      </w:r>
    </w:p>
    <w:p>
      <w:pPr>
        <w:pStyle w:val="Normal1"/>
        <w:spacing w:lineRule="auto" w:line="360"/>
        <w:ind w:firstLine="720"/>
        <w:rPr>
          <w:b/>
          <w:bCs/>
          <w:i/>
          <w:i/>
          <w:iCs/>
        </w:rPr>
      </w:pPr>
      <w:r>
        <w:rPr>
          <w:rFonts w:eastAsia="Times New Roman" w:cs="Times New Roman" w:ascii="Times New Roman" w:hAnsi="Times New Roman"/>
          <w:b/>
          <w:bCs/>
          <w:i/>
          <w:iCs/>
        </w:rPr>
        <w:t>Madočany 477</w:t>
        <w:br/>
        <w:tab/>
        <w:t xml:space="preserve">03483 Liptovská Teplá </w:t>
      </w:r>
    </w:p>
    <w:p>
      <w:pPr>
        <w:pStyle w:val="Normal1"/>
        <w:spacing w:lineRule="auto" w:line="360"/>
        <w:ind w:hanging="0" w:left="0"/>
        <w:rPr>
          <w:b/>
          <w:bCs/>
          <w:i/>
          <w:i/>
          <w:iCs/>
        </w:rPr>
      </w:pPr>
      <w:r>
        <w:rPr>
          <w:rFonts w:eastAsia="Times New Roman" w:cs="Times New Roman" w:ascii="Times New Roman" w:hAnsi="Times New Roman"/>
          <w:b/>
          <w:bCs/>
          <w:i/>
          <w:iCs/>
        </w:rPr>
        <w:t xml:space="preserve">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  <w:i/>
          <w:i/>
        </w:rPr>
      </w:pPr>
      <w:r>
        <w:rPr>
          <w:rFonts w:eastAsia="Times New Roman" w:cs="Times New Roman" w:ascii="Times New Roman" w:hAnsi="Times New Roman"/>
          <w:b/>
          <w:i/>
        </w:rPr>
        <w:t>(2) Údaje o konsolidovanom celku,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a) obchodné meno a sídlo konsolidujúcej účtovnej jednotky, ktorá zostavuje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konsolidovanú účtovnú závierku za tú skupinu účtovných jednotiek konsolidovaného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celku, ktorého súčasťou je aj účtovná jednotka; uvádza sa aj obchodné meno a sídlo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účtovnej jednotky, ktorá je bezprostredne konsolidujúcou účtovnou jednotkou,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b) údaj, či účtovná jednotka je materskou účtovnou jednotkou a údaj, či je oslobodená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od povinnosti zostaviť konsolidovanú účtovnú závierku a konsolidovanú výročnú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správu podľa § 22 zákona, pričom sa uvádzajú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1. pri oslobodení podľa § 22 ods. 8 zákona obchodné meno a sídlo materskej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účtovnej jednotky zostavujúcej konsolidovanú účtovnú závierku podľa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osobitných predpisov,4)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2. pri oslobodení podľa § 22 ods. 12 zákona obchodné meno a sídlo dcérskych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účtovných jednotiek.</w:t>
      </w:r>
    </w:p>
    <w:p>
      <w:pPr>
        <w:pStyle w:val="Normal1"/>
        <w:numPr>
          <w:ilvl w:val="0"/>
          <w:numId w:val="1"/>
        </w:numPr>
        <w:spacing w:lineRule="auto" w:line="360"/>
        <w:ind w:hanging="360" w:left="720"/>
        <w:rPr>
          <w:i w:val="false"/>
          <w:i w:val="false"/>
          <w:iCs w:val="false"/>
        </w:rPr>
      </w:pPr>
      <w:r>
        <w:rPr>
          <w:rFonts w:eastAsia="Times New Roman" w:cs="Times New Roman" w:ascii="Times New Roman" w:hAnsi="Times New Roman"/>
          <w:i w:val="false"/>
          <w:iCs w:val="false"/>
        </w:rPr>
        <w:t>Spoločnosť Keep Smart, s. r. o. nie je súčasťou konsolidovaného celku.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(3) Priemerný prepočítaný počet zamestnancov.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  <w:t xml:space="preserve"> Spoločnosť nemá žiadnych zamestnancov.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II Informácie o prijatých postupoch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 </w:t>
      </w:r>
      <w:r>
        <w:rPr>
          <w:rFonts w:eastAsia="Times New Roman" w:cs="Times New Roman" w:ascii="Times New Roman" w:hAnsi="Times New Roman"/>
          <w:b/>
        </w:rPr>
        <w:t xml:space="preserve">(1) </w:t>
      </w:r>
      <w:r>
        <w:rPr>
          <w:rFonts w:eastAsia="Times New Roman" w:cs="Times New Roman" w:ascii="Times New Roman" w:hAnsi="Times New Roman"/>
          <w:b w:val="false"/>
          <w:bCs w:val="false"/>
        </w:rPr>
        <w:t>Účtovná závierka je zostavená za splnenia predpokladu, že účtovná jednotka bude nepretržite pokračovať vo svojej činnosti.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(2) Spôsob oceňovania jednotlivých položiek majetku a záväzkov:</w:t>
      </w:r>
    </w:p>
    <w:p>
      <w:pPr>
        <w:pStyle w:val="Normal1"/>
        <w:spacing w:lineRule="auto" w:line="360"/>
        <w:ind w:hanging="0" w:left="720"/>
        <w:rPr>
          <w:u w:val="none"/>
        </w:rPr>
      </w:pPr>
      <w:r>
        <w:rPr>
          <w:rFonts w:eastAsia="Times New Roman" w:cs="Times New Roman" w:ascii="Times New Roman" w:hAnsi="Times New Roman"/>
          <w:u w:val="none"/>
        </w:rPr>
        <w:t xml:space="preserve"> </w:t>
      </w:r>
      <w:r>
        <w:rPr>
          <w:rFonts w:eastAsia="Times New Roman" w:cs="Times New Roman" w:ascii="Times New Roman" w:hAnsi="Times New Roman"/>
          <w:u w:val="none"/>
        </w:rPr>
        <w:t xml:space="preserve">a) dlhodobého nehmotného majetku, dlhodobého hmotného majetku a dlhodobého finančného majetku, - </w:t>
      </w:r>
      <w:r>
        <w:rPr>
          <w:rFonts w:eastAsia="Times New Roman" w:cs="Times New Roman" w:ascii="Times New Roman" w:hAnsi="Times New Roman"/>
          <w:b/>
          <w:bCs/>
          <w:u w:val="none"/>
        </w:rPr>
        <w:t>obstarávacia cena</w:t>
      </w:r>
    </w:p>
    <w:p>
      <w:pPr>
        <w:pStyle w:val="Normal1"/>
        <w:spacing w:lineRule="auto" w:line="360"/>
        <w:ind w:hanging="0" w:left="720"/>
        <w:rPr>
          <w:u w:val="none"/>
        </w:rPr>
      </w:pPr>
      <w:r>
        <w:rPr>
          <w:rFonts w:eastAsia="Times New Roman" w:cs="Times New Roman" w:ascii="Times New Roman" w:hAnsi="Times New Roman"/>
          <w:u w:val="none"/>
        </w:rPr>
        <w:t xml:space="preserve">b) zásob obstaraných kúpou, zásob vytvorených vlastnou činnosťou, - </w:t>
      </w:r>
      <w:r>
        <w:rPr>
          <w:rFonts w:eastAsia="Times New Roman" w:cs="Times New Roman" w:ascii="Times New Roman" w:hAnsi="Times New Roman"/>
          <w:b/>
          <w:bCs/>
          <w:u w:val="none"/>
        </w:rPr>
        <w:t>vlastné náklady</w:t>
      </w:r>
    </w:p>
    <w:p>
      <w:pPr>
        <w:pStyle w:val="Normal1"/>
        <w:spacing w:lineRule="auto" w:line="360"/>
        <w:ind w:hanging="0" w:left="720"/>
        <w:rPr>
          <w:u w:val="none"/>
        </w:rPr>
      </w:pPr>
      <w:r>
        <w:rPr>
          <w:rFonts w:eastAsia="Times New Roman" w:cs="Times New Roman" w:ascii="Times New Roman" w:hAnsi="Times New Roman"/>
          <w:u w:val="none"/>
        </w:rPr>
        <w:t xml:space="preserve">c) pohľadávok, - </w:t>
      </w:r>
      <w:r>
        <w:rPr>
          <w:rFonts w:eastAsia="Times New Roman" w:cs="Times New Roman" w:ascii="Times New Roman" w:hAnsi="Times New Roman"/>
          <w:b/>
          <w:bCs/>
          <w:u w:val="none"/>
        </w:rPr>
        <w:t>menovitá hodnota</w:t>
      </w:r>
    </w:p>
    <w:p>
      <w:pPr>
        <w:pStyle w:val="Normal1"/>
        <w:spacing w:lineRule="auto" w:line="360"/>
        <w:ind w:hanging="0" w:left="720"/>
        <w:rPr>
          <w:u w:val="none"/>
        </w:rPr>
      </w:pPr>
      <w:r>
        <w:rPr>
          <w:rFonts w:eastAsia="Times New Roman" w:cs="Times New Roman" w:ascii="Times New Roman" w:hAnsi="Times New Roman"/>
          <w:u w:val="none"/>
        </w:rPr>
        <w:t xml:space="preserve">d) krátkodobého finančného majetku, - </w:t>
      </w:r>
      <w:r>
        <w:rPr>
          <w:rFonts w:eastAsia="Times New Roman" w:cs="Times New Roman" w:ascii="Times New Roman" w:hAnsi="Times New Roman"/>
          <w:b/>
          <w:bCs/>
          <w:u w:val="none"/>
        </w:rPr>
        <w:t>menovitá hodnota</w:t>
      </w:r>
    </w:p>
    <w:p>
      <w:pPr>
        <w:pStyle w:val="Normal1"/>
        <w:spacing w:lineRule="auto" w:line="360"/>
        <w:ind w:hanging="0" w:left="720"/>
        <w:rPr>
          <w:u w:val="none"/>
        </w:rPr>
      </w:pPr>
      <w:r>
        <w:rPr>
          <w:rFonts w:eastAsia="Times New Roman" w:cs="Times New Roman" w:ascii="Times New Roman" w:hAnsi="Times New Roman"/>
          <w:u w:val="none"/>
        </w:rPr>
        <w:t xml:space="preserve">e) záväzkov vrátane rezerv, dlhopisov, pôžičiek a úverov, - </w:t>
      </w:r>
      <w:r>
        <w:rPr>
          <w:rFonts w:eastAsia="Times New Roman" w:cs="Times New Roman" w:ascii="Times New Roman" w:hAnsi="Times New Roman"/>
          <w:b/>
          <w:bCs/>
          <w:u w:val="none"/>
        </w:rPr>
        <w:t>menovitá hodnota</w:t>
      </w:r>
    </w:p>
    <w:p>
      <w:pPr>
        <w:pStyle w:val="Normal1"/>
        <w:spacing w:lineRule="auto" w:line="360"/>
        <w:ind w:hanging="0" w:left="720"/>
        <w:rPr>
          <w:u w:val="none"/>
        </w:rPr>
      </w:pPr>
      <w:r>
        <w:rPr>
          <w:rFonts w:eastAsia="Times New Roman" w:cs="Times New Roman" w:ascii="Times New Roman" w:hAnsi="Times New Roman"/>
          <w:u w:val="none"/>
        </w:rPr>
        <w:t xml:space="preserve">f) derivátových operácií. - </w:t>
      </w:r>
      <w:r>
        <w:rPr>
          <w:rFonts w:eastAsia="Times New Roman" w:cs="Times New Roman" w:ascii="Times New Roman" w:hAnsi="Times New Roman"/>
          <w:b/>
          <w:bCs/>
          <w:u w:val="none"/>
        </w:rPr>
        <w:t>obstarávacia cena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720"/>
        <w:rPr>
          <w:b/>
          <w:bCs/>
          <w:u w:val="none"/>
        </w:rPr>
      </w:pPr>
      <w:r>
        <w:rPr>
          <w:rFonts w:eastAsia="Times New Roman" w:cs="Times New Roman" w:ascii="Times New Roman" w:hAnsi="Times New Roman"/>
          <w:b/>
          <w:bCs/>
          <w:u w:val="none"/>
        </w:rPr>
        <w:t xml:space="preserve">Spoločnosť počas účtovného </w:t>
      </w:r>
      <w:r>
        <w:rPr>
          <w:rFonts w:eastAsia="Times New Roman" w:cs="Times New Roman" w:ascii="Times New Roman" w:hAnsi="Times New Roman"/>
          <w:b/>
          <w:bCs/>
          <w:u w:val="none"/>
        </w:rPr>
        <w:t>roka</w:t>
      </w:r>
      <w:r>
        <w:rPr>
          <w:rFonts w:eastAsia="Times New Roman" w:cs="Times New Roman" w:ascii="Times New Roman" w:hAnsi="Times New Roman"/>
          <w:b/>
          <w:bCs/>
          <w:u w:val="none"/>
        </w:rPr>
        <w:t xml:space="preserve"> 2023 neobstarala žiadny dlhodobý majetok, ktorý by bolo nutné odpisovať.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</w:rPr>
        <w:t>(4)</w:t>
      </w:r>
      <w:r>
        <w:rPr>
          <w:rFonts w:eastAsia="Times New Roman" w:cs="Times New Roman" w:ascii="Times New Roman" w:hAnsi="Times New Roman"/>
          <w:b/>
        </w:rPr>
        <w:t xml:space="preserve">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1"/>
        <w:numPr>
          <w:ilvl w:val="0"/>
          <w:numId w:val="3"/>
        </w:numPr>
        <w:spacing w:lineRule="auto" w:line="360"/>
        <w:ind w:hanging="36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Neprebehli žiadne zmeny účtovných zásad.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(5) Informácie o dotáciách a ich oceňovanie v účtovníctve.</w:t>
      </w:r>
    </w:p>
    <w:p>
      <w:pPr>
        <w:pStyle w:val="Normal1"/>
        <w:numPr>
          <w:ilvl w:val="0"/>
          <w:numId w:val="2"/>
        </w:numPr>
        <w:spacing w:lineRule="auto" w:line="360"/>
        <w:ind w:hanging="36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Spoločnosť doposiaľ neobstarala žiadne dotácie. Z tohto dôvodu neexistujú informácie o ich oceňovaní.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Pri vedení účtovníctva nedošlo k žiadnym významným ani menej významným opravám chýb, ktoré by ovplyvnili účtovnú závierku.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III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Informácie, ktoré vysvetľujú a dopĺňajú súvahu a výkaz ziskov a strát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(1) Informácia o sume a dôvodoch vzniku jednotlivých položiek nákladov alebo výnosov,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ktoré majú výnimočný rozsah alebo výskyt, napríklad výnosy z predaja podniku alebo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časti podniku, náklady z dôvodu predaja podniku alebo časti podniku, škody z dôvodu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živelných pohrôm.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(2) Informácie o záväzkoch,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a) celkovej sume záväzkov so zostatkovou dobou splatnosti dlhšou ako päť rokov,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i/>
        </w:rPr>
        <w:t xml:space="preserve">Spoločnosť neeviduje takéto záväzky.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(3) Informácie o orgánoch účtovnej jednotky,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a) výške jednotlivých druhov záruk alebo iných zabezpečení poskytnutých pre členov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štatutárneho orgánu, dozorného orgánu a iného orgánu účtovnej jednotky,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v členení za jednotlivé orgány,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ab/>
      </w:r>
      <w:r>
        <w:rPr>
          <w:rFonts w:eastAsia="Times New Roman" w:cs="Times New Roman" w:ascii="Times New Roman" w:hAnsi="Times New Roman"/>
          <w:i/>
        </w:rPr>
        <w:t>Neboli poskytnuté.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b) pôžičkách poskytnutých členom štatutárneho orgánu, dozorného orgánu a iného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orgánu účtovnej jednotky a to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1. celková suma poskytnutých pôžičiek k poslednému dňu účtovného obdobia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v členení za jednotlivé orgány, - </w:t>
      </w:r>
      <w:r>
        <w:rPr>
          <w:rFonts w:eastAsia="Times New Roman" w:cs="Times New Roman" w:ascii="Times New Roman" w:hAnsi="Times New Roman"/>
          <w:i/>
        </w:rPr>
        <w:t>neboli poskytnuté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2. celková suma splatených pôžičiek k poslednému dňu účtovného obdobia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v členení za jednotlivé orgány, - </w:t>
      </w:r>
      <w:r>
        <w:rPr>
          <w:rFonts w:eastAsia="Times New Roman" w:cs="Times New Roman" w:ascii="Times New Roman" w:hAnsi="Times New Roman"/>
          <w:i/>
        </w:rPr>
        <w:t>neboli poskytnuté.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3. celková suma odpustených pôžičiek a odpísaných pôžičiek k poslednému dňu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účtovného obdobia v členení za jednotlivé orgány,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c) hlavných podmienkach, na základe ktorých im boli záruky alebo iné zabezpečenie 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>pôžičky poskytnuté; pri pôžičkách sa uvádzajú úrokové sadzby, -</w:t>
      </w:r>
      <w:r>
        <w:rPr>
          <w:rFonts w:eastAsia="Times New Roman" w:cs="Times New Roman" w:ascii="Times New Roman" w:hAnsi="Times New Roman"/>
          <w:i/>
        </w:rPr>
        <w:t xml:space="preserve"> neboli poskytnuté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d) celkovej sume použitých finančných prostriedkov alebo iného plnenia na súkromné účely členmi štatutárneho orgánu, dozorného orgánu a iného orgánu účtovnej jednotky, ktoré je potrebné vyúčtovať. - </w:t>
      </w:r>
      <w:r>
        <w:rPr>
          <w:rFonts w:eastAsia="Times New Roman" w:cs="Times New Roman" w:ascii="Times New Roman" w:hAnsi="Times New Roman"/>
          <w:i/>
        </w:rPr>
        <w:t>neboli poskytnuté</w:t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(5) Informácie o povinnostiach účtovnej jednotky, </w:t>
      </w:r>
    </w:p>
    <w:p>
      <w:pPr>
        <w:pStyle w:val="Normal1"/>
        <w:spacing w:lineRule="auto" w:line="360"/>
        <w:ind w:hanging="0" w:left="720"/>
        <w:rPr>
          <w:i/>
          <w:i/>
          <w:iCs/>
        </w:rPr>
      </w:pPr>
      <w:r>
        <w:rPr>
          <w:rFonts w:eastAsia="Times New Roman" w:cs="Times New Roman" w:ascii="Times New Roman" w:hAnsi="Times New Roman"/>
          <w:i/>
          <w:iCs/>
        </w:rPr>
        <w:t xml:space="preserve">Spoločnosť nevykazuje žiadne významné povinnosti nájomcu vyplývajúce z operatívneho prenájmu, z uzatvorených zmlúv na poskytnutie úveru alebo pôžičky, ktoré ešte neboli poskytnuté, finančné povinnosti vyplývajúce z licenčných a koncesionárskych zmlúv s uvedením sumy poplatku.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i/>
          <w:iCs/>
        </w:rPr>
        <w:t>Spoločnosť neeviduje žiadne významne podmien</w:t>
      </w:r>
      <w:r>
        <w:rPr>
          <w:rFonts w:eastAsia="Times New Roman" w:cs="Times New Roman" w:ascii="Times New Roman" w:hAnsi="Times New Roman"/>
          <w:i/>
          <w:iCs/>
        </w:rPr>
        <w:t>ené</w:t>
      </w:r>
      <w:r>
        <w:rPr>
          <w:rFonts w:eastAsia="Times New Roman" w:cs="Times New Roman" w:ascii="Times New Roman" w:hAnsi="Times New Roman"/>
          <w:i/>
          <w:iCs/>
        </w:rPr>
        <w:t xml:space="preserve"> záväzky voči partnerom, ani voči spoločníkovi.</w:t>
      </w:r>
      <w:r>
        <w:rPr>
          <w:rFonts w:eastAsia="Times New Roman" w:cs="Times New Roman" w:ascii="Times New Roman" w:hAnsi="Times New Roman"/>
        </w:rPr>
        <w:t xml:space="preserve"> </w:t>
      </w:r>
    </w:p>
    <w:p>
      <w:pPr>
        <w:pStyle w:val="Normal1"/>
        <w:spacing w:lineRule="auto" w:line="360"/>
        <w:ind w:hanging="0" w:left="0"/>
        <w:rPr/>
      </w:pPr>
      <w:r>
        <w:rPr/>
      </w:r>
    </w:p>
    <w:sectPr>
      <w:type w:val="nextPage"/>
      <w:pgSz w:w="11906" w:h="16838"/>
      <w:pgMar w:left="1440" w:right="1440" w:gutter="0" w:header="0" w:top="1440" w:footer="0" w:bottom="144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01"/>
    <w:family w:val="swiss"/>
    <w:pitch w:val="default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default"/>
  </w:font>
  <w:font w:name="Times New Roman">
    <w:charset w:val="01"/>
    <w:family w:val="swiss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zh-CN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00" w:after="120"/>
    </w:pPr>
    <w:rPr>
      <w:sz w:val="40"/>
      <w:szCs w:val="40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120"/>
    </w:pPr>
    <w:rPr>
      <w:b w:val="false"/>
      <w:sz w:val="32"/>
      <w:szCs w:val="32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320" w:after="80"/>
    </w:pPr>
    <w:rPr>
      <w:b w:val="false"/>
      <w:color w:val="434343"/>
      <w:sz w:val="28"/>
      <w:szCs w:val="28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color w:val="666666"/>
      <w:sz w:val="24"/>
      <w:szCs w:val="24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color w:val="666666"/>
      <w:sz w:val="22"/>
      <w:szCs w:val="22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i/>
      <w:color w:val="666666"/>
      <w:sz w:val="22"/>
      <w:szCs w:val="22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Calibri" w:hAnsi="Calibri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Calibri" w:hAnsi="Calibri" w:cs="Lucida Sans"/>
    </w:rPr>
  </w:style>
  <w:style w:type="paragraph" w:styleId="Normal1" w:default="1">
    <w:name w:val="normal1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zh-CN" w:bidi="hi-IN"/>
    </w:rPr>
  </w:style>
  <w:style w:type="paragraph" w:styleId="Title">
    <w:name w:val="Title"/>
    <w:basedOn w:val="Normal1"/>
    <w:next w:val="Normal1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LibreOffice/7.6.4.1$Windows_X86_64 LibreOffice_project/e19e193f88cd6c0525a17fb7a176ed8e6a3e2aa1</Application>
  <AppVersion>15.0000</AppVersion>
  <Pages>3</Pages>
  <Words>707</Words>
  <Characters>4359</Characters>
  <CharactersWithSpaces>5021</CharactersWithSpaces>
  <Paragraphs>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2024-06-20T15:40:31Z</dcterms:modified>
  <cp:revision>1</cp:revision>
  <dc:subject/>
  <dc:title/>
</cp:coreProperties>
</file>