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hd w:val="clear" w:color="auto" w:fill="FFFFFF"/>
        <w:spacing w:lineRule="auto" w:line="240" w:before="0" w:after="0"/>
        <w:ind w:right="284" w:hanging="0"/>
        <w:jc w:val="center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</w:r>
    </w:p>
    <w:p>
      <w:pPr>
        <w:pStyle w:val="Normal"/>
        <w:shd w:val="clear" w:color="auto" w:fill="E7E6E6"/>
        <w:spacing w:lineRule="auto" w:line="240" w:before="0" w:after="0"/>
        <w:ind w:right="284" w:hanging="0"/>
        <w:jc w:val="center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  <w:t>Všeobecné informácie</w:t>
      </w:r>
    </w:p>
    <w:p>
      <w:pPr>
        <w:pStyle w:val="ListParagraph"/>
        <w:keepNext w:val="true"/>
        <w:numPr>
          <w:ilvl w:val="0"/>
          <w:numId w:val="3"/>
        </w:numPr>
        <w:spacing w:lineRule="auto" w:line="240" w:before="0" w:after="0"/>
        <w:ind w:left="357" w:hanging="357"/>
        <w:contextualSpacing/>
        <w:jc w:val="both"/>
        <w:outlineLvl w:val="1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tbl>
      <w:tblPr>
        <w:tblW w:w="9072" w:type="dxa"/>
        <w:jc w:val="left"/>
        <w:tblInd w:w="22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1988"/>
        <w:gridCol w:w="7083"/>
      </w:tblGrid>
      <w:tr>
        <w:trPr>
          <w:trHeight w:val="1327" w:hRule="atLeast"/>
        </w:trPr>
        <w:tc>
          <w:tcPr>
            <w:tcW w:w="19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 w:cs="Arial Narrow"/>
                <w:b/>
                <w:szCs w:val="22"/>
              </w:rPr>
            </w:pPr>
            <w:r>
              <w:rPr>
                <w:rFonts w:cs="Arial Narrow" w:ascii="Calibri" w:hAnsi="Calibri"/>
                <w:b/>
                <w:szCs w:val="22"/>
              </w:rPr>
              <w:t>Obchodné meno: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 w:cs="Arial Narrow"/>
                <w:szCs w:val="22"/>
              </w:rPr>
            </w:pPr>
            <w:r>
              <w:rPr>
                <w:rFonts w:cs="Arial Narrow" w:ascii="Calibri" w:hAnsi="Calibri"/>
                <w:szCs w:val="22"/>
              </w:rPr>
              <w:t>MKM Prešov, s. r. o.</w:t>
            </w:r>
          </w:p>
        </w:tc>
      </w:tr>
      <w:tr>
        <w:trPr>
          <w:trHeight w:val="340" w:hRule="atLeast"/>
        </w:trPr>
        <w:tc>
          <w:tcPr>
            <w:tcW w:w="19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 w:cs="Arial Narrow"/>
                <w:b/>
                <w:szCs w:val="22"/>
              </w:rPr>
            </w:pPr>
            <w:r>
              <w:rPr>
                <w:rFonts w:cs="Arial Narrow" w:ascii="Calibri" w:hAnsi="Calibri"/>
                <w:b/>
                <w:szCs w:val="22"/>
              </w:rPr>
              <w:t>Sídlo: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 w:cs="Arial Narrow"/>
                <w:szCs w:val="22"/>
              </w:rPr>
            </w:pPr>
            <w:r>
              <w:rPr>
                <w:rFonts w:cs="Arial Narrow" w:ascii="Calibri" w:hAnsi="Calibri"/>
                <w:szCs w:val="22"/>
              </w:rPr>
              <w:t>Petrovanská 40, 080 05</w:t>
            </w:r>
          </w:p>
        </w:tc>
      </w:tr>
    </w:tbl>
    <w:p>
      <w:pPr>
        <w:pStyle w:val="Normal"/>
        <w:jc w:val="both"/>
        <w:rPr>
          <w:rFonts w:ascii="Calibri" w:hAnsi="Calibri"/>
          <w:bCs/>
          <w:szCs w:val="22"/>
        </w:rPr>
      </w:pPr>
      <w:r>
        <w:rPr>
          <w:rFonts w:ascii="Calibri" w:hAnsi="Calibri"/>
          <w:b/>
          <w:bCs/>
          <w:szCs w:val="22"/>
        </w:rPr>
        <w:t>Opis vykonávanej  činnosti účtovnej jednotky:</w:t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0"/>
                <w:lang w:eastAsia="sk-SK"/>
              </w:rPr>
              <w:t>obchodná činnosť - nákup a predaj pohonných hmôt, olejov, mazív, brzdových kvapalín, saponátov a ostatných náplní k motorovým vozidlám</w:t>
            </w:r>
          </w:p>
        </w:tc>
        <w:tc>
          <w:tcPr>
            <w:tcW w:w="3009" w:type="dxa"/>
            <w:tcBorders/>
            <w:shd w:color="auto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vanish/>
          <w:sz w:val="24"/>
          <w:szCs w:val="24"/>
          <w:lang w:eastAsia="sk-SK"/>
        </w:rPr>
      </w:pPr>
      <w:r>
        <w:rPr>
          <w:rFonts w:ascii="Times New Roman" w:hAnsi="Times New Roman"/>
          <w:vanish/>
          <w:sz w:val="24"/>
          <w:szCs w:val="24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0"/>
                <w:lang w:eastAsia="sk-SK"/>
              </w:rPr>
              <w:t>obchodná činnosť - nákup a predaj náhradných dielcov a príslušenstva k jednostopovým a dvojstopovým motorovým vozidlám</w:t>
            </w:r>
          </w:p>
        </w:tc>
        <w:tc>
          <w:tcPr>
            <w:tcW w:w="3009" w:type="dxa"/>
            <w:tcBorders/>
            <w:shd w:color="auto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vanish/>
          <w:sz w:val="24"/>
          <w:szCs w:val="24"/>
          <w:lang w:eastAsia="sk-SK"/>
        </w:rPr>
      </w:pPr>
      <w:r>
        <w:rPr>
          <w:rFonts w:ascii="Times New Roman" w:hAnsi="Times New Roman"/>
          <w:vanish/>
          <w:sz w:val="24"/>
          <w:szCs w:val="24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0"/>
                <w:lang w:eastAsia="sk-SK"/>
              </w:rPr>
              <w:t>obchodná činnosť - nákup a predaj jednostopových a dvojstopových motorových vozidiel</w:t>
            </w:r>
          </w:p>
        </w:tc>
        <w:tc>
          <w:tcPr>
            <w:tcW w:w="3009" w:type="dxa"/>
            <w:tcBorders/>
            <w:shd w:color="auto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vanish/>
          <w:sz w:val="24"/>
          <w:szCs w:val="24"/>
          <w:lang w:eastAsia="sk-SK"/>
        </w:rPr>
      </w:pPr>
      <w:r>
        <w:rPr>
          <w:rFonts w:ascii="Times New Roman" w:hAnsi="Times New Roman"/>
          <w:vanish/>
          <w:sz w:val="24"/>
          <w:szCs w:val="24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0"/>
                <w:lang w:eastAsia="sk-SK"/>
              </w:rPr>
              <w:t>obchodná činnosť - nákup a predaj priemyselného a spotrebného tovaru</w:t>
            </w:r>
          </w:p>
        </w:tc>
        <w:tc>
          <w:tcPr>
            <w:tcW w:w="3009" w:type="dxa"/>
            <w:tcBorders/>
            <w:shd w:color="auto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vanish/>
          <w:sz w:val="24"/>
          <w:szCs w:val="24"/>
          <w:lang w:eastAsia="sk-SK"/>
        </w:rPr>
      </w:pPr>
      <w:r>
        <w:rPr>
          <w:rFonts w:ascii="Times New Roman" w:hAnsi="Times New Roman"/>
          <w:vanish/>
          <w:sz w:val="24"/>
          <w:szCs w:val="24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0"/>
                <w:lang w:eastAsia="sk-SK"/>
              </w:rPr>
              <w:t>obchodná činnosť - nákup a predaj potravinárskych výrobkov, vrátane alkoholických, nealkoholických a tabakových výrobkov</w:t>
            </w:r>
          </w:p>
        </w:tc>
        <w:tc>
          <w:tcPr>
            <w:tcW w:w="3009" w:type="dxa"/>
            <w:tcBorders/>
            <w:shd w:color="auto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vanish/>
          <w:sz w:val="24"/>
          <w:szCs w:val="24"/>
          <w:lang w:eastAsia="sk-SK"/>
        </w:rPr>
      </w:pPr>
      <w:r>
        <w:rPr>
          <w:rFonts w:ascii="Times New Roman" w:hAnsi="Times New Roman"/>
          <w:vanish/>
          <w:sz w:val="24"/>
          <w:szCs w:val="24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0"/>
                <w:lang w:eastAsia="sk-SK"/>
              </w:rPr>
              <w:t>reklamná a inzertná činnosť</w:t>
            </w:r>
          </w:p>
        </w:tc>
        <w:tc>
          <w:tcPr>
            <w:tcW w:w="3009" w:type="dxa"/>
            <w:tcBorders/>
            <w:shd w:color="auto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vanish/>
          <w:sz w:val="24"/>
          <w:szCs w:val="24"/>
          <w:lang w:eastAsia="sk-SK"/>
        </w:rPr>
      </w:pPr>
      <w:r>
        <w:rPr>
          <w:rFonts w:ascii="Times New Roman" w:hAnsi="Times New Roman"/>
          <w:vanish/>
          <w:sz w:val="24"/>
          <w:szCs w:val="24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0"/>
                <w:lang w:eastAsia="sk-SK"/>
              </w:rPr>
              <w:t>prenájom hnuteľných vecí a nehnuteľností (spojený s poskytovaním iných než základných služieb spojených s prenájmom)</w:t>
            </w:r>
          </w:p>
        </w:tc>
        <w:tc>
          <w:tcPr>
            <w:tcW w:w="3009" w:type="dxa"/>
            <w:tcBorders/>
            <w:shd w:color="auto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vanish/>
          <w:sz w:val="24"/>
          <w:szCs w:val="24"/>
          <w:lang w:eastAsia="sk-SK"/>
        </w:rPr>
      </w:pPr>
      <w:r>
        <w:rPr>
          <w:rFonts w:ascii="Times New Roman" w:hAnsi="Times New Roman"/>
          <w:vanish/>
          <w:sz w:val="24"/>
          <w:szCs w:val="24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0"/>
                <w:lang w:eastAsia="sk-SK"/>
              </w:rPr>
              <w:t>prenájom motorových vozidiel, prívesných vozíkov a strešných nosičov</w:t>
            </w:r>
          </w:p>
        </w:tc>
        <w:tc>
          <w:tcPr>
            <w:tcW w:w="3009" w:type="dxa"/>
            <w:tcBorders/>
            <w:shd w:color="auto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vanish/>
          <w:sz w:val="24"/>
          <w:szCs w:val="24"/>
          <w:lang w:eastAsia="sk-SK"/>
        </w:rPr>
      </w:pPr>
      <w:r>
        <w:rPr>
          <w:rFonts w:ascii="Times New Roman" w:hAnsi="Times New Roman"/>
          <w:vanish/>
          <w:sz w:val="24"/>
          <w:szCs w:val="24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0"/>
                <w:lang w:eastAsia="sk-SK"/>
              </w:rPr>
              <w:t>príprava a predaj na priamu konzumáciu: nealkoholických a priemyselne vyrábaných mliečnych nápojov, koktailov, piva, vína a destilátov; zmrzliny, ak sa na jej prípravu použijú priemyselne vyrábané koncentráty a mrazené krémy; tepelne rýchlo upravovaných mäsových výrobkov a obvyklých príloh, ako aj bezmäsitých jedál; jedál, nápojov a polotovarov ubytovaným hosťom v ubytovacích zariadeniach s kapacitou do 10 lôžok</w:t>
            </w:r>
          </w:p>
        </w:tc>
        <w:tc>
          <w:tcPr>
            <w:tcW w:w="3009" w:type="dxa"/>
            <w:tcBorders/>
            <w:shd w:color="auto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before="0" w:after="200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vanish/>
          <w:sz w:val="24"/>
          <w:szCs w:val="24"/>
          <w:lang w:eastAsia="sk-SK"/>
        </w:rPr>
      </w:pPr>
      <w:r>
        <w:rPr>
          <w:rFonts w:ascii="Times New Roman" w:hAnsi="Times New Roman"/>
          <w:vanish/>
          <w:sz w:val="24"/>
          <w:szCs w:val="24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0"/>
                <w:lang w:eastAsia="sk-SK"/>
              </w:rPr>
              <w:t>prevádzkovanie autoumyvárky</w:t>
            </w:r>
          </w:p>
        </w:tc>
        <w:tc>
          <w:tcPr>
            <w:tcW w:w="3009" w:type="dxa"/>
            <w:tcBorders/>
            <w:shd w:color="auto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vanish/>
          <w:sz w:val="24"/>
          <w:szCs w:val="24"/>
          <w:lang w:eastAsia="sk-SK"/>
        </w:rPr>
      </w:pPr>
      <w:r>
        <w:rPr>
          <w:rFonts w:ascii="Times New Roman" w:hAnsi="Times New Roman"/>
          <w:vanish/>
          <w:sz w:val="24"/>
          <w:szCs w:val="24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0"/>
                <w:lang w:eastAsia="sk-SK"/>
              </w:rPr>
              <w:t>čistiace a upratovacie služby</w:t>
            </w:r>
          </w:p>
        </w:tc>
        <w:tc>
          <w:tcPr>
            <w:tcW w:w="3009" w:type="dxa"/>
            <w:tcBorders/>
            <w:shd w:color="auto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vanish/>
          <w:sz w:val="24"/>
          <w:szCs w:val="24"/>
          <w:lang w:eastAsia="sk-SK"/>
        </w:rPr>
      </w:pPr>
      <w:r>
        <w:rPr>
          <w:rFonts w:ascii="Times New Roman" w:hAnsi="Times New Roman"/>
          <w:vanish/>
          <w:sz w:val="24"/>
          <w:szCs w:val="24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0"/>
                <w:lang w:eastAsia="sk-SK"/>
              </w:rPr>
              <w:t>prevádzkovanie samostatne obsluhovaných automatov zákazníkom</w:t>
            </w:r>
          </w:p>
        </w:tc>
        <w:tc>
          <w:tcPr>
            <w:tcW w:w="3009" w:type="dxa"/>
            <w:tcBorders/>
            <w:shd w:color="auto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vanish/>
          <w:sz w:val="24"/>
          <w:szCs w:val="24"/>
          <w:lang w:eastAsia="sk-SK"/>
        </w:rPr>
      </w:pPr>
      <w:r>
        <w:rPr>
          <w:rFonts w:ascii="Times New Roman" w:hAnsi="Times New Roman"/>
          <w:vanish/>
          <w:sz w:val="24"/>
          <w:szCs w:val="24"/>
          <w:lang w:eastAsia="sk-SK"/>
        </w:rPr>
      </w:r>
    </w:p>
    <w:tbl>
      <w:tblPr>
        <w:tblW w:w="5000" w:type="pct"/>
        <w:jc w:val="left"/>
        <w:tblInd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072"/>
      </w:tblGrid>
      <w:tr>
        <w:trPr/>
        <w:tc>
          <w:tcPr>
            <w:tcW w:w="9072" w:type="dxa"/>
            <w:tcBorders/>
            <w:shd w:color="auto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cs="Arial" w:ascii="Arial" w:hAnsi="Arial"/>
                <w:b/>
                <w:bCs/>
                <w:color w:val="000000"/>
                <w:sz w:val="20"/>
                <w:lang w:eastAsia="sk-SK"/>
              </w:rPr>
              <w:t>sprostredkovanie výroby a obchodu</w:t>
            </w:r>
          </w:p>
        </w:tc>
      </w:tr>
    </w:tbl>
    <w:p>
      <w:pPr>
        <w:pStyle w:val="Normal"/>
        <w:jc w:val="both"/>
        <w:rPr>
          <w:rFonts w:ascii="Calibri" w:hAnsi="Calibri"/>
          <w:bCs/>
          <w:szCs w:val="22"/>
        </w:rPr>
      </w:pPr>
      <w:r>
        <w:rPr>
          <w:rFonts w:ascii="Calibri" w:hAnsi="Calibri"/>
          <w:bCs/>
          <w:szCs w:val="22"/>
        </w:rPr>
      </w:r>
    </w:p>
    <w:p>
      <w:pPr>
        <w:pStyle w:val="Normal"/>
        <w:jc w:val="both"/>
        <w:rPr>
          <w:rFonts w:ascii="Calibri" w:hAnsi="Calibri"/>
          <w:bCs/>
          <w:szCs w:val="22"/>
        </w:rPr>
      </w:pPr>
      <w:r>
        <w:rPr>
          <w:rFonts w:ascii="Calibri" w:hAnsi="Calibri"/>
          <w:bCs/>
          <w:szCs w:val="22"/>
        </w:rPr>
      </w:r>
    </w:p>
    <w:p>
      <w:pPr>
        <w:pStyle w:val="Normal"/>
        <w:jc w:val="both"/>
        <w:rPr>
          <w:rFonts w:ascii="Calibri" w:hAnsi="Calibri"/>
          <w:bCs/>
          <w:szCs w:val="22"/>
        </w:rPr>
      </w:pPr>
      <w:r>
        <w:rPr>
          <w:rFonts w:ascii="Calibri" w:hAnsi="Calibri"/>
          <w:bCs/>
          <w:szCs w:val="22"/>
        </w:rPr>
      </w:r>
    </w:p>
    <w:tbl>
      <w:tblPr>
        <w:tblW w:w="9072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6"/>
        <w:gridCol w:w="3543"/>
        <w:gridCol w:w="3402"/>
        <w:gridCol w:w="1382"/>
        <w:gridCol w:w="318"/>
      </w:tblGrid>
      <w:tr>
        <w:trPr>
          <w:trHeight w:val="340" w:hRule="exac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3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 w:val="20"/>
                <w:szCs w:val="22"/>
              </w:rPr>
            </w:pPr>
            <w:r>
              <w:rPr>
                <w:rFonts w:ascii="Calibri" w:hAnsi="Calibri"/>
                <w:sz w:val="20"/>
                <w:szCs w:val="22"/>
              </w:rPr>
            </w: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jc w:val="both"/>
              <w:outlineLvl w:val="1"/>
              <w:rPr>
                <w:rFonts w:ascii="Calibri" w:hAnsi="Calibri"/>
                <w:b/>
                <w:bCs/>
                <w:szCs w:val="22"/>
              </w:rPr>
            </w:pPr>
            <w:r>
              <w:rPr>
                <w:rFonts w:ascii="Calibri" w:hAnsi="Calibri"/>
                <w:b/>
                <w:szCs w:val="22"/>
              </w:rPr>
              <w:t>Dátum schválenia účtovnej závierky za bezprostredne predchádzajúce ÚO</w:t>
            </w:r>
          </w:p>
          <w:p>
            <w:pPr>
              <w:pStyle w:val="Normal"/>
              <w:widowControl w:val="false"/>
              <w:spacing w:before="0" w:after="200"/>
              <w:rPr>
                <w:rFonts w:ascii="Calibri" w:hAnsi="Calibri"/>
                <w:sz w:val="20"/>
                <w:szCs w:val="22"/>
              </w:rPr>
            </w:pPr>
            <w:r>
              <w:rPr>
                <w:rFonts w:ascii="Calibri" w:hAnsi="Calibri"/>
                <w:sz w:val="20"/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 w:val="20"/>
                <w:szCs w:val="22"/>
              </w:rPr>
            </w:pPr>
            <w:r>
              <w:rPr>
                <w:rFonts w:ascii="Calibri" w:hAnsi="Calibri"/>
                <w:sz w:val="20"/>
                <w:szCs w:val="22"/>
              </w:rPr>
              <w:t>300620</w:t>
            </w:r>
            <w:r>
              <w:rPr>
                <w:rFonts w:ascii="Calibri" w:hAnsi="Calibri"/>
                <w:sz w:val="20"/>
                <w:szCs w:val="22"/>
              </w:rPr>
              <w:t>23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 w:val="20"/>
                <w:szCs w:val="22"/>
              </w:rPr>
            </w:pPr>
            <w:r>
              <w:rPr>
                <w:rFonts w:ascii="Calibri" w:hAnsi="Calibri"/>
                <w:sz w:val="20"/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3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b/>
                <w:szCs w:val="22"/>
              </w:rPr>
            </w:pPr>
            <w:r>
              <w:rPr>
                <w:rFonts w:ascii="Calibri" w:hAnsi="Calibri"/>
                <w:b/>
                <w:szCs w:val="22"/>
              </w:rPr>
              <w:t>Právny dôvod na zostavenie účtovnej závierky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42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6945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42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Dôvod mimoriadnej účtovnej závierky</w:t>
            </w:r>
          </w:p>
        </w:tc>
        <w:tc>
          <w:tcPr>
            <w:tcW w:w="51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1"/>
        <w:rPr>
          <w:rFonts w:ascii="Calibri" w:hAnsi="Calibri"/>
          <w:b/>
          <w:bCs/>
          <w:szCs w:val="22"/>
        </w:rPr>
      </w:pPr>
      <w:r>
        <w:rPr>
          <w:rFonts w:ascii="Calibri" w:hAnsi="Calibri"/>
          <w:b/>
          <w:bCs/>
          <w:szCs w:val="22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0" w:hanging="0"/>
        <w:jc w:val="center"/>
        <w:outlineLvl w:val="1"/>
        <w:rPr>
          <w:rFonts w:ascii="Calibri" w:hAnsi="Calibri"/>
          <w:b/>
          <w:bCs/>
          <w:szCs w:val="22"/>
        </w:rPr>
      </w:pPr>
      <w:r>
        <w:rPr>
          <w:rFonts w:ascii="Calibri" w:hAnsi="Calibri"/>
          <w:b/>
          <w:bCs/>
          <w:szCs w:val="22"/>
        </w:rPr>
      </w:r>
    </w:p>
    <w:tbl>
      <w:tblPr>
        <w:tblW w:w="9072" w:type="dxa"/>
        <w:jc w:val="left"/>
        <w:tblInd w:w="14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26"/>
        <w:gridCol w:w="3685"/>
        <w:gridCol w:w="337"/>
        <w:gridCol w:w="4340"/>
        <w:gridCol w:w="283"/>
      </w:tblGrid>
      <w:tr>
        <w:trPr>
          <w:trHeight w:val="225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3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64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contextualSpacing/>
              <w:jc w:val="both"/>
              <w:outlineLvl w:val="1"/>
              <w:rPr>
                <w:rFonts w:ascii="Calibri" w:hAnsi="Calibri"/>
                <w:b/>
                <w:szCs w:val="22"/>
              </w:rPr>
            </w:pPr>
            <w:r>
              <w:rPr>
                <w:rFonts w:ascii="Calibri" w:hAnsi="Calibri"/>
                <w:b/>
                <w:szCs w:val="22"/>
              </w:rPr>
              <w:t>Údaje o skupine účtovných jednotiek:</w:t>
            </w:r>
          </w:p>
        </w:tc>
      </w:tr>
      <w:tr>
        <w:trPr/>
        <w:tc>
          <w:tcPr>
            <w:tcW w:w="4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ÚJ   nie je súčasťou konsolidovaného celku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ÚJ   je súčasťou konsolidovaného celku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ind w:left="56" w:hanging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/>
        <w:tc>
          <w:tcPr>
            <w:tcW w:w="4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ÚJ   nie je materskou účtovnou jednotkou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4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ind w:left="56" w:hanging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ListParagraph"/>
        <w:keepNext w:val="true"/>
        <w:numPr>
          <w:ilvl w:val="0"/>
          <w:numId w:val="5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Calibri" w:hAnsi="Calibri"/>
          <w:b/>
          <w:bCs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>
      <w:pPr>
        <w:pStyle w:val="ListParagraph"/>
        <w:keepNext w:val="true"/>
        <w:numPr>
          <w:ilvl w:val="0"/>
          <w:numId w:val="5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Calibri" w:hAnsi="Calibri"/>
          <w:b/>
          <w:bCs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>
      <w:pPr>
        <w:pStyle w:val="ListParagraph"/>
        <w:keepNext w:val="true"/>
        <w:numPr>
          <w:ilvl w:val="0"/>
          <w:numId w:val="5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Calibri" w:hAnsi="Calibri"/>
          <w:b/>
          <w:bCs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>adresa, kde sa môže vyžiadať kópia konsolidovaných účtovných závierok uvedených v písmenách a) a b),</w:t>
      </w:r>
    </w:p>
    <w:p>
      <w:pPr>
        <w:pStyle w:val="ListParagraph"/>
        <w:keepNext w:val="true"/>
        <w:numPr>
          <w:ilvl w:val="0"/>
          <w:numId w:val="5"/>
        </w:numPr>
        <w:spacing w:lineRule="auto" w:line="240" w:before="0" w:after="0"/>
        <w:ind w:left="641" w:hanging="284"/>
        <w:contextualSpacing/>
        <w:jc w:val="both"/>
        <w:outlineLvl w:val="1"/>
        <w:rPr>
          <w:rFonts w:ascii="Calibri" w:hAnsi="Calibri"/>
          <w:b/>
          <w:bCs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851" w:leader="none"/>
        </w:tabs>
        <w:spacing w:lineRule="auto" w:line="240" w:before="0" w:after="0"/>
        <w:ind w:left="1077" w:hanging="357"/>
        <w:jc w:val="both"/>
        <w:rPr>
          <w:rFonts w:ascii="Calibri" w:hAnsi="Calibri"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>
      <w:pPr>
        <w:pStyle w:val="Normal"/>
        <w:numPr>
          <w:ilvl w:val="0"/>
          <w:numId w:val="4"/>
        </w:numPr>
        <w:tabs>
          <w:tab w:val="clear" w:pos="708"/>
          <w:tab w:val="left" w:pos="851" w:leader="none"/>
        </w:tabs>
        <w:spacing w:lineRule="auto" w:line="240" w:before="0" w:after="0"/>
        <w:ind w:left="1077" w:hanging="357"/>
        <w:jc w:val="both"/>
        <w:rPr>
          <w:rFonts w:ascii="Calibri" w:hAnsi="Calibri"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>pri oslobodení podľa § 22 ods. 10 a 12 zákona obchodné meno a sídlo dcérskych účtovných jednotiek.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1077" w:hanging="0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1077" w:hanging="0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tbl>
      <w:tblPr>
        <w:tblW w:w="48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23"/>
        <w:gridCol w:w="6927"/>
        <w:gridCol w:w="1459"/>
      </w:tblGrid>
      <w:tr>
        <w:trPr>
          <w:trHeight w:val="340" w:hRule="atLeast"/>
        </w:trPr>
        <w:tc>
          <w:tcPr>
            <w:tcW w:w="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3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6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b/>
                <w:szCs w:val="22"/>
              </w:rPr>
              <w:t>Priemerný prepočítaný počet zamestnancov</w:t>
            </w:r>
            <w:r>
              <w:rPr>
                <w:rFonts w:ascii="Calibri" w:hAnsi="Calibri"/>
                <w:szCs w:val="22"/>
              </w:rPr>
              <w:t xml:space="preserve">  bežné účtovné obdobie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32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6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b/>
                <w:szCs w:val="22"/>
              </w:rPr>
              <w:t>Priemerný prepočítaný počet zamestnancov</w:t>
            </w:r>
            <w:r>
              <w:rPr>
                <w:rFonts w:ascii="Calibri" w:hAnsi="Calibri"/>
                <w:szCs w:val="22"/>
              </w:rPr>
              <w:t xml:space="preserve">  bezprostredne predchádzajúce ÚO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</w:t>
            </w:r>
          </w:p>
        </w:tc>
      </w:tr>
    </w:tbl>
    <w:p>
      <w:pPr>
        <w:pStyle w:val="Normal"/>
        <w:spacing w:before="0" w:after="0"/>
        <w:ind w:left="705" w:hanging="705"/>
        <w:jc w:val="both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</w:r>
    </w:p>
    <w:p>
      <w:pPr>
        <w:pStyle w:val="Normal"/>
        <w:spacing w:before="0" w:after="0"/>
        <w:ind w:left="705" w:hanging="705"/>
        <w:jc w:val="both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</w:r>
    </w:p>
    <w:p>
      <w:pPr>
        <w:pStyle w:val="Normal"/>
        <w:spacing w:before="0" w:after="0"/>
        <w:ind w:left="705" w:hanging="705"/>
        <w:jc w:val="both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</w:r>
    </w:p>
    <w:p>
      <w:pPr>
        <w:pStyle w:val="Normal"/>
        <w:spacing w:before="0" w:after="0"/>
        <w:ind w:left="705" w:hanging="705"/>
        <w:jc w:val="both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</w:r>
    </w:p>
    <w:p>
      <w:pPr>
        <w:pStyle w:val="Normal"/>
        <w:spacing w:before="0" w:after="0"/>
        <w:ind w:left="705" w:hanging="705"/>
        <w:jc w:val="both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  <w:t xml:space="preserve"> </w:t>
      </w:r>
      <w:r>
        <w:rPr>
          <w:rFonts w:ascii="Calibri" w:hAnsi="Calibri"/>
          <w:i/>
          <w:szCs w:val="22"/>
        </w:rPr>
        <w:t>Informácie o orgánoch spoločnosti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rFonts w:ascii="Calibri" w:hAnsi="Calibri"/>
          <w:bCs/>
          <w:i/>
          <w:i/>
          <w:szCs w:val="22"/>
        </w:rPr>
      </w:pPr>
      <w:r>
        <w:rPr>
          <w:rFonts w:ascii="Calibri" w:hAnsi="Calibri"/>
          <w:bCs/>
          <w:i/>
          <w:szCs w:val="22"/>
        </w:rPr>
      </w:r>
    </w:p>
    <w:tbl>
      <w:tblPr>
        <w:tblW w:w="9072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49"/>
        <w:gridCol w:w="1982"/>
        <w:gridCol w:w="1853"/>
        <w:gridCol w:w="987"/>
      </w:tblGrid>
      <w:tr>
        <w:trPr>
          <w:trHeight w:val="57" w:hRule="atLeast"/>
        </w:trPr>
        <w:tc>
          <w:tcPr>
            <w:tcW w:w="907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b/>
                <w:szCs w:val="22"/>
              </w:rPr>
            </w:pPr>
            <w:r>
              <w:rPr>
                <w:rFonts w:ascii="Calibri" w:hAnsi="Calibri"/>
                <w:szCs w:val="22"/>
              </w:rPr>
              <w:t>a)</w:t>
            </w:r>
            <w:r>
              <w:rPr>
                <w:rFonts w:ascii="Calibri" w:hAnsi="Calibri"/>
                <w:b/>
                <w:szCs w:val="22"/>
              </w:rPr>
              <w:t>Výška jednotlivých druhov záruk alebo iných zabezpečení pre členov štatutárneho orgánu,</w:t>
            </w:r>
          </w:p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b/>
                <w:szCs w:val="22"/>
              </w:rPr>
              <w:t>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Druh záruky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Normal"/>
        <w:spacing w:before="0" w:after="0"/>
        <w:rPr>
          <w:rFonts w:ascii="Calibri" w:hAnsi="Calibri"/>
        </w:rPr>
      </w:pPr>
      <w:r>
        <w:rPr>
          <w:rFonts w:ascii="Calibri" w:hAnsi="Calibri"/>
        </w:rPr>
      </w:r>
    </w:p>
    <w:tbl>
      <w:tblPr>
        <w:tblW w:w="9072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42"/>
        <w:gridCol w:w="7"/>
        <w:gridCol w:w="1704"/>
        <w:gridCol w:w="993"/>
        <w:gridCol w:w="1275"/>
        <w:gridCol w:w="851"/>
      </w:tblGrid>
      <w:tr>
        <w:trPr>
          <w:trHeight w:val="340" w:hRule="atLeast"/>
        </w:trPr>
        <w:tc>
          <w:tcPr>
            <w:tcW w:w="9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b)</w:t>
            </w:r>
            <w:r>
              <w:rPr>
                <w:rFonts w:ascii="Calibri" w:hAnsi="Calibri"/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Úrok v 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Normal"/>
        <w:spacing w:before="0" w:after="0"/>
        <w:rPr>
          <w:rFonts w:ascii="Calibri" w:hAnsi="Calibri"/>
        </w:rPr>
      </w:pPr>
      <w:r>
        <w:rPr>
          <w:rFonts w:ascii="Calibri" w:hAnsi="Calibri"/>
        </w:rPr>
      </w:r>
    </w:p>
    <w:tbl>
      <w:tblPr>
        <w:tblW w:w="9072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49"/>
        <w:gridCol w:w="1982"/>
        <w:gridCol w:w="1700"/>
        <w:gridCol w:w="1140"/>
      </w:tblGrid>
      <w:tr>
        <w:trPr>
          <w:trHeight w:val="340" w:hRule="atLeast"/>
        </w:trPr>
        <w:tc>
          <w:tcPr>
            <w:tcW w:w="907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d)</w:t>
            </w:r>
            <w:r>
              <w:rPr>
                <w:rFonts w:ascii="Calibri" w:hAnsi="Calibri"/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Plnenie na súkromné účely k vyúčtovaniu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360" w:right="-468" w:hanging="0"/>
        <w:jc w:val="both"/>
        <w:rPr>
          <w:rFonts w:ascii="Calibri" w:hAnsi="Calibri"/>
          <w:bCs/>
          <w:i/>
          <w:i/>
          <w:szCs w:val="22"/>
        </w:rPr>
      </w:pPr>
      <w:r>
        <w:rPr>
          <w:rFonts w:ascii="Calibri" w:hAnsi="Calibri"/>
          <w:bCs/>
          <w:i/>
          <w:szCs w:val="22"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rFonts w:ascii="Calibri" w:hAnsi="Calibri"/>
          <w:bCs/>
          <w:i/>
          <w:i/>
          <w:szCs w:val="22"/>
        </w:rPr>
      </w:pPr>
      <w:r>
        <w:rPr>
          <w:rFonts w:ascii="Calibri" w:hAnsi="Calibri"/>
          <w:bCs/>
          <w:i/>
          <w:szCs w:val="22"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  <w:t xml:space="preserve"> </w:t>
      </w:r>
      <w:r>
        <w:rPr>
          <w:rFonts w:ascii="Calibri" w:hAnsi="Calibri"/>
          <w:i/>
          <w:szCs w:val="22"/>
        </w:rPr>
        <w:t>Informácie o prijatých postupoch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rFonts w:ascii="Calibri" w:hAnsi="Calibri"/>
          <w:bCs/>
          <w:szCs w:val="22"/>
        </w:rPr>
      </w:pPr>
      <w:r>
        <w:rPr>
          <w:rFonts w:ascii="Calibri" w:hAnsi="Calibri"/>
          <w:bCs/>
          <w:szCs w:val="22"/>
        </w:rPr>
      </w:r>
    </w:p>
    <w:tbl>
      <w:tblPr>
        <w:tblW w:w="9072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76"/>
        <w:gridCol w:w="6511"/>
        <w:gridCol w:w="824"/>
        <w:gridCol w:w="291"/>
        <w:gridCol w:w="578"/>
        <w:gridCol w:w="291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7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6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b/>
                <w:szCs w:val="22"/>
              </w:rPr>
            </w:pPr>
            <w:r>
              <w:rPr>
                <w:rFonts w:ascii="Calibri" w:hAnsi="Calibri"/>
                <w:b/>
                <w:szCs w:val="22"/>
              </w:rPr>
              <w:t>Účtovná závierka bola zostavená za predpokladu, že účtovná jednotka bude nepretržite pokračovať vo svojej činnosti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ListParagraph"/>
        <w:spacing w:lineRule="auto" w:line="240" w:before="0" w:after="0"/>
        <w:ind w:left="357" w:hanging="0"/>
        <w:contextualSpacing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tbl>
      <w:tblPr>
        <w:tblW w:w="9072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76"/>
        <w:gridCol w:w="2118"/>
        <w:gridCol w:w="1842"/>
        <w:gridCol w:w="1560"/>
        <w:gridCol w:w="991"/>
        <w:gridCol w:w="235"/>
        <w:gridCol w:w="589"/>
        <w:gridCol w:w="291"/>
        <w:gridCol w:w="578"/>
        <w:gridCol w:w="291"/>
      </w:tblGrid>
      <w:tr>
        <w:trPr>
          <w:trHeight w:val="340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651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b/>
                <w:szCs w:val="22"/>
              </w:rPr>
            </w:pPr>
            <w:r>
              <w:rPr>
                <w:rFonts w:ascii="Calibri" w:hAnsi="Calibri"/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>
          <w:trHeight w:val="388" w:hRule="atLeast"/>
        </w:trPr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Dôvod uplatnenia</w:t>
            </w:r>
          </w:p>
        </w:tc>
        <w:tc>
          <w:tcPr>
            <w:tcW w:w="453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4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84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Hodnotu majetku</w:t>
            </w:r>
          </w:p>
        </w:tc>
        <w:tc>
          <w:tcPr>
            <w:tcW w:w="1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Vlastné imanie</w:t>
            </w:r>
          </w:p>
        </w:tc>
        <w:tc>
          <w:tcPr>
            <w:tcW w:w="17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7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7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2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74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Normal"/>
        <w:numPr>
          <w:ilvl w:val="0"/>
          <w:numId w:val="7"/>
        </w:numPr>
        <w:spacing w:lineRule="auto" w:line="240" w:before="0" w:after="0"/>
        <w:rPr>
          <w:rFonts w:ascii="Calibri" w:hAnsi="Calibri"/>
          <w:i/>
          <w:i/>
          <w:sz w:val="20"/>
          <w:szCs w:val="22"/>
        </w:rPr>
      </w:pPr>
      <w:r>
        <w:rPr>
          <w:rFonts w:ascii="Calibri" w:hAnsi="Calibri"/>
          <w:b/>
          <w:szCs w:val="22"/>
        </w:rPr>
        <w:t>Informácia o charaktere a účele transakcií, ktoré sa neuvádzajú v súvahe</w:t>
      </w:r>
      <w:r>
        <w:rPr>
          <w:rFonts w:ascii="Calibri" w:hAnsi="Calibri"/>
          <w:szCs w:val="22"/>
        </w:rPr>
        <w:t xml:space="preserve">, </w:t>
      </w:r>
      <w:r>
        <w:rPr>
          <w:rFonts w:ascii="Calibri" w:hAnsi="Calibri"/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>
      <w:pPr>
        <w:pStyle w:val="Normal"/>
        <w:widowControl w:val="false"/>
        <w:spacing w:before="0" w:after="0"/>
        <w:jc w:val="center"/>
        <w:rPr>
          <w:rFonts w:ascii="Calibri" w:hAnsi="Calibri"/>
          <w:bCs/>
          <w:i/>
          <w:i/>
          <w:szCs w:val="22"/>
        </w:rPr>
      </w:pPr>
      <w:r>
        <w:rPr>
          <w:rFonts w:ascii="Calibri" w:hAnsi="Calibri"/>
          <w:bCs/>
          <w:i/>
          <w:szCs w:val="22"/>
        </w:rPr>
      </w:r>
    </w:p>
    <w:tbl>
      <w:tblPr>
        <w:tblW w:w="9072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76"/>
        <w:gridCol w:w="8495"/>
      </w:tblGrid>
      <w:tr>
        <w:trPr>
          <w:trHeight w:val="340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b/>
                <w:szCs w:val="22"/>
              </w:rPr>
            </w:pPr>
            <w:r>
              <w:rPr>
                <w:rFonts w:ascii="Calibri" w:hAnsi="Calibri"/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>
      <w:pPr>
        <w:pStyle w:val="ListParagraph"/>
        <w:numPr>
          <w:ilvl w:val="0"/>
          <w:numId w:val="8"/>
        </w:numPr>
        <w:spacing w:lineRule="auto" w:line="240" w:before="0" w:after="0"/>
        <w:ind w:left="641" w:hanging="284"/>
        <w:contextualSpacing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tbl>
      <w:tblPr>
        <w:tblW w:w="9072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Obstarávacou cenou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1. hmotný majetok s výnimkou 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2. zásoby s výnimkou zásob vytvorených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3. podiely na ZI obchodných spoločností, deriváty a cenné papiere okrem cenných papierov, podielov na ZI obchodných spoločností, ktoré nemajú podobu cenného papiera a derivátov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4. pohľadávky pri odplatnom nadobudnutí alebo pohľadávky nadobudnuté vkladom do ZI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5. nehmotný majetok s výnimkou nehmotného majetku vytvoreného vlastnou činnosťou,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6. záväzky pri ich prevzatí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rPr>
          <w:rFonts w:ascii="Calibri" w:hAnsi="Calibri"/>
        </w:rPr>
      </w:pPr>
      <w:r>
        <w:rPr>
          <w:rFonts w:ascii="Calibri" w:hAnsi="Calibri"/>
        </w:rPr>
      </w:r>
    </w:p>
    <w:tbl>
      <w:tblPr>
        <w:tblW w:w="9072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1. 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2. zásoby vytvorené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3. nehmotný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4. príchovky a prírastky zvierat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Normal"/>
        <w:spacing w:before="0" w:after="0"/>
        <w:rPr>
          <w:rFonts w:ascii="Calibri" w:hAnsi="Calibri"/>
        </w:rPr>
      </w:pPr>
      <w:r>
        <w:rPr>
          <w:rFonts w:ascii="Calibri" w:hAnsi="Calibri"/>
        </w:rPr>
      </w:r>
    </w:p>
    <w:tbl>
      <w:tblPr>
        <w:tblW w:w="9072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1. peňažné prostriedky a ceniny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2. pohľadávky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3. záväzky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rPr>
          <w:rFonts w:ascii="Calibri" w:hAnsi="Calibri"/>
        </w:rPr>
      </w:pPr>
      <w:r>
        <w:rPr>
          <w:rFonts w:ascii="Calibri" w:hAnsi="Calibri"/>
        </w:rPr>
      </w:r>
    </w:p>
    <w:tbl>
      <w:tblPr>
        <w:tblW w:w="9072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Reálnou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1. majetok a záväzky nadobudnuté kúpou podniku alebo jeho časti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2. majetok a záväzky nadobudnuté vkladom podniku, jeho časti a majetok a záväzky nadobudn. zámenou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3. cenné papiere, deriváty a podiely na základnom imaní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Normal"/>
        <w:spacing w:before="0" w:after="0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tbl>
      <w:tblPr>
        <w:tblW w:w="9072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>
          <w:trHeight w:val="227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Úbytok zásob rovnakého druhu sa účtuje v ocenení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 </w:t>
            </w:r>
            <w:r>
              <w:rPr>
                <w:rFonts w:ascii="Calibri" w:hAnsi="Calibri"/>
                <w:szCs w:val="22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Pri vyskladnení sa VON rozpúšťajú nasledovne :VON/(PS zásob + príjem zásob) x výdaj  zásob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tbl>
      <w:tblPr>
        <w:tblW w:w="9072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 </w:t>
            </w:r>
            <w:r>
              <w:rPr>
                <w:rFonts w:ascii="Calibri" w:hAnsi="Calibri"/>
                <w:szCs w:val="22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Prenajatý  majetok a majetok obstaraný na základe  zmluvy o kúpe prenajatej veci - v ocenení rovnajúcom istine a náklady súvisiace s obstaraním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Daň z príjmov splatná – daň sa  určuje z účtovného zisku pred zdanením, po úpravách na daňové účely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podľa zákona o daniach z príjmov pri sadzbe 21 %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</w:tbl>
    <w:p>
      <w:pPr>
        <w:pStyle w:val="Normal"/>
        <w:spacing w:before="0" w:after="0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tbl>
      <w:tblPr>
        <w:tblW w:w="9089" w:type="dxa"/>
        <w:jc w:val="left"/>
        <w:tblInd w:w="14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973"/>
        <w:gridCol w:w="568"/>
        <w:gridCol w:w="5248"/>
        <w:gridCol w:w="300"/>
      </w:tblGrid>
      <w:tr>
        <w:trPr>
          <w:trHeight w:val="340" w:hRule="atLeast"/>
        </w:trPr>
        <w:tc>
          <w:tcPr>
            <w:tcW w:w="9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numPr>
                <w:ilvl w:val="0"/>
                <w:numId w:val="8"/>
              </w:numPr>
              <w:spacing w:lineRule="auto" w:line="240" w:before="0" w:after="0"/>
              <w:ind w:left="641" w:hanging="284"/>
              <w:contextualSpacing/>
              <w:rPr>
                <w:rFonts w:ascii="Calibri" w:hAnsi="Calibri"/>
                <w:b/>
                <w:szCs w:val="22"/>
              </w:rPr>
            </w:pPr>
            <w:r>
              <w:rPr>
                <w:rFonts w:ascii="Calibri" w:hAnsi="Calibri"/>
                <w:b/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Opravná položka k pohľadávkam</w:t>
            </w:r>
          </w:p>
        </w:tc>
        <w:tc>
          <w:tcPr>
            <w:tcW w:w="58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58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Odborným odhadom podľa opodstatneného predpokladu zníženia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Opravná položka k materiálu</w:t>
            </w:r>
          </w:p>
        </w:tc>
        <w:tc>
          <w:tcPr>
            <w:tcW w:w="58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58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Opravná položka k tovaru</w:t>
            </w:r>
          </w:p>
        </w:tc>
        <w:tc>
          <w:tcPr>
            <w:tcW w:w="58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58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numPr>
                <w:ilvl w:val="0"/>
                <w:numId w:val="8"/>
              </w:numPr>
              <w:spacing w:lineRule="auto" w:line="240" w:before="0" w:after="0"/>
              <w:ind w:left="641" w:hanging="284"/>
              <w:contextualSpacing/>
              <w:jc w:val="both"/>
              <w:rPr>
                <w:rFonts w:ascii="Calibri" w:hAnsi="Calibri"/>
                <w:b/>
                <w:szCs w:val="22"/>
              </w:rPr>
            </w:pPr>
            <w:r>
              <w:rPr>
                <w:rFonts w:ascii="Calibri" w:hAnsi="Calibri"/>
                <w:b/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54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Rezervy k nevyfakturovaným dodávkam</w:t>
            </w:r>
          </w:p>
        </w:tc>
        <w:tc>
          <w:tcPr>
            <w:tcW w:w="5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54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5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54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Rezervy k nevyčerpaným dovolenkám</w:t>
            </w:r>
          </w:p>
        </w:tc>
        <w:tc>
          <w:tcPr>
            <w:tcW w:w="5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54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5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54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Rezervy k nevyčerpaným dovolenkám – zdravotne a sociálne poistenie</w:t>
            </w:r>
          </w:p>
        </w:tc>
        <w:tc>
          <w:tcPr>
            <w:tcW w:w="5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35,2% nevyčerp.dovoleniek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54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5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Normal"/>
        <w:spacing w:before="0" w:after="0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p>
      <w:pPr>
        <w:pStyle w:val="ListParagraph"/>
        <w:numPr>
          <w:ilvl w:val="0"/>
          <w:numId w:val="8"/>
        </w:numPr>
        <w:spacing w:lineRule="auto" w:line="240" w:before="0" w:after="0"/>
        <w:ind w:left="641" w:hanging="284"/>
        <w:contextualSpacing/>
        <w:jc w:val="both"/>
        <w:rPr>
          <w:rFonts w:ascii="Calibri" w:hAnsi="Calibri"/>
          <w:szCs w:val="22"/>
          <w:u w:val="single"/>
        </w:rPr>
      </w:pPr>
      <w:r>
        <w:rPr>
          <w:rFonts w:ascii="Calibri" w:hAnsi="Calibri"/>
          <w:b/>
          <w:szCs w:val="22"/>
        </w:rPr>
        <w:t>Určenie ocenenia finančných nástrojov alebo majetku</w:t>
      </w:r>
      <w:r>
        <w:rPr>
          <w:rFonts w:ascii="Calibri" w:hAnsi="Calibri"/>
          <w:szCs w:val="22"/>
        </w:rPr>
        <w:t xml:space="preserve">, ktorý nie je finančným nástrojom </w:t>
      </w:r>
      <w:r>
        <w:rPr>
          <w:rFonts w:ascii="Calibri" w:hAnsi="Calibri"/>
          <w:b/>
          <w:szCs w:val="22"/>
        </w:rPr>
        <w:t>pri oceňovaní reálnou hodnotou</w:t>
      </w:r>
      <w:r>
        <w:rPr>
          <w:rFonts w:ascii="Calibri" w:hAnsi="Calibri"/>
          <w:szCs w:val="22"/>
        </w:rPr>
        <w:t xml:space="preserve">, a to: </w:t>
      </w:r>
    </w:p>
    <w:p>
      <w:pPr>
        <w:pStyle w:val="ListParagraph"/>
        <w:numPr>
          <w:ilvl w:val="0"/>
          <w:numId w:val="9"/>
        </w:numPr>
        <w:spacing w:lineRule="auto" w:line="240" w:before="0" w:after="0"/>
        <w:ind w:left="1066" w:hanging="357"/>
        <w:contextualSpacing/>
        <w:jc w:val="both"/>
        <w:rPr>
          <w:rFonts w:ascii="Calibri" w:hAnsi="Calibri"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>
      <w:pPr>
        <w:pStyle w:val="ListParagraph"/>
        <w:numPr>
          <w:ilvl w:val="0"/>
          <w:numId w:val="9"/>
        </w:numPr>
        <w:spacing w:lineRule="auto" w:line="240" w:before="0" w:after="0"/>
        <w:contextualSpacing/>
        <w:jc w:val="both"/>
        <w:rPr>
          <w:rFonts w:ascii="Calibri" w:hAnsi="Calibri"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>
      <w:pPr>
        <w:pStyle w:val="ListParagraph"/>
        <w:numPr>
          <w:ilvl w:val="0"/>
          <w:numId w:val="9"/>
        </w:numPr>
        <w:spacing w:lineRule="auto" w:line="240" w:before="0" w:after="0"/>
        <w:contextualSpacing/>
        <w:jc w:val="both"/>
        <w:rPr>
          <w:rFonts w:ascii="Calibri" w:hAnsi="Calibri"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>
      <w:pPr>
        <w:pStyle w:val="ListParagraph"/>
        <w:spacing w:lineRule="auto" w:line="240" w:before="0" w:after="0"/>
        <w:ind w:left="1068" w:hanging="0"/>
        <w:contextualSpacing/>
        <w:jc w:val="both"/>
        <w:rPr>
          <w:rFonts w:ascii="Calibri" w:hAnsi="Calibri"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</w:r>
    </w:p>
    <w:p>
      <w:pPr>
        <w:pStyle w:val="ListParagraph"/>
        <w:numPr>
          <w:ilvl w:val="0"/>
          <w:numId w:val="8"/>
        </w:numPr>
        <w:spacing w:lineRule="auto" w:line="240" w:before="0" w:after="0"/>
        <w:ind w:left="641" w:hanging="284"/>
        <w:contextualSpacing/>
        <w:jc w:val="both"/>
        <w:rPr>
          <w:rFonts w:ascii="Calibri" w:hAnsi="Calibri"/>
          <w:szCs w:val="22"/>
        </w:rPr>
      </w:pPr>
      <w:r>
        <w:rPr>
          <w:rFonts w:ascii="Calibri" w:hAnsi="Calibri"/>
          <w:b/>
          <w:szCs w:val="22"/>
        </w:rPr>
        <w:t>Určenie ocenenia finančných nástrojov alebo majetku</w:t>
      </w:r>
      <w:r>
        <w:rPr>
          <w:rFonts w:ascii="Calibri" w:hAnsi="Calibri"/>
          <w:szCs w:val="22"/>
        </w:rPr>
        <w:t xml:space="preserve">, ktorý nie je finančným nástrojom </w:t>
      </w:r>
      <w:r>
        <w:rPr>
          <w:rFonts w:ascii="Calibri" w:hAnsi="Calibri"/>
          <w:b/>
          <w:szCs w:val="22"/>
        </w:rPr>
        <w:t>pri oceňovaní obstarávacou cenou alebo vlastnými nákladmi</w:t>
      </w:r>
      <w:r>
        <w:rPr>
          <w:rFonts w:ascii="Calibri" w:hAnsi="Calibri"/>
          <w:szCs w:val="22"/>
        </w:rPr>
        <w:t>, a to</w:t>
      </w:r>
      <w:r>
        <w:rPr>
          <w:rFonts w:ascii="Calibri" w:hAnsi="Calibri"/>
          <w:b/>
          <w:szCs w:val="22"/>
        </w:rPr>
        <w:t xml:space="preserve">: </w:t>
      </w:r>
    </w:p>
    <w:p>
      <w:pPr>
        <w:pStyle w:val="ListParagraph"/>
        <w:numPr>
          <w:ilvl w:val="0"/>
          <w:numId w:val="10"/>
        </w:numPr>
        <w:spacing w:lineRule="auto" w:line="240" w:before="0" w:after="0"/>
        <w:ind w:left="1066" w:hanging="357"/>
        <w:contextualSpacing/>
        <w:jc w:val="both"/>
        <w:rPr>
          <w:rFonts w:ascii="Calibri" w:hAnsi="Calibri"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>
      <w:pPr>
        <w:pStyle w:val="ListParagraph"/>
        <w:numPr>
          <w:ilvl w:val="0"/>
          <w:numId w:val="10"/>
        </w:numPr>
        <w:spacing w:lineRule="auto" w:line="240" w:before="0" w:after="0"/>
        <w:contextualSpacing/>
        <w:jc w:val="both"/>
        <w:rPr>
          <w:rFonts w:ascii="Calibri" w:hAnsi="Calibri"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>
      <w:pPr>
        <w:pStyle w:val="ListParagraph"/>
        <w:numPr>
          <w:ilvl w:val="0"/>
          <w:numId w:val="11"/>
        </w:numPr>
        <w:spacing w:lineRule="auto" w:line="240" w:before="0" w:after="0"/>
        <w:ind w:left="1418" w:hanging="284"/>
        <w:contextualSpacing/>
        <w:jc w:val="both"/>
        <w:rPr>
          <w:rFonts w:ascii="Calibri" w:hAnsi="Calibri"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>účtovná hodnota a reálna hodnota za jednotlivé položky majetku alebo skupiny týchto jednotlivých položiek majetku,</w:t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1418" w:hanging="284"/>
        <w:contextualSpacing/>
        <w:jc w:val="both"/>
        <w:rPr>
          <w:rFonts w:ascii="Calibri" w:hAnsi="Calibri"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>dôvod pre nezníženie účtovnej hodnoty vrátane povahy dôkazov pre predpoklad, že sa účtovná hodnota opätovne dosiahne,</w:t>
      </w:r>
    </w:p>
    <w:p>
      <w:pPr>
        <w:pStyle w:val="ListParagraph"/>
        <w:spacing w:lineRule="auto" w:line="240" w:before="0" w:after="0"/>
        <w:ind w:left="1418" w:hanging="0"/>
        <w:contextualSpacing/>
        <w:jc w:val="both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</w:r>
    </w:p>
    <w:p>
      <w:pPr>
        <w:pStyle w:val="ListParagraph"/>
        <w:numPr>
          <w:ilvl w:val="0"/>
          <w:numId w:val="8"/>
        </w:numPr>
        <w:spacing w:lineRule="auto" w:line="240" w:before="0" w:after="0"/>
        <w:ind w:left="641" w:hanging="284"/>
        <w:contextualSpacing/>
        <w:jc w:val="both"/>
        <w:rPr>
          <w:rFonts w:ascii="Calibri" w:hAnsi="Calibri"/>
          <w:b/>
          <w:szCs w:val="22"/>
          <w:u w:val="single"/>
        </w:rPr>
      </w:pPr>
      <w:r>
        <w:rPr>
          <w:rFonts w:ascii="Calibri" w:hAnsi="Calibri"/>
          <w:b/>
          <w:szCs w:val="22"/>
        </w:rPr>
        <w:t xml:space="preserve">Stanovenie metódy vlastného imania </w:t>
      </w:r>
    </w:p>
    <w:p>
      <w:pPr>
        <w:pStyle w:val="ListParagraph"/>
        <w:spacing w:lineRule="auto" w:line="240" w:before="0" w:after="0"/>
        <w:ind w:left="641" w:hanging="0"/>
        <w:contextualSpacing/>
        <w:jc w:val="both"/>
        <w:rPr>
          <w:rFonts w:ascii="Calibri" w:hAnsi="Calibri"/>
          <w:szCs w:val="22"/>
          <w:u w:val="single"/>
        </w:rPr>
      </w:pPr>
      <w:r>
        <w:rPr>
          <w:rFonts w:ascii="Calibri" w:hAnsi="Calibri"/>
          <w:szCs w:val="22"/>
          <w:u w:val="single"/>
        </w:rPr>
      </w:r>
    </w:p>
    <w:tbl>
      <w:tblPr>
        <w:tblW w:w="9180" w:type="dxa"/>
        <w:jc w:val="left"/>
        <w:tblInd w:w="37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892"/>
        <w:gridCol w:w="1051"/>
        <w:gridCol w:w="1293"/>
        <w:gridCol w:w="1157"/>
        <w:gridCol w:w="774"/>
        <w:gridCol w:w="337"/>
        <w:gridCol w:w="1340"/>
        <w:gridCol w:w="335"/>
      </w:tblGrid>
      <w:tr>
        <w:trPr>
          <w:trHeight w:val="538" w:hRule="atLeast"/>
        </w:trPr>
        <w:tc>
          <w:tcPr>
            <w:tcW w:w="917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numPr>
                <w:ilvl w:val="0"/>
                <w:numId w:val="8"/>
              </w:numPr>
              <w:spacing w:lineRule="auto" w:line="240" w:before="0" w:after="0"/>
              <w:ind w:left="641" w:hanging="284"/>
              <w:contextualSpacing/>
              <w:jc w:val="both"/>
              <w:rPr>
                <w:rFonts w:ascii="Calibri" w:hAnsi="Calibri"/>
                <w:b/>
                <w:szCs w:val="22"/>
              </w:rPr>
            </w:pPr>
            <w:r>
              <w:rPr>
                <w:rFonts w:ascii="Calibri" w:hAnsi="Calibri"/>
                <w:b/>
                <w:bCs/>
                <w:kern w:val="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>
        <w:trPr/>
        <w:tc>
          <w:tcPr>
            <w:tcW w:w="884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963" w:hRule="atLeast"/>
        </w:trPr>
        <w:tc>
          <w:tcPr>
            <w:tcW w:w="884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rFonts w:ascii="Calibri" w:hAnsi="Calibri"/>
                <w:b/>
                <w:szCs w:val="22"/>
              </w:rPr>
              <w:t>rovnajú</w:t>
            </w: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1217" w:hRule="atLeast"/>
        </w:trPr>
        <w:tc>
          <w:tcPr>
            <w:tcW w:w="884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Calibri" w:hAnsi="Calibri"/>
                <w:b/>
                <w:szCs w:val="22"/>
              </w:rPr>
              <w:t>nerovnajú</w:t>
            </w: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16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Dlhodobý nehmotný majetok = doba použiteľnosti viac ako rok a vstupná cena je  viac ako :</w:t>
            </w:r>
          </w:p>
        </w:tc>
        <w:tc>
          <w:tcPr>
            <w:tcW w:w="16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2400,-eur</w:t>
            </w: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716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1700,-eur</w:t>
            </w: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</w:tc>
      </w:tr>
      <w:tr>
        <w:trPr/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Majetok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Odpisová skupina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Doba odpisovania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Lineárne odpisy</w:t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Zrýchlené odpisy</w:t>
            </w:r>
          </w:p>
        </w:tc>
        <w:tc>
          <w:tcPr>
            <w:tcW w:w="16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Mot. Vozidlá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4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</w:t>
            </w:r>
            <w:r>
              <w:rPr>
                <w:rFonts w:ascii="Calibri" w:hAnsi="Calibri"/>
                <w:szCs w:val="22"/>
              </w:rPr>
              <w:t>7</w:t>
            </w:r>
            <w:r>
              <w:rPr>
                <w:rFonts w:ascii="Calibri" w:hAnsi="Calibri"/>
                <w:szCs w:val="22"/>
              </w:rPr>
              <w:t>%</w:t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6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Technolog. Zar.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6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16,6%</w:t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6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Budovy pre obchod a služby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5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20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3</w:t>
            </w:r>
            <w:r>
              <w:rPr>
                <w:rFonts w:ascii="Calibri" w:hAnsi="Calibri"/>
                <w:szCs w:val="22"/>
              </w:rPr>
              <w:t>%</w:t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6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6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6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6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6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Normal"/>
        <w:spacing w:before="0" w:after="0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p>
      <w:pPr>
        <w:pStyle w:val="Normal"/>
        <w:spacing w:before="0" w:after="0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tbl>
      <w:tblPr>
        <w:tblW w:w="9214" w:type="dxa"/>
        <w:jc w:val="left"/>
        <w:tblInd w:w="3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223"/>
        <w:gridCol w:w="2572"/>
        <w:gridCol w:w="1419"/>
      </w:tblGrid>
      <w:tr>
        <w:trPr>
          <w:trHeight w:val="278" w:hRule="atLeast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before="0" w:after="200"/>
              <w:ind w:left="0" w:hanging="0"/>
              <w:contextualSpacing/>
              <w:rPr>
                <w:rFonts w:ascii="Calibri" w:hAnsi="Calibri"/>
                <w:bCs/>
                <w:kern w:val="2"/>
                <w:szCs w:val="22"/>
                <w:lang w:eastAsia="sk-SK"/>
              </w:rPr>
            </w:pPr>
            <w:r>
              <w:rPr>
                <w:rFonts w:ascii="Calibri" w:hAnsi="Calibri"/>
                <w:bCs/>
                <w:kern w:val="2"/>
                <w:szCs w:val="22"/>
                <w:lang w:eastAsia="sk-SK"/>
              </w:rPr>
              <w:t>h)</w:t>
            </w:r>
            <w:r>
              <w:rPr>
                <w:rFonts w:ascii="Calibri" w:hAnsi="Calibri"/>
                <w:b/>
                <w:bCs/>
                <w:kern w:val="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before="0" w:after="200"/>
              <w:ind w:left="0" w:hanging="0"/>
              <w:contextualSpacing/>
              <w:rPr>
                <w:rFonts w:ascii="Calibri" w:hAnsi="Calibri"/>
                <w:bCs/>
                <w:kern w:val="2"/>
                <w:szCs w:val="22"/>
                <w:lang w:eastAsia="sk-SK"/>
              </w:rPr>
            </w:pPr>
            <w:r>
              <w:rPr>
                <w:rFonts w:ascii="Calibri" w:hAnsi="Calibri"/>
                <w:bCs/>
                <w:kern w:val="2"/>
                <w:szCs w:val="22"/>
                <w:lang w:eastAsia="sk-SK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before="0" w:after="200"/>
              <w:ind w:left="0" w:hanging="0"/>
              <w:contextualSpacing/>
              <w:rPr>
                <w:rFonts w:ascii="Calibri" w:hAnsi="Calibri"/>
                <w:bCs/>
                <w:kern w:val="2"/>
                <w:szCs w:val="22"/>
                <w:lang w:eastAsia="sk-SK"/>
              </w:rPr>
            </w:pPr>
            <w:r>
              <w:rPr>
                <w:rFonts w:ascii="Calibri" w:hAnsi="Calibri"/>
                <w:bCs/>
                <w:kern w:val="2"/>
                <w:szCs w:val="22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cs="Arial"/>
                <w:sz w:val="20"/>
                <w:szCs w:val="24"/>
                <w:lang w:eastAsia="sk-SK"/>
              </w:rPr>
            </w:pPr>
            <w:r>
              <w:rPr>
                <w:rFonts w:cs="Arial" w:ascii="Calibri" w:hAnsi="Calibri"/>
                <w:sz w:val="20"/>
                <w:szCs w:val="24"/>
                <w:lang w:eastAsia="sk-SK"/>
              </w:rPr>
            </w: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cs="Arial"/>
                <w:sz w:val="20"/>
                <w:szCs w:val="24"/>
                <w:lang w:eastAsia="sk-SK"/>
              </w:rPr>
            </w:pPr>
            <w:r>
              <w:rPr>
                <w:rFonts w:cs="Arial" w:ascii="Calibri" w:hAnsi="Calibri"/>
                <w:sz w:val="20"/>
                <w:szCs w:val="24"/>
                <w:lang w:eastAsia="sk-SK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cs="Arial"/>
                <w:sz w:val="20"/>
                <w:szCs w:val="24"/>
                <w:lang w:eastAsia="sk-SK"/>
              </w:rPr>
            </w:pPr>
            <w:r>
              <w:rPr>
                <w:rFonts w:cs="Arial" w:ascii="Calibri" w:hAnsi="Calibri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cs="Arial"/>
                <w:sz w:val="20"/>
                <w:szCs w:val="24"/>
                <w:lang w:eastAsia="sk-SK"/>
              </w:rPr>
            </w:pPr>
            <w:r>
              <w:rPr>
                <w:rFonts w:cs="Arial" w:ascii="Calibri" w:hAnsi="Calibri"/>
                <w:sz w:val="20"/>
                <w:szCs w:val="24"/>
                <w:lang w:eastAsia="sk-SK"/>
              </w:rPr>
            </w: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cs="Arial"/>
                <w:sz w:val="20"/>
                <w:szCs w:val="24"/>
                <w:lang w:eastAsia="sk-SK"/>
              </w:rPr>
            </w:pPr>
            <w:r>
              <w:rPr>
                <w:rFonts w:cs="Arial" w:ascii="Calibri" w:hAnsi="Calibri"/>
                <w:sz w:val="20"/>
                <w:szCs w:val="24"/>
                <w:lang w:eastAsia="sk-SK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cs="Arial"/>
                <w:sz w:val="20"/>
                <w:szCs w:val="24"/>
                <w:lang w:eastAsia="sk-SK"/>
              </w:rPr>
            </w:pPr>
            <w:r>
              <w:rPr>
                <w:rFonts w:cs="Arial" w:ascii="Calibri" w:hAnsi="Calibri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cs="Arial"/>
                <w:sz w:val="20"/>
                <w:szCs w:val="24"/>
                <w:lang w:eastAsia="sk-SK"/>
              </w:rPr>
            </w:pPr>
            <w:r>
              <w:rPr>
                <w:rFonts w:cs="Arial" w:ascii="Calibri" w:hAnsi="Calibri"/>
                <w:sz w:val="20"/>
                <w:szCs w:val="24"/>
                <w:lang w:eastAsia="sk-SK"/>
              </w:rPr>
            </w:r>
          </w:p>
        </w:tc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cs="Arial"/>
                <w:sz w:val="20"/>
                <w:szCs w:val="24"/>
                <w:lang w:eastAsia="sk-SK"/>
              </w:rPr>
            </w:pPr>
            <w:r>
              <w:rPr>
                <w:rFonts w:cs="Arial" w:ascii="Calibri" w:hAnsi="Calibri"/>
                <w:sz w:val="20"/>
                <w:szCs w:val="24"/>
                <w:lang w:eastAsia="sk-SK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cs="Arial"/>
                <w:sz w:val="20"/>
                <w:szCs w:val="24"/>
                <w:lang w:eastAsia="sk-SK"/>
              </w:rPr>
            </w:pPr>
            <w:r>
              <w:rPr>
                <w:rFonts w:cs="Arial" w:ascii="Calibri" w:hAnsi="Calibri"/>
                <w:sz w:val="20"/>
                <w:szCs w:val="24"/>
                <w:lang w:eastAsia="sk-SK"/>
              </w:rPr>
            </w:r>
          </w:p>
        </w:tc>
      </w:tr>
    </w:tbl>
    <w:p>
      <w:pPr>
        <w:pStyle w:val="ListParagraph"/>
        <w:spacing w:lineRule="auto" w:line="240" w:before="0" w:after="0"/>
        <w:ind w:left="641" w:hanging="0"/>
        <w:contextualSpacing/>
        <w:jc w:val="both"/>
        <w:rPr>
          <w:rFonts w:ascii="Calibri" w:hAnsi="Calibri"/>
          <w:bCs/>
          <w:kern w:val="2"/>
          <w:szCs w:val="22"/>
          <w:lang w:eastAsia="sk-SK"/>
        </w:rPr>
      </w:pPr>
      <w:r>
        <w:rPr>
          <w:rFonts w:ascii="Calibri" w:hAnsi="Calibri"/>
          <w:bCs/>
          <w:kern w:val="2"/>
          <w:szCs w:val="22"/>
          <w:lang w:eastAsia="sk-SK"/>
        </w:rPr>
      </w:r>
    </w:p>
    <w:p>
      <w:pPr>
        <w:pStyle w:val="ListParagraph"/>
        <w:spacing w:lineRule="auto" w:line="240" w:before="0" w:after="0"/>
        <w:ind w:left="641" w:hanging="0"/>
        <w:contextualSpacing/>
        <w:jc w:val="both"/>
        <w:rPr>
          <w:rFonts w:ascii="Calibri" w:hAnsi="Calibri"/>
          <w:bCs/>
          <w:kern w:val="2"/>
          <w:szCs w:val="22"/>
          <w:lang w:eastAsia="sk-SK"/>
        </w:rPr>
      </w:pPr>
      <w:r>
        <w:rPr>
          <w:rFonts w:ascii="Calibri" w:hAnsi="Calibri"/>
          <w:bCs/>
          <w:kern w:val="2"/>
          <w:szCs w:val="22"/>
          <w:lang w:eastAsia="sk-SK"/>
        </w:rPr>
      </w:r>
    </w:p>
    <w:p>
      <w:pPr>
        <w:pStyle w:val="ListParagraph"/>
        <w:spacing w:lineRule="auto" w:line="240" w:before="0" w:after="0"/>
        <w:ind w:left="641" w:hanging="0"/>
        <w:contextualSpacing/>
        <w:jc w:val="both"/>
        <w:rPr>
          <w:rFonts w:ascii="Calibri" w:hAnsi="Calibri"/>
          <w:bCs/>
          <w:kern w:val="2"/>
          <w:szCs w:val="22"/>
          <w:lang w:eastAsia="sk-SK"/>
        </w:rPr>
      </w:pPr>
      <w:r>
        <w:rPr>
          <w:rFonts w:ascii="Calibri" w:hAnsi="Calibri"/>
          <w:bCs/>
          <w:kern w:val="2"/>
          <w:szCs w:val="22"/>
          <w:lang w:eastAsia="sk-SK"/>
        </w:rPr>
      </w:r>
    </w:p>
    <w:p>
      <w:pPr>
        <w:pStyle w:val="ListParagraph"/>
        <w:spacing w:lineRule="auto" w:line="240" w:before="0" w:after="0"/>
        <w:ind w:left="641" w:hanging="0"/>
        <w:contextualSpacing/>
        <w:jc w:val="both"/>
        <w:rPr>
          <w:rFonts w:ascii="Calibri" w:hAnsi="Calibri"/>
          <w:bCs/>
          <w:kern w:val="2"/>
          <w:szCs w:val="22"/>
          <w:lang w:eastAsia="sk-SK"/>
        </w:rPr>
      </w:pPr>
      <w:r>
        <w:rPr>
          <w:rFonts w:ascii="Calibri" w:hAnsi="Calibri"/>
          <w:bCs/>
          <w:kern w:val="2"/>
          <w:szCs w:val="22"/>
          <w:lang w:eastAsia="sk-SK"/>
        </w:rPr>
      </w:r>
    </w:p>
    <w:tbl>
      <w:tblPr>
        <w:tblW w:w="9214" w:type="dxa"/>
        <w:jc w:val="left"/>
        <w:tblInd w:w="7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3"/>
        <w:gridCol w:w="3322"/>
        <w:gridCol w:w="851"/>
        <w:gridCol w:w="2126"/>
        <w:gridCol w:w="2551"/>
      </w:tblGrid>
      <w:tr>
        <w:trPr/>
        <w:tc>
          <w:tcPr>
            <w:tcW w:w="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spacing w:lineRule="auto" w:line="240" w:before="0" w:after="0"/>
              <w:rPr>
                <w:rFonts w:ascii="Calibri" w:hAnsi="Calibri"/>
                <w:b/>
                <w:szCs w:val="22"/>
              </w:rPr>
            </w:pPr>
            <w:r>
              <w:rPr>
                <w:rFonts w:ascii="Calibri" w:hAnsi="Calibri"/>
                <w:b/>
                <w:szCs w:val="22"/>
              </w:rPr>
              <w:t>;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b/>
                <w:szCs w:val="22"/>
                <w:lang w:eastAsia="sk-SK"/>
              </w:rPr>
            </w:pPr>
            <w:r>
              <w:rPr>
                <w:rFonts w:ascii="Calibri" w:hAnsi="Calibri"/>
                <w:b/>
                <w:szCs w:val="22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85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b/>
                <w:szCs w:val="22"/>
                <w:lang w:eastAsia="sk-SK"/>
              </w:rPr>
            </w:pPr>
            <w:r>
              <w:rPr>
                <w:rFonts w:ascii="Calibri" w:hAnsi="Calibri"/>
                <w:b/>
                <w:szCs w:val="22"/>
              </w:rPr>
              <w:t xml:space="preserve">Informácia o </w:t>
            </w:r>
            <w:r>
              <w:rPr>
                <w:rFonts w:ascii="Calibri" w:hAnsi="Calibri"/>
                <w:b/>
                <w:szCs w:val="22"/>
                <w:lang w:eastAsia="sk-SK"/>
              </w:rPr>
              <w:t>oprave významných chýb minulých účtovných období účtovaných v bežnom účtovnom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b/>
                <w:szCs w:val="22"/>
                <w:lang w:eastAsia="sk-SK"/>
              </w:rPr>
            </w:pPr>
            <w:r>
              <w:rPr>
                <w:rFonts w:ascii="Calibri" w:hAnsi="Calibri"/>
                <w:b/>
                <w:szCs w:val="22"/>
                <w:lang w:eastAsia="sk-SK"/>
              </w:rPr>
              <w:t>období s uvedením sumy vplyvu na nerozdelený zisk minulých rokov alebo na neuhradenú stratu</w:t>
            </w:r>
          </w:p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b/>
                <w:szCs w:val="22"/>
                <w:lang w:eastAsia="sk-SK"/>
              </w:rPr>
              <w:t>minulých rokov</w:t>
            </w:r>
            <w:r>
              <w:rPr>
                <w:rFonts w:ascii="Calibri" w:hAnsi="Calibri"/>
                <w:szCs w:val="22"/>
                <w:lang w:eastAsia="sk-SK"/>
              </w:rPr>
              <w:t>.</w:t>
            </w:r>
          </w:p>
        </w:tc>
      </w:tr>
      <w:tr>
        <w:trPr>
          <w:trHeight w:val="397" w:hRule="atLeast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ascii="Calibri" w:hAnsi="Calibri"/>
                <w:bCs/>
                <w:szCs w:val="22"/>
              </w:rPr>
            </w:pPr>
            <w:r>
              <w:rPr>
                <w:rFonts w:ascii="Calibri" w:hAnsi="Calibri"/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+/- Vplyv na vlastné imanie</w:t>
            </w:r>
          </w:p>
        </w:tc>
      </w:tr>
      <w:tr>
        <w:trPr>
          <w:trHeight w:val="340" w:hRule="atLeast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Normal"/>
        <w:rPr>
          <w:rFonts w:ascii="Calibri" w:hAnsi="Calibri"/>
        </w:rPr>
      </w:pPr>
      <w:r>
        <w:rPr>
          <w:rFonts w:ascii="Calibri" w:hAnsi="Calibri"/>
        </w:rPr>
      </w:r>
    </w:p>
    <w:p>
      <w:pPr>
        <w:pStyle w:val="Normal"/>
        <w:rPr>
          <w:rFonts w:ascii="Calibri" w:hAnsi="Calibri"/>
        </w:rPr>
      </w:pPr>
      <w:r>
        <w:rPr>
          <w:rFonts w:ascii="Calibri" w:hAnsi="Calibri"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  <w:t>Informácie, ktoré vysvetľujú a dopĺňajú súvahu a výkaz ziskov a strát </w:t>
      </w:r>
    </w:p>
    <w:p>
      <w:pPr>
        <w:pStyle w:val="Normal"/>
        <w:spacing w:before="0" w:after="0"/>
        <w:rPr>
          <w:rFonts w:ascii="Calibri" w:hAnsi="Calibri"/>
        </w:rPr>
      </w:pPr>
      <w:r>
        <w:rPr>
          <w:rFonts w:ascii="Calibri" w:hAnsi="Calibri"/>
        </w:rPr>
      </w:r>
    </w:p>
    <w:p>
      <w:pPr>
        <w:pStyle w:val="ListParagraph"/>
        <w:numPr>
          <w:ilvl w:val="0"/>
          <w:numId w:val="13"/>
        </w:numPr>
        <w:spacing w:lineRule="auto" w:line="240" w:before="0" w:after="0"/>
        <w:ind w:left="357" w:hanging="357"/>
        <w:contextualSpacing/>
        <w:jc w:val="both"/>
        <w:rPr>
          <w:rFonts w:ascii="Calibri" w:hAnsi="Calibri"/>
          <w:bCs/>
          <w:i/>
          <w:i/>
          <w:sz w:val="20"/>
          <w:szCs w:val="22"/>
          <w:lang w:eastAsia="sk-SK"/>
        </w:rPr>
      </w:pPr>
      <w:r>
        <w:rPr>
          <w:rFonts w:ascii="Calibri" w:hAnsi="Calibri"/>
          <w:bCs/>
          <w:szCs w:val="22"/>
          <w:lang w:eastAsia="sk-SK"/>
        </w:rPr>
        <w:t xml:space="preserve">K dlhodobému nehmotnému majetku, ktorým je </w:t>
      </w:r>
      <w:r>
        <w:rPr>
          <w:rFonts w:ascii="Calibri" w:hAnsi="Calibri"/>
          <w:b/>
          <w:bCs/>
          <w:szCs w:val="22"/>
          <w:lang w:eastAsia="sk-SK"/>
        </w:rPr>
        <w:t>goodwill alebo záporný goodwill</w:t>
      </w:r>
      <w:r>
        <w:rPr>
          <w:rFonts w:ascii="Calibri" w:hAnsi="Calibri"/>
          <w:bCs/>
          <w:szCs w:val="22"/>
          <w:lang w:eastAsia="sk-SK"/>
        </w:rPr>
        <w:t xml:space="preserve"> </w:t>
      </w:r>
      <w:r>
        <w:rPr>
          <w:rFonts w:ascii="Calibri" w:hAnsi="Calibri"/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hodnoty.</w:t>
      </w:r>
      <w:r>
        <w:rPr>
          <w:rFonts w:ascii="Calibri" w:hAnsi="Calibri"/>
          <w:i/>
          <w:sz w:val="20"/>
          <w:szCs w:val="22"/>
          <w:u w:val="single"/>
        </w:rPr>
        <w:t xml:space="preserve"> </w:t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rFonts w:ascii="Calibri" w:hAnsi="Calibri"/>
          <w:bCs/>
          <w:szCs w:val="22"/>
          <w:lang w:eastAsia="sk-SK"/>
        </w:rPr>
      </w:pPr>
      <w:r>
        <w:rPr>
          <w:rFonts w:ascii="Calibri" w:hAnsi="Calibri"/>
          <w:bCs/>
          <w:szCs w:val="22"/>
          <w:lang w:eastAsia="sk-SK"/>
        </w:rPr>
      </w:r>
    </w:p>
    <w:p>
      <w:pPr>
        <w:pStyle w:val="ListParagraph"/>
        <w:numPr>
          <w:ilvl w:val="0"/>
          <w:numId w:val="13"/>
        </w:numPr>
        <w:spacing w:lineRule="auto" w:line="240" w:before="0" w:after="0"/>
        <w:ind w:left="357" w:hanging="357"/>
        <w:contextualSpacing/>
        <w:jc w:val="both"/>
        <w:rPr>
          <w:rFonts w:ascii="Calibri" w:hAnsi="Calibri"/>
          <w:bCs/>
          <w:i/>
          <w:i/>
          <w:sz w:val="20"/>
          <w:szCs w:val="22"/>
          <w:lang w:eastAsia="sk-SK"/>
        </w:rPr>
      </w:pPr>
      <w:r>
        <w:rPr>
          <w:rFonts w:ascii="Calibri" w:hAnsi="Calibri"/>
          <w:b/>
          <w:bCs/>
          <w:szCs w:val="22"/>
          <w:lang w:eastAsia="sk-SK"/>
        </w:rPr>
        <w:t>Informácie o významných položkách derivátov, majetku a záväzkoch zabezpečených derivátmi</w:t>
      </w:r>
      <w:r>
        <w:rPr>
          <w:rFonts w:ascii="Calibri" w:hAnsi="Calibri"/>
          <w:bCs/>
          <w:szCs w:val="22"/>
          <w:lang w:eastAsia="sk-SK"/>
        </w:rPr>
        <w:t xml:space="preserve">, </w:t>
      </w:r>
      <w:r>
        <w:rPr>
          <w:rFonts w:ascii="Calibri" w:hAnsi="Calibri"/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>
        <w:rPr>
          <w:rFonts w:ascii="Calibri" w:hAnsi="Calibri"/>
          <w:i/>
          <w:sz w:val="20"/>
          <w:szCs w:val="22"/>
          <w:u w:val="single"/>
        </w:rPr>
        <w:t xml:space="preserve"> .</w:t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rFonts w:ascii="Calibri" w:hAnsi="Calibri"/>
          <w:bCs/>
          <w:szCs w:val="22"/>
          <w:lang w:eastAsia="sk-SK"/>
        </w:rPr>
      </w:pPr>
      <w:r>
        <w:rPr>
          <w:rFonts w:ascii="Calibri" w:hAnsi="Calibri"/>
          <w:bCs/>
          <w:szCs w:val="22"/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rFonts w:ascii="Calibri" w:hAnsi="Calibri"/>
          <w:bCs/>
          <w:szCs w:val="22"/>
          <w:lang w:eastAsia="sk-SK"/>
        </w:rPr>
      </w:pPr>
      <w:r>
        <w:rPr>
          <w:rFonts w:ascii="Calibri" w:hAnsi="Calibri"/>
          <w:bCs/>
          <w:szCs w:val="22"/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rFonts w:ascii="Calibri" w:hAnsi="Calibri"/>
          <w:bCs/>
          <w:szCs w:val="22"/>
          <w:lang w:eastAsia="sk-SK"/>
        </w:rPr>
      </w:pPr>
      <w:r>
        <w:rPr>
          <w:rFonts w:ascii="Calibri" w:hAnsi="Calibri"/>
          <w:bCs/>
          <w:szCs w:val="22"/>
          <w:lang w:eastAsia="sk-SK"/>
        </w:rPr>
      </w:r>
    </w:p>
    <w:tbl>
      <w:tblPr>
        <w:tblW w:w="9180" w:type="dxa"/>
        <w:jc w:val="left"/>
        <w:tblInd w:w="37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76"/>
        <w:gridCol w:w="4024"/>
        <w:gridCol w:w="2586"/>
        <w:gridCol w:w="672"/>
        <w:gridCol w:w="1422"/>
      </w:tblGrid>
      <w:tr>
        <w:trPr>
          <w:trHeight w:val="250" w:hRule="atLeast"/>
        </w:trPr>
        <w:tc>
          <w:tcPr>
            <w:tcW w:w="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numPr>
                <w:ilvl w:val="0"/>
                <w:numId w:val="13"/>
              </w:numPr>
              <w:spacing w:before="0" w:after="0"/>
              <w:ind w:left="465" w:hanging="357"/>
              <w:contextualSpacing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szCs w:val="22"/>
                <w:lang w:eastAsia="sk-SK"/>
              </w:rPr>
            </w:r>
          </w:p>
        </w:tc>
        <w:tc>
          <w:tcPr>
            <w:tcW w:w="87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before="0" w:after="0"/>
              <w:ind w:left="0" w:hanging="0"/>
              <w:contextualSpacing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>
        <w:trPr>
          <w:trHeight w:val="340" w:hRule="atLeast"/>
        </w:trPr>
        <w:tc>
          <w:tcPr>
            <w:tcW w:w="450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6"/>
              </w:numPr>
              <w:spacing w:before="0" w:after="0"/>
              <w:rPr>
                <w:rFonts w:ascii="Calibri" w:hAnsi="Calibri"/>
                <w:b/>
                <w:szCs w:val="22"/>
              </w:rPr>
            </w:pPr>
            <w:r>
              <w:rPr>
                <w:rFonts w:ascii="Calibri" w:hAnsi="Calibri"/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BO</w:t>
            </w:r>
          </w:p>
        </w:tc>
        <w:tc>
          <w:tcPr>
            <w:tcW w:w="2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500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641" w:hanging="0"/>
              <w:jc w:val="both"/>
              <w:rPr>
                <w:rFonts w:ascii="Calibri" w:hAnsi="Calibri"/>
                <w:bCs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bCs/>
                <w:color w:val="000000"/>
                <w:szCs w:val="22"/>
                <w:lang w:eastAsia="sk-SK"/>
              </w:rPr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 </w:t>
            </w:r>
            <w:r>
              <w:rPr>
                <w:rFonts w:ascii="Calibri" w:hAnsi="Calibri"/>
                <w:szCs w:val="22"/>
              </w:rPr>
              <w:t>1</w:t>
            </w:r>
            <w:r>
              <w:rPr>
                <w:rFonts w:ascii="Calibri" w:hAnsi="Calibri"/>
                <w:szCs w:val="22"/>
              </w:rPr>
              <w:t>932</w:t>
            </w:r>
          </w:p>
        </w:tc>
        <w:tc>
          <w:tcPr>
            <w:tcW w:w="20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 xml:space="preserve"> </w:t>
            </w:r>
            <w:r>
              <w:rPr>
                <w:rFonts w:ascii="Calibri" w:hAnsi="Calibri"/>
                <w:szCs w:val="22"/>
              </w:rPr>
              <w:t>1</w:t>
            </w:r>
            <w:r>
              <w:rPr>
                <w:rFonts w:ascii="Calibri" w:hAnsi="Calibri"/>
                <w:szCs w:val="22"/>
              </w:rPr>
              <w:t>848</w:t>
            </w:r>
          </w:p>
        </w:tc>
      </w:tr>
      <w:tr>
        <w:trPr>
          <w:trHeight w:val="340" w:hRule="atLeast"/>
        </w:trPr>
        <w:tc>
          <w:tcPr>
            <w:tcW w:w="91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numPr>
                <w:ilvl w:val="0"/>
                <w:numId w:val="16"/>
              </w:numPr>
              <w:spacing w:lineRule="auto" w:line="240" w:before="0" w:after="0"/>
              <w:jc w:val="both"/>
              <w:rPr>
                <w:rFonts w:ascii="Calibri" w:hAnsi="Calibri"/>
                <w:bCs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7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Spôsob zabezpečenia: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bCs/>
                <w:szCs w:val="22"/>
              </w:rPr>
              <w:t>Záložné právo</w:t>
            </w:r>
          </w:p>
        </w:tc>
        <w:tc>
          <w:tcPr>
            <w:tcW w:w="32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bCs/>
                <w:szCs w:val="22"/>
              </w:rPr>
            </w:pPr>
            <w:r>
              <w:rPr>
                <w:rFonts w:ascii="Calibri" w:hAnsi="Calibri"/>
                <w:bCs/>
                <w:szCs w:val="22"/>
              </w:rPr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bCs/>
                <w:szCs w:val="22"/>
              </w:rPr>
            </w:pPr>
            <w:r>
              <w:rPr>
                <w:rFonts w:ascii="Calibri" w:hAnsi="Calibri"/>
                <w:bCs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Inak zabezpečené.........................</w:t>
            </w:r>
          </w:p>
        </w:tc>
        <w:tc>
          <w:tcPr>
            <w:tcW w:w="32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Inak zabezpečené............................</w:t>
            </w:r>
          </w:p>
        </w:tc>
        <w:tc>
          <w:tcPr>
            <w:tcW w:w="32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/>
                <w:bCs/>
                <w:szCs w:val="22"/>
              </w:rPr>
            </w:pPr>
            <w:r>
              <w:rPr>
                <w:rFonts w:ascii="Calibri" w:hAnsi="Calibri"/>
                <w:bCs/>
                <w:szCs w:val="22"/>
              </w:rPr>
              <w:t>Spolu zabezpečené:</w:t>
            </w:r>
          </w:p>
        </w:tc>
        <w:tc>
          <w:tcPr>
            <w:tcW w:w="32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ListParagraph"/>
        <w:spacing w:lineRule="auto" w:line="240" w:before="0" w:after="0"/>
        <w:contextualSpacing/>
        <w:jc w:val="both"/>
        <w:rPr>
          <w:rFonts w:ascii="Calibri" w:hAnsi="Calibri"/>
          <w:bCs/>
          <w:szCs w:val="22"/>
          <w:lang w:eastAsia="sk-SK"/>
        </w:rPr>
      </w:pPr>
      <w:r>
        <w:rPr>
          <w:rFonts w:ascii="Calibri" w:hAnsi="Calibri"/>
          <w:bCs/>
          <w:szCs w:val="22"/>
          <w:lang w:eastAsia="sk-SK"/>
        </w:rPr>
      </w:r>
    </w:p>
    <w:p>
      <w:pPr>
        <w:pStyle w:val="ListParagraph"/>
        <w:numPr>
          <w:ilvl w:val="0"/>
          <w:numId w:val="13"/>
        </w:numPr>
        <w:spacing w:lineRule="auto" w:line="240" w:before="0" w:after="0"/>
        <w:ind w:left="357" w:hanging="357"/>
        <w:contextualSpacing/>
        <w:jc w:val="both"/>
        <w:rPr>
          <w:rFonts w:ascii="Calibri" w:hAnsi="Calibri"/>
          <w:bCs/>
          <w:szCs w:val="22"/>
          <w:lang w:eastAsia="sk-SK"/>
        </w:rPr>
      </w:pPr>
      <w:r>
        <w:rPr>
          <w:rFonts w:ascii="Calibri" w:hAnsi="Calibri"/>
          <w:b/>
          <w:bCs/>
          <w:szCs w:val="22"/>
          <w:lang w:eastAsia="sk-SK"/>
        </w:rPr>
        <w:t>Informácie o vlastných akciách</w:t>
      </w:r>
      <w:r>
        <w:rPr>
          <w:rFonts w:ascii="Calibri" w:hAnsi="Calibri"/>
          <w:bCs/>
          <w:szCs w:val="22"/>
          <w:lang w:eastAsia="sk-SK"/>
        </w:rPr>
        <w:t>:</w:t>
      </w:r>
    </w:p>
    <w:p>
      <w:pPr>
        <w:pStyle w:val="ListParagraph"/>
        <w:numPr>
          <w:ilvl w:val="0"/>
          <w:numId w:val="15"/>
        </w:numPr>
        <w:spacing w:lineRule="auto" w:line="240" w:before="0" w:after="0"/>
        <w:ind w:left="641" w:hanging="284"/>
        <w:contextualSpacing/>
        <w:jc w:val="both"/>
        <w:rPr>
          <w:rFonts w:ascii="Calibri" w:hAnsi="Calibri"/>
          <w:bCs/>
          <w:i/>
          <w:i/>
          <w:sz w:val="20"/>
          <w:szCs w:val="22"/>
          <w:lang w:eastAsia="sk-SK"/>
        </w:rPr>
      </w:pPr>
      <w:r>
        <w:rPr>
          <w:rFonts w:ascii="Calibri" w:hAnsi="Calibri"/>
          <w:bCs/>
          <w:i/>
          <w:sz w:val="20"/>
          <w:szCs w:val="22"/>
          <w:lang w:eastAsia="sk-SK"/>
        </w:rPr>
        <w:t>dôvod nadobudnutia vlastných akcií počas účtovného obdobia,</w:t>
      </w:r>
    </w:p>
    <w:p>
      <w:pPr>
        <w:pStyle w:val="ListParagraph"/>
        <w:numPr>
          <w:ilvl w:val="0"/>
          <w:numId w:val="15"/>
        </w:numPr>
        <w:spacing w:lineRule="auto" w:line="240" w:before="0" w:after="0"/>
        <w:ind w:left="641" w:hanging="284"/>
        <w:contextualSpacing/>
        <w:jc w:val="both"/>
        <w:rPr>
          <w:rFonts w:ascii="Calibri" w:hAnsi="Calibri"/>
          <w:bCs/>
          <w:i/>
          <w:i/>
          <w:sz w:val="20"/>
          <w:szCs w:val="22"/>
          <w:lang w:eastAsia="sk-SK"/>
        </w:rPr>
      </w:pPr>
      <w:r>
        <w:rPr>
          <w:rFonts w:ascii="Calibri" w:hAnsi="Calibri"/>
          <w:bCs/>
          <w:i/>
          <w:sz w:val="20"/>
          <w:szCs w:val="22"/>
          <w:lang w:eastAsia="sk-SK"/>
        </w:rPr>
        <w:t xml:space="preserve">informácie </w:t>
      </w:r>
    </w:p>
    <w:p>
      <w:pPr>
        <w:pStyle w:val="ListParagraph"/>
        <w:numPr>
          <w:ilvl w:val="0"/>
          <w:numId w:val="14"/>
        </w:numPr>
        <w:spacing w:lineRule="auto" w:line="240" w:before="0" w:after="0"/>
        <w:ind w:left="1077" w:hanging="357"/>
        <w:contextualSpacing/>
        <w:jc w:val="both"/>
        <w:rPr>
          <w:rFonts w:ascii="Calibri" w:hAnsi="Calibri"/>
          <w:bCs/>
          <w:i/>
          <w:i/>
          <w:sz w:val="20"/>
          <w:szCs w:val="22"/>
          <w:lang w:eastAsia="sk-SK"/>
        </w:rPr>
      </w:pPr>
      <w:r>
        <w:rPr>
          <w:rFonts w:ascii="Calibri" w:hAnsi="Calibri"/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>
      <w:pPr>
        <w:pStyle w:val="ListParagraph"/>
        <w:numPr>
          <w:ilvl w:val="0"/>
          <w:numId w:val="14"/>
        </w:numPr>
        <w:spacing w:lineRule="auto" w:line="240" w:before="0" w:after="0"/>
        <w:ind w:left="1077" w:hanging="357"/>
        <w:contextualSpacing/>
        <w:jc w:val="both"/>
        <w:rPr>
          <w:rFonts w:ascii="Calibri" w:hAnsi="Calibri"/>
          <w:bCs/>
          <w:i/>
          <w:i/>
          <w:sz w:val="20"/>
          <w:szCs w:val="22"/>
          <w:lang w:eastAsia="sk-SK"/>
        </w:rPr>
      </w:pPr>
      <w:r>
        <w:rPr>
          <w:rFonts w:ascii="Calibri" w:hAnsi="Calibri"/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>
      <w:pPr>
        <w:pStyle w:val="ListParagraph"/>
        <w:numPr>
          <w:ilvl w:val="0"/>
          <w:numId w:val="15"/>
        </w:numPr>
        <w:spacing w:lineRule="auto" w:line="240" w:before="0" w:after="0"/>
        <w:ind w:left="641" w:hanging="284"/>
        <w:contextualSpacing/>
        <w:jc w:val="both"/>
        <w:rPr>
          <w:rFonts w:ascii="Calibri" w:hAnsi="Calibri"/>
          <w:bCs/>
          <w:i/>
          <w:i/>
          <w:sz w:val="20"/>
          <w:szCs w:val="22"/>
          <w:lang w:eastAsia="sk-SK"/>
        </w:rPr>
      </w:pPr>
      <w:r>
        <w:rPr>
          <w:rFonts w:ascii="Calibri" w:hAnsi="Calibri"/>
          <w:bCs/>
          <w:i/>
          <w:sz w:val="20"/>
          <w:szCs w:val="22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libri" w:hAnsi="Calibri"/>
          <w:bCs/>
          <w:i/>
          <w:i/>
          <w:sz w:val="20"/>
          <w:szCs w:val="22"/>
          <w:lang w:eastAsia="sk-SK"/>
        </w:rPr>
      </w:pPr>
      <w:r>
        <w:rPr>
          <w:rFonts w:ascii="Calibri" w:hAnsi="Calibri"/>
          <w:bCs/>
          <w:i/>
          <w:sz w:val="20"/>
          <w:szCs w:val="22"/>
          <w:lang w:eastAsia="sk-SK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libri" w:hAnsi="Calibri"/>
          <w:bCs/>
          <w:i/>
          <w:i/>
          <w:sz w:val="20"/>
          <w:szCs w:val="22"/>
          <w:lang w:eastAsia="sk-SK"/>
        </w:rPr>
      </w:pPr>
      <w:r>
        <w:rPr>
          <w:rFonts w:ascii="Calibri" w:hAnsi="Calibri"/>
          <w:bCs/>
          <w:i/>
          <w:sz w:val="20"/>
          <w:szCs w:val="22"/>
          <w:lang w:eastAsia="sk-SK"/>
        </w:rPr>
        <w:t>(5)</w:t>
      </w:r>
      <w:r>
        <w:rPr>
          <w:rFonts w:cs="Calibri" w:ascii="Calibri" w:hAnsi="Calibri"/>
          <w:b/>
          <w:bCs/>
          <w:sz w:val="20"/>
          <w:szCs w:val="22"/>
          <w:lang w:eastAsia="sk-SK"/>
        </w:rPr>
        <w:t xml:space="preserve"> ÚJ vytvorila /nevytvorila kapitálový fond z</w:t>
      </w:r>
      <w:r>
        <w:rPr>
          <w:rFonts w:cs="Calibri" w:ascii="Calibri" w:hAnsi="Calibri"/>
          <w:bCs/>
          <w:sz w:val="20"/>
          <w:szCs w:val="22"/>
          <w:lang w:eastAsia="sk-SK"/>
        </w:rPr>
        <w:t xml:space="preserve"> príspevkov podľa §123 ods.2 a §217a Obchodného zákonníka v znení neskorších predpisov</w:t>
      </w:r>
    </w:p>
    <w:p>
      <w:pPr>
        <w:pStyle w:val="ListParagraph"/>
        <w:spacing w:lineRule="auto" w:line="240" w:before="0" w:after="0"/>
        <w:ind w:left="641" w:hanging="0"/>
        <w:contextualSpacing/>
        <w:jc w:val="both"/>
        <w:rPr>
          <w:rFonts w:ascii="Calibri" w:hAnsi="Calibri"/>
          <w:bCs/>
          <w:i/>
          <w:i/>
          <w:sz w:val="20"/>
          <w:szCs w:val="22"/>
          <w:lang w:eastAsia="sk-SK"/>
        </w:rPr>
      </w:pPr>
      <w:r>
        <w:rPr>
          <w:rFonts w:ascii="Calibri" w:hAnsi="Calibri"/>
          <w:bCs/>
          <w:i/>
          <w:sz w:val="20"/>
          <w:szCs w:val="22"/>
          <w:lang w:eastAsia="sk-SK"/>
        </w:rPr>
      </w:r>
    </w:p>
    <w:tbl>
      <w:tblPr>
        <w:tblW w:w="9214" w:type="dxa"/>
        <w:jc w:val="left"/>
        <w:tblInd w:w="14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51"/>
        <w:gridCol w:w="4185"/>
        <w:gridCol w:w="3118"/>
        <w:gridCol w:w="1560"/>
      </w:tblGrid>
      <w:tr>
        <w:trPr>
          <w:trHeight w:val="751" w:hRule="atLeast"/>
        </w:trPr>
        <w:tc>
          <w:tcPr>
            <w:tcW w:w="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numPr>
                <w:ilvl w:val="0"/>
                <w:numId w:val="13"/>
              </w:numPr>
              <w:spacing w:before="0" w:after="0"/>
              <w:ind w:left="357" w:hanging="357"/>
              <w:contextualSpacing/>
              <w:jc w:val="both"/>
              <w:rPr>
                <w:rFonts w:ascii="Calibri" w:hAnsi="Calibri"/>
                <w:b/>
                <w:bCs/>
                <w:vanish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vanish/>
                <w:szCs w:val="22"/>
                <w:lang w:eastAsia="sk-SK"/>
              </w:rPr>
            </w:r>
          </w:p>
          <w:p>
            <w:pPr>
              <w:pStyle w:val="ListParagraph"/>
              <w:widowControl w:val="false"/>
              <w:numPr>
                <w:ilvl w:val="0"/>
                <w:numId w:val="13"/>
              </w:numPr>
              <w:spacing w:before="0" w:after="0"/>
              <w:ind w:left="357" w:hanging="357"/>
              <w:contextualSpacing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szCs w:val="22"/>
                <w:lang w:eastAsia="sk-SK"/>
              </w:rPr>
            </w:r>
          </w:p>
          <w:p>
            <w:pPr>
              <w:pStyle w:val="ListParagraph"/>
              <w:widowControl w:val="false"/>
              <w:spacing w:before="0" w:after="0"/>
              <w:ind w:left="1277" w:hanging="0"/>
              <w:contextualSpacing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szCs w:val="22"/>
                <w:lang w:eastAsia="sk-SK"/>
              </w:rPr>
            </w:r>
          </w:p>
          <w:p>
            <w:pPr>
              <w:pStyle w:val="ListParagraph"/>
              <w:widowControl w:val="false"/>
              <w:spacing w:before="0" w:after="0"/>
              <w:ind w:left="1277" w:hanging="0"/>
              <w:contextualSpacing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  <w:tc>
          <w:tcPr>
            <w:tcW w:w="88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before="0" w:after="0"/>
              <w:ind w:left="0" w:hanging="0"/>
              <w:contextualSpacing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szCs w:val="22"/>
                <w:lang w:eastAsia="sk-SK"/>
              </w:rPr>
              <w:t>Informácia o sume a dôvodoch vzniku jednotlivých položiek nákladov alebo výnosov, ktoré majú</w:t>
            </w:r>
          </w:p>
          <w:p>
            <w:pPr>
              <w:pStyle w:val="ListParagraph"/>
              <w:widowControl w:val="false"/>
              <w:spacing w:before="0" w:after="0"/>
              <w:ind w:left="0" w:hanging="0"/>
              <w:contextualSpacing/>
              <w:jc w:val="both"/>
              <w:rPr>
                <w:rFonts w:ascii="Calibri" w:hAnsi="Calibri"/>
                <w:bCs/>
                <w:i/>
                <w:i/>
                <w:sz w:val="20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výnimočný rozsah </w:t>
            </w:r>
            <w:r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  <w:t>alebo výskyt, napríklad výnosy z predaja podniku alebo časti podniku, náklady z dôvodu</w:t>
            </w:r>
          </w:p>
          <w:p>
            <w:pPr>
              <w:pStyle w:val="ListParagraph"/>
              <w:widowControl w:val="false"/>
              <w:spacing w:before="0" w:after="0"/>
              <w:ind w:left="0" w:hanging="0"/>
              <w:contextualSpacing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Popis nákladov ,výnosov výnimočného rozsahu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Dôvod vzniku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</w:tr>
    </w:tbl>
    <w:p>
      <w:pPr>
        <w:pStyle w:val="Normal"/>
        <w:rPr>
          <w:rFonts w:ascii="Calibri" w:hAnsi="Calibri"/>
        </w:rPr>
      </w:pPr>
      <w:r>
        <w:rPr>
          <w:rFonts w:ascii="Calibri" w:hAnsi="Calibri"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  <w:t xml:space="preserve"> </w:t>
      </w:r>
      <w:r>
        <w:rPr>
          <w:rFonts w:ascii="Calibri" w:hAnsi="Calibri"/>
          <w:i/>
          <w:szCs w:val="22"/>
        </w:rPr>
        <w:t>Informácie o iných aktívach a iných pasívach </w:t>
      </w:r>
    </w:p>
    <w:p>
      <w:pPr>
        <w:pStyle w:val="Normal"/>
        <w:spacing w:before="0" w:after="0"/>
        <w:rPr>
          <w:rFonts w:ascii="Calibri" w:hAnsi="Calibri"/>
        </w:rPr>
      </w:pPr>
      <w:r>
        <w:rPr>
          <w:rFonts w:ascii="Calibri" w:hAnsi="Calibri"/>
        </w:rPr>
      </w:r>
    </w:p>
    <w:tbl>
      <w:tblPr>
        <w:tblW w:w="9214" w:type="dxa"/>
        <w:jc w:val="left"/>
        <w:tblInd w:w="14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75"/>
        <w:gridCol w:w="6855"/>
        <w:gridCol w:w="424"/>
        <w:gridCol w:w="1560"/>
      </w:tblGrid>
      <w:tr>
        <w:trPr>
          <w:trHeight w:val="200" w:hRule="atLeast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numPr>
                <w:ilvl w:val="0"/>
                <w:numId w:val="17"/>
              </w:numPr>
              <w:spacing w:lineRule="auto" w:line="240" w:before="0" w:after="0"/>
              <w:ind w:left="357" w:hanging="357"/>
              <w:contextualSpacing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szCs w:val="22"/>
                <w:lang w:eastAsia="sk-SK"/>
              </w:rPr>
            </w:r>
          </w:p>
        </w:tc>
        <w:tc>
          <w:tcPr>
            <w:tcW w:w="88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before="0" w:after="0"/>
              <w:ind w:left="0" w:hanging="0"/>
              <w:contextualSpacing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numPr>
                <w:ilvl w:val="0"/>
                <w:numId w:val="18"/>
              </w:numPr>
              <w:spacing w:lineRule="auto" w:line="240" w:before="0" w:after="0"/>
              <w:ind w:left="641" w:hanging="284"/>
              <w:contextualSpacing/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Práva zo servisných zmlúv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Práva z poistných zmlúv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Práva z licenčných zmlúv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numPr>
                <w:ilvl w:val="0"/>
                <w:numId w:val="18"/>
              </w:numPr>
              <w:spacing w:lineRule="auto" w:line="240" w:before="0" w:after="0"/>
              <w:ind w:left="641" w:hanging="284"/>
              <w:contextualSpacing/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Poskytnuté záruky za úver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Ručenie za ...............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Neobmedzené ručenie v inej spoločnosti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Žaloba zo strany...........(hrozba súdneho procesu)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  <w:t>UJ predala pohľadávky a ručí za ich vymožiteľnosť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jc w:val="left"/>
              <w:rPr>
                <w:rFonts w:ascii="Calibri" w:hAnsi="Calibri"/>
                <w:b w:val="false"/>
              </w:rPr>
            </w:pPr>
            <w:r>
              <w:rPr>
                <w:rFonts w:ascii="Calibri" w:hAnsi="Calibri"/>
                <w:b w:val="false"/>
              </w:rPr>
            </w:r>
          </w:p>
        </w:tc>
      </w:tr>
    </w:tbl>
    <w:p>
      <w:pPr>
        <w:pStyle w:val="ListParagraph"/>
        <w:spacing w:lineRule="auto" w:line="240" w:before="0" w:after="0"/>
        <w:contextualSpacing/>
        <w:jc w:val="both"/>
        <w:rPr>
          <w:rFonts w:ascii="Calibri" w:hAnsi="Calibri"/>
          <w:bCs/>
          <w:szCs w:val="22"/>
          <w:lang w:eastAsia="sk-SK"/>
        </w:rPr>
      </w:pPr>
      <w:r>
        <w:rPr>
          <w:rFonts w:ascii="Calibri" w:hAnsi="Calibri"/>
          <w:bCs/>
          <w:szCs w:val="22"/>
          <w:lang w:eastAsia="sk-SK"/>
        </w:rPr>
      </w:r>
    </w:p>
    <w:tbl>
      <w:tblPr>
        <w:tblW w:w="9214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"/>
        <w:gridCol w:w="6832"/>
        <w:gridCol w:w="424"/>
        <w:gridCol w:w="1560"/>
      </w:tblGrid>
      <w:tr>
        <w:trPr/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numPr>
                <w:ilvl w:val="0"/>
                <w:numId w:val="17"/>
              </w:numPr>
              <w:spacing w:lineRule="auto" w:line="240" w:before="0" w:after="0"/>
              <w:ind w:left="357" w:hanging="357"/>
              <w:contextualSpacing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szCs w:val="22"/>
                <w:lang w:eastAsia="sk-SK"/>
              </w:rPr>
            </w:r>
          </w:p>
        </w:tc>
        <w:tc>
          <w:tcPr>
            <w:tcW w:w="881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before="0" w:after="0"/>
              <w:ind w:left="0" w:hanging="0"/>
              <w:contextualSpacing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Uzatvorená zmluva o úvere(peniaze ešte neboli poskytnuté)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Zmluvná povinnosť odobrať množstvo produktu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Pripravované generálne  opravy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Pripravované investície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Uzatvorené zmluvy s dodávateľmi o dodávkach v budúcnosti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ListParagraph"/>
        <w:spacing w:lineRule="auto" w:line="240" w:before="0" w:after="0"/>
        <w:ind w:left="357" w:hanging="0"/>
        <w:contextualSpacing/>
        <w:jc w:val="both"/>
        <w:rPr>
          <w:rFonts w:ascii="Calibri" w:hAnsi="Calibri"/>
          <w:bCs/>
          <w:szCs w:val="22"/>
          <w:lang w:eastAsia="sk-SK"/>
        </w:rPr>
      </w:pPr>
      <w:r>
        <w:rPr>
          <w:rFonts w:ascii="Calibri" w:hAnsi="Calibri"/>
          <w:bCs/>
          <w:szCs w:val="22"/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rFonts w:ascii="Calibri" w:hAnsi="Calibri"/>
          <w:bCs/>
          <w:szCs w:val="22"/>
          <w:lang w:eastAsia="sk-SK"/>
        </w:rPr>
      </w:pPr>
      <w:r>
        <w:rPr>
          <w:rFonts w:ascii="Calibri" w:hAnsi="Calibri"/>
          <w:bCs/>
          <w:szCs w:val="22"/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rFonts w:ascii="Calibri" w:hAnsi="Calibri"/>
          <w:bCs/>
          <w:szCs w:val="22"/>
          <w:lang w:eastAsia="sk-SK"/>
        </w:rPr>
      </w:pPr>
      <w:r>
        <w:rPr>
          <w:rFonts w:ascii="Calibri" w:hAnsi="Calibri"/>
          <w:bCs/>
          <w:szCs w:val="22"/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contextualSpacing/>
        <w:jc w:val="both"/>
        <w:rPr>
          <w:rFonts w:ascii="Calibri" w:hAnsi="Calibri"/>
          <w:bCs/>
          <w:szCs w:val="22"/>
          <w:lang w:eastAsia="sk-SK"/>
        </w:rPr>
      </w:pPr>
      <w:r>
        <w:rPr>
          <w:rFonts w:ascii="Calibri" w:hAnsi="Calibri"/>
          <w:bCs/>
          <w:szCs w:val="22"/>
          <w:lang w:eastAsia="sk-SK"/>
        </w:rPr>
      </w:r>
    </w:p>
    <w:tbl>
      <w:tblPr>
        <w:tblW w:w="9214" w:type="dxa"/>
        <w:jc w:val="left"/>
        <w:tblInd w:w="2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"/>
        <w:gridCol w:w="5272"/>
        <w:gridCol w:w="1984"/>
        <w:gridCol w:w="1560"/>
      </w:tblGrid>
      <w:tr>
        <w:trPr/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numPr>
                <w:ilvl w:val="0"/>
                <w:numId w:val="17"/>
              </w:numPr>
              <w:spacing w:lineRule="auto" w:line="240" w:before="0" w:after="0"/>
              <w:ind w:left="357" w:hanging="357"/>
              <w:contextualSpacing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szCs w:val="22"/>
                <w:lang w:eastAsia="sk-SK"/>
              </w:rPr>
            </w:r>
          </w:p>
          <w:p>
            <w:pPr>
              <w:pStyle w:val="ListParagraph"/>
              <w:widowControl w:val="false"/>
              <w:spacing w:lineRule="auto" w:line="240" w:before="0" w:after="0"/>
              <w:ind w:left="108" w:hanging="0"/>
              <w:contextualSpacing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  <w:tc>
          <w:tcPr>
            <w:tcW w:w="881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szCs w:val="22"/>
                <w:lang w:eastAsia="sk-SK"/>
              </w:rPr>
              <w:t>Podsúvahové účty</w:t>
            </w:r>
            <w:r>
              <w:rPr>
                <w:rFonts w:ascii="Calibri" w:hAnsi="Calibri"/>
                <w:bCs/>
                <w:szCs w:val="22"/>
                <w:lang w:eastAsia="sk-SK"/>
              </w:rPr>
              <w:t xml:space="preserve"> - Informácie o významných položkách prenajatého majetku, majetku prijatého do</w:t>
            </w:r>
          </w:p>
          <w:p>
            <w:pPr>
              <w:pStyle w:val="ListParagraph"/>
              <w:widowControl w:val="false"/>
              <w:spacing w:before="0" w:after="0"/>
              <w:ind w:left="0" w:hanging="0"/>
              <w:contextualSpacing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>
        <w:trPr>
          <w:trHeight w:val="340" w:hRule="atLeast"/>
        </w:trPr>
        <w:tc>
          <w:tcPr>
            <w:tcW w:w="5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Účet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5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5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</w:r>
          </w:p>
        </w:tc>
      </w:tr>
    </w:tbl>
    <w:p>
      <w:pPr>
        <w:pStyle w:val="Normal"/>
        <w:rPr>
          <w:rFonts w:ascii="Calibri" w:hAnsi="Calibri"/>
        </w:rPr>
      </w:pPr>
      <w:r>
        <w:rPr>
          <w:rFonts w:ascii="Calibri" w:hAnsi="Calibri"/>
        </w:rPr>
      </w:r>
    </w:p>
    <w:p>
      <w:pPr>
        <w:pStyle w:val="Normal"/>
        <w:rPr>
          <w:rFonts w:ascii="Calibri" w:hAnsi="Calibri"/>
        </w:rPr>
      </w:pPr>
      <w:r>
        <w:rPr>
          <w:rFonts w:ascii="Calibri" w:hAnsi="Calibri"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  <w:t xml:space="preserve"> </w:t>
      </w:r>
      <w:r>
        <w:rPr>
          <w:rFonts w:ascii="Calibri" w:hAnsi="Calibri"/>
          <w:i/>
          <w:szCs w:val="22"/>
        </w:rPr>
        <w:t>Udalosti ,ktoré nastali po dni ,ku ktorému sa zostavuje účtovná závierka </w:t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libri" w:hAnsi="Calibri"/>
          <w:bCs/>
          <w:szCs w:val="22"/>
          <w:lang w:eastAsia="sk-SK"/>
        </w:rPr>
      </w:pPr>
      <w:r>
        <w:rPr>
          <w:rFonts w:ascii="Calibri" w:hAnsi="Calibri"/>
          <w:bCs/>
          <w:szCs w:val="22"/>
          <w:lang w:eastAsia="sk-SK"/>
        </w:rPr>
      </w:r>
    </w:p>
    <w:tbl>
      <w:tblPr>
        <w:tblW w:w="9214" w:type="dxa"/>
        <w:jc w:val="left"/>
        <w:tblInd w:w="14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5529"/>
        <w:gridCol w:w="3402"/>
        <w:gridCol w:w="283"/>
      </w:tblGrid>
      <w:tr>
        <w:trPr>
          <w:trHeight w:val="538" w:hRule="atLeast"/>
        </w:trPr>
        <w:tc>
          <w:tcPr>
            <w:tcW w:w="92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>
              <w:rPr>
                <w:rFonts w:ascii="Calibri" w:hAnsi="Calibri"/>
                <w:bCs/>
                <w:szCs w:val="22"/>
                <w:lang w:eastAsia="sk-SK"/>
              </w:rPr>
              <w:t xml:space="preserve"> do dňa zostavenia účtovnej závierky a ktoré nie sú zohľadnené v súvahe alebo vo výkaze ziskov a strát.</w:t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dôvody pre zmenu výšky rezerv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začatie alebo ukončení činnosti časti ÚJ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</w:tr>
      <w:tr>
        <w:trPr/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1"/>
              </w:numPr>
              <w:spacing w:lineRule="auto" w:line="240" w:before="0" w:after="0"/>
              <w:ind w:left="641" w:hanging="284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641" w:hanging="0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  <w:r>
              <w:rPr>
                <w:rFonts w:ascii="Calibri" w:hAnsi="Calibri"/>
                <w:bCs/>
                <w:szCs w:val="22"/>
                <w:lang w:eastAsia="sk-SK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p>
      <w:pPr>
        <w:pStyle w:val="Normal"/>
        <w:rPr>
          <w:rFonts w:ascii="Calibri" w:hAnsi="Calibri"/>
        </w:rPr>
      </w:pPr>
      <w:r>
        <w:rPr>
          <w:rFonts w:ascii="Calibri" w:hAnsi="Calibri"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  <w:t>Ostatné informácie</w:t>
      </w:r>
    </w:p>
    <w:p>
      <w:pPr>
        <w:pStyle w:val="Normal"/>
        <w:spacing w:before="0" w:after="0"/>
        <w:rPr>
          <w:rFonts w:ascii="Calibri" w:hAnsi="Calibri"/>
        </w:rPr>
      </w:pPr>
      <w:r>
        <w:rPr>
          <w:rFonts w:ascii="Calibri" w:hAnsi="Calibri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357" w:hanging="357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  <w:t>všetkých formách prijatej náhrady,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  <w:t>účtovných zásadách použitých pri prideľovaní nákladov a výnosov,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  <w:t>všetkých druhoch činností účtovnej jednotky.</w:t>
      </w:r>
    </w:p>
    <w:p>
      <w:pPr>
        <w:pStyle w:val="Normal"/>
        <w:spacing w:lineRule="auto" w:line="240" w:before="0" w:after="0"/>
        <w:ind w:left="641" w:hanging="0"/>
        <w:jc w:val="both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357" w:hanging="357"/>
        <w:jc w:val="both"/>
        <w:rPr>
          <w:rFonts w:ascii="Calibri" w:hAnsi="Calibri" w:cs="Arial"/>
          <w:szCs w:val="22"/>
        </w:rPr>
      </w:pPr>
      <w:r>
        <w:rPr>
          <w:rFonts w:ascii="Calibri" w:hAnsi="Calibri"/>
          <w:szCs w:val="22"/>
        </w:rPr>
        <w:t>Informácie  účtovnej jednotky, na ktorú sa vzťahuje</w:t>
      </w:r>
      <w:r>
        <w:rPr>
          <w:rFonts w:cs="Arial" w:ascii="Calibri" w:hAnsi="Calibri"/>
          <w:szCs w:val="22"/>
        </w:rPr>
        <w:t xml:space="preserve"> § 23d ods. 6 zákona</w:t>
      </w:r>
    </w:p>
    <w:p>
      <w:pPr>
        <w:pStyle w:val="Normal"/>
        <w:numPr>
          <w:ilvl w:val="0"/>
          <w:numId w:val="6"/>
        </w:numPr>
        <w:spacing w:lineRule="auto" w:line="240" w:before="0" w:after="0"/>
        <w:ind w:left="357" w:hanging="357"/>
        <w:jc w:val="both"/>
        <w:rPr>
          <w:rFonts w:ascii="Calibri" w:hAnsi="Calibri" w:cs="Arial"/>
          <w:szCs w:val="22"/>
        </w:rPr>
      </w:pPr>
      <w:r>
        <w:rPr>
          <w:rFonts w:ascii="Calibri" w:hAnsi="Calibri"/>
          <w:szCs w:val="22"/>
        </w:rPr>
        <w:t>Informácie  účtovnej jednotky, na ktorú sa vzťahuje</w:t>
      </w:r>
      <w:r>
        <w:rPr>
          <w:rFonts w:cs="Arial" w:ascii="Calibri" w:hAnsi="Calibri"/>
          <w:szCs w:val="22"/>
        </w:rPr>
        <w:t xml:space="preserve"> § 23d ods. 6 zákona</w:t>
      </w:r>
    </w:p>
    <w:p>
      <w:pPr>
        <w:pStyle w:val="Normal"/>
        <w:spacing w:lineRule="auto" w:line="240" w:before="0" w:after="0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p>
      <w:pPr>
        <w:pStyle w:val="Normal"/>
        <w:spacing w:lineRule="auto" w:line="240" w:before="0" w:after="0"/>
        <w:rPr>
          <w:rFonts w:ascii="Calibri" w:hAnsi="Calibri"/>
          <w:szCs w:val="22"/>
        </w:rPr>
      </w:pPr>
      <w:r>
        <w:rPr>
          <w:rFonts w:ascii="Calibri" w:hAnsi="Calibri"/>
          <w:szCs w:val="22"/>
        </w:rPr>
      </w:r>
    </w:p>
    <w:p>
      <w:pPr>
        <w:pStyle w:val="Normal"/>
        <w:spacing w:lineRule="auto" w:line="240" w:before="0" w:after="0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  <w:t>Použité  skratky:</w:t>
      </w:r>
    </w:p>
    <w:p>
      <w:pPr>
        <w:pStyle w:val="Normal"/>
        <w:spacing w:lineRule="auto" w:line="240" w:before="0" w:after="0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  <w:t>ÚJ - účtovná jednotka</w:t>
      </w:r>
    </w:p>
    <w:p>
      <w:pPr>
        <w:pStyle w:val="Normal"/>
        <w:spacing w:lineRule="auto" w:line="240" w:before="0" w:after="0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  <w:t>BO - bežné účtovné obdobie</w:t>
      </w:r>
    </w:p>
    <w:p>
      <w:pPr>
        <w:pStyle w:val="Normal"/>
        <w:spacing w:lineRule="auto" w:line="240" w:before="0" w:after="0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  <w:t>PO - bezprostredne predchádzajúce účtovné obdobie</w:t>
      </w:r>
    </w:p>
    <w:p>
      <w:pPr>
        <w:pStyle w:val="Normal"/>
        <w:spacing w:lineRule="auto" w:line="240" w:before="0" w:after="0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  <w:t>ÚO - účtovné obdobie</w:t>
      </w:r>
    </w:p>
    <w:p>
      <w:pPr>
        <w:pStyle w:val="Normal"/>
        <w:spacing w:lineRule="auto" w:line="240" w:before="0" w:after="0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  <w:t>X - položka sa vzťahuje na účtovnú jednotku</w:t>
      </w:r>
    </w:p>
    <w:p>
      <w:pPr>
        <w:pStyle w:val="Normal"/>
        <w:spacing w:lineRule="auto" w:line="240" w:before="0" w:after="0"/>
        <w:rPr>
          <w:rFonts w:ascii="Calibri" w:hAnsi="Calibri"/>
          <w:i/>
          <w:i/>
          <w:szCs w:val="22"/>
        </w:rPr>
      </w:pPr>
      <w:r>
        <w:rPr>
          <w:rFonts w:ascii="Calibri" w:hAnsi="Calibri"/>
          <w:i/>
          <w:szCs w:val="22"/>
        </w:rPr>
      </w:r>
    </w:p>
    <w:p>
      <w:pPr>
        <w:pStyle w:val="Normal"/>
        <w:spacing w:lineRule="auto" w:line="240" w:before="0" w:after="0"/>
        <w:rPr>
          <w:rFonts w:ascii="Calibri" w:hAnsi="Calibri"/>
          <w:i/>
          <w:i/>
          <w:sz w:val="20"/>
          <w:szCs w:val="22"/>
        </w:rPr>
      </w:pPr>
      <w:r>
        <w:rPr>
          <w:rFonts w:ascii="Calibri" w:hAnsi="Calibri"/>
          <w:i/>
          <w:sz w:val="20"/>
          <w:szCs w:val="22"/>
        </w:rPr>
        <w:t>Uvádzané číselné údaje sú v celých eurách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EUAlbertin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1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  <w:tbl>
    <w:tblPr>
      <w:tblW w:w="8957" w:type="dxa"/>
      <w:jc w:val="left"/>
      <w:tblInd w:w="168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000"/>
    </w:tblPr>
    <w:tblGrid>
      <w:gridCol w:w="2241"/>
      <w:gridCol w:w="1700"/>
      <w:gridCol w:w="2413"/>
      <w:gridCol w:w="446"/>
      <w:gridCol w:w="2157"/>
    </w:tblGrid>
    <w:tr>
      <w:trPr>
        <w:trHeight w:val="326" w:hRule="atLeast"/>
      </w:trPr>
      <w:tc>
        <w:tcPr>
          <w:tcW w:w="2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Zhlavie"/>
            <w:widowControl w:val="false"/>
            <w:rPr>
              <w:rFonts w:ascii="Calibri" w:hAnsi="Calibri"/>
              <w:sz w:val="22"/>
              <w:szCs w:val="36"/>
              <w:lang w:val="sk-SK" w:eastAsia="en-US"/>
            </w:rPr>
          </w:pPr>
          <w:r>
            <w:rPr>
              <w:rFonts w:ascii="Calibri" w:hAnsi="Calibri"/>
              <w:sz w:val="22"/>
              <w:szCs w:val="36"/>
              <w:lang w:val="sk-SK" w:eastAsia="en-US"/>
            </w:rPr>
            <w:t>Poznámky Úč POD 3-01</w:t>
          </w:r>
        </w:p>
      </w:tc>
      <w:tc>
        <w:tcPr>
          <w:tcW w:w="1700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  <w:vAlign w:val="center"/>
        </w:tcPr>
        <w:p>
          <w:pPr>
            <w:pStyle w:val="Normal"/>
            <w:widowControl w:val="false"/>
            <w:spacing w:lineRule="auto" w:line="240" w:before="0" w:after="0"/>
            <w:rPr>
              <w:rFonts w:ascii="Calibri" w:hAnsi="Calibri"/>
            </w:rPr>
          </w:pPr>
          <w:r>
            <w:rPr>
              <w:rFonts w:ascii="Calibri" w:hAnsi="Calibri"/>
            </w:rPr>
          </w:r>
        </w:p>
      </w:tc>
      <w:tc>
        <w:tcPr>
          <w:tcW w:w="241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  <w:vAlign w:val="center"/>
        </w:tcPr>
        <w:p>
          <w:pPr>
            <w:pStyle w:val="Normal"/>
            <w:widowControl w:val="false"/>
            <w:spacing w:lineRule="auto" w:line="240" w:before="0" w:after="0"/>
            <w:rPr>
              <w:rFonts w:ascii="Calibri" w:hAnsi="Calibri"/>
            </w:rPr>
          </w:pPr>
          <w:r>
            <w:rPr>
              <w:rFonts w:ascii="Calibri" w:hAnsi="Calibri"/>
            </w:rPr>
            <w:t>IČO:36708003</w:t>
          </w:r>
        </w:p>
      </w:tc>
      <w:tc>
        <w:tcPr>
          <w:tcW w:w="446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  <w:vAlign w:val="center"/>
        </w:tcPr>
        <w:p>
          <w:pPr>
            <w:pStyle w:val="Normal"/>
            <w:widowControl w:val="false"/>
            <w:spacing w:lineRule="auto" w:line="240" w:before="0" w:after="0"/>
            <w:rPr>
              <w:rFonts w:ascii="Calibri" w:hAnsi="Calibri"/>
            </w:rPr>
          </w:pPr>
          <w:r>
            <w:rPr>
              <w:rFonts w:ascii="Calibri" w:hAnsi="Calibri"/>
            </w:rPr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  <w:vAlign w:val="center"/>
        </w:tcPr>
        <w:p>
          <w:pPr>
            <w:pStyle w:val="Normal"/>
            <w:widowControl w:val="false"/>
            <w:spacing w:lineRule="auto" w:line="240" w:before="0" w:after="0"/>
            <w:rPr>
              <w:rFonts w:ascii="Calibri" w:hAnsi="Calibri"/>
            </w:rPr>
          </w:pPr>
          <w:r>
            <w:rPr>
              <w:rFonts w:ascii="Calibri" w:hAnsi="Calibri"/>
            </w:rPr>
            <w:t>DIČ:2022284451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left"/>
      <w:pPr>
        <w:tabs>
          <w:tab w:val="num" w:pos="0"/>
        </w:tabs>
        <w:ind w:left="284" w:hanging="284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287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359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431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503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575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647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719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791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8630" w:hanging="180"/>
      </w:pPr>
      <w:rPr/>
    </w:lvl>
  </w:abstractNum>
  <w:abstractNum w:abstractNumId="5">
    <w:lvl w:ilvl="0">
      <w:start w:val="1"/>
      <w:numFmt w:val="lowerLetter"/>
      <w:lvlText w:val="%1)"/>
      <w:lvlJc w:val="left"/>
      <w:pPr>
        <w:tabs>
          <w:tab w:val="num" w:pos="0"/>
        </w:tabs>
        <w:ind w:left="4329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5049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5769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6489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7209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7929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8649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9369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10089" w:hanging="180"/>
      </w:pPr>
      <w:rPr/>
    </w:lvl>
  </w:abstractNum>
  <w:abstractNum w:abstractNumId="6"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sz w:val="20"/>
        <w:i w:val="false"/>
        <w:b w:val="false"/>
        <w:szCs w:val="24"/>
        <w:rFonts w:ascii="Times New Roman" w:hAnsi="Times New Roman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7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965" w:hanging="360"/>
      </w:pPr>
      <w:rPr>
        <w:sz w:val="22"/>
        <w:b w:val="false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302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022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742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462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182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902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622" w:hanging="180"/>
      </w:pPr>
      <w:rPr/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/>
    </w:lvl>
  </w:abstractNum>
  <w:abstractNum w:abstractNumId="10"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/>
    </w:lvl>
  </w:abstractNum>
  <w:abstractNum w:abstractNumId="11">
    <w:lvl w:ilvl="0">
      <w:start w:val="2"/>
      <w:numFmt w:val="decimal"/>
      <w:lvlText w:val="%1a."/>
      <w:lvlJc w:val="left"/>
      <w:pPr>
        <w:tabs>
          <w:tab w:val="num" w:pos="0"/>
        </w:tabs>
        <w:ind w:left="1068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2">
    <w:lvl w:ilvl="0">
      <w:start w:val="2"/>
      <w:numFmt w:val="decimal"/>
      <w:lvlText w:val="%1b."/>
      <w:lvlJc w:val="left"/>
      <w:pPr>
        <w:tabs>
          <w:tab w:val="num" w:pos="0"/>
        </w:tabs>
        <w:ind w:left="1068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3">
    <w:lvl w:ilvl="0">
      <w:start w:val="1"/>
      <w:numFmt w:val="decimal"/>
      <w:lvlText w:val="(%1)"/>
      <w:lvlJc w:val="left"/>
      <w:pPr>
        <w:tabs>
          <w:tab w:val="num" w:pos="0"/>
        </w:tabs>
        <w:ind w:left="1637" w:hanging="360"/>
      </w:pPr>
      <w:rPr>
        <w:sz w:val="20"/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/>
    </w:lvl>
  </w:abstractNum>
  <w:abstractNum w:abstractNumId="15"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302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022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742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462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182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902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622" w:hanging="180"/>
      </w:pPr>
      <w:rPr/>
    </w:lvl>
  </w:abstractNum>
  <w:abstractNum w:abstractNumId="16">
    <w:lvl w:ilvl="0">
      <w:start w:val="1"/>
      <w:numFmt w:val="lowerLetter"/>
      <w:lvlText w:val="%1)"/>
      <w:lvlJc w:val="left"/>
      <w:pPr>
        <w:tabs>
          <w:tab w:val="num" w:pos="0"/>
        </w:tabs>
        <w:ind w:left="641" w:hanging="284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77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797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17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37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57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77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397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17" w:hanging="180"/>
      </w:pPr>
      <w:rPr/>
    </w:lvl>
  </w:abstractNum>
  <w:abstractNum w:abstractNumId="17">
    <w:lvl w:ilvl="0">
      <w:start w:val="1"/>
      <w:numFmt w:val="decimal"/>
      <w:lvlText w:val="(%1)"/>
      <w:lvlJc w:val="left"/>
      <w:pPr>
        <w:tabs>
          <w:tab w:val="num" w:pos="0"/>
        </w:tabs>
        <w:ind w:left="468" w:hanging="360"/>
      </w:pPr>
      <w:rPr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188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908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628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348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068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788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508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228" w:hanging="180"/>
      </w:pPr>
      <w:rPr/>
    </w:lvl>
  </w:abstractNum>
  <w:abstractNum w:abstractNumId="18"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/>
    </w:lvl>
  </w:abstractNum>
  <w:abstractNum w:abstractNumId="19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2"/>
        <w:szCs w:val="22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20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</w:numbering>
</file>

<file path=word/settings.xml><?xml version="1.0" encoding="utf-8"?>
<w:settings xmlns:w="http://schemas.openxmlformats.org/wordprocessingml/2006/main">
  <w:zoom w:percent="20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07386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 w:val="24"/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 w:val="24"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uiPriority w:val="99"/>
    <w:semiHidden/>
    <w:qFormat/>
    <w:locked/>
    <w:rsid w:val="00a07386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sid w:val="00a07386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sid w:val="00a07386"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uiPriority w:val="99"/>
    <w:qFormat/>
    <w:locked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sid w:val="00a07386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" w:customStyle="1">
    <w:name w:val="Základný text Char"/>
    <w:uiPriority w:val="99"/>
    <w:semiHidden/>
    <w:qFormat/>
    <w:locked/>
    <w:rsid w:val="00a07386"/>
    <w:rPr>
      <w:rFonts w:cs="Times New Roman"/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sid w:val="00a07386"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uiPriority w:val="11"/>
    <w:qFormat/>
    <w:locked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sid w:val="00a07386"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" w:customStyle="1">
    <w:name w:val="Základný text 2 Char"/>
    <w:link w:val="BodyText2"/>
    <w:uiPriority w:val="99"/>
    <w:semiHidden/>
    <w:qFormat/>
    <w:locked/>
    <w:rsid w:val="00a07386"/>
    <w:rPr>
      <w:rFonts w:cs="Times New Roman"/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sid w:val="00a07386"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link w:val="BodyTextIndent2"/>
    <w:uiPriority w:val="99"/>
    <w:semiHidden/>
    <w:qFormat/>
    <w:locked/>
    <w:rsid w:val="00a07386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sid w:val="00a07386"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link w:val="BodyTextIndent3"/>
    <w:uiPriority w:val="99"/>
    <w:semiHidden/>
    <w:qFormat/>
    <w:locked/>
    <w:rsid w:val="00a07386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sid w:val="00a07386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sid w:val="00a07386"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link w:val="BalloonText"/>
    <w:uiPriority w:val="99"/>
    <w:semiHidden/>
    <w:qFormat/>
    <w:locked/>
    <w:rsid w:val="00a07386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sid w:val="00a07386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sid w:val="00a07386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sid w:val="00a07386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sid w:val="00a07386"/>
    <w:rPr>
      <w:rFonts w:ascii="Tahoma" w:hAnsi="Tahoma" w:cs="Tahoma"/>
      <w:sz w:val="16"/>
      <w:szCs w:val="16"/>
    </w:rPr>
  </w:style>
  <w:style w:type="character" w:styleId="Znakyprepoznmkupodiarou">
    <w:name w:val="Znaky pre poznámku pod čiarou"/>
    <w:uiPriority w:val="99"/>
    <w:qFormat/>
    <w:rsid w:val="00686076"/>
    <w:rPr>
      <w:vertAlign w:val="superscript"/>
    </w:rPr>
  </w:style>
  <w:style w:type="character" w:styleId="Ukotveniepoznmkypodiarou">
    <w:name w:val="Footnote Reference"/>
    <w:rPr>
      <w:vertAlign w:val="superscript"/>
    </w:rPr>
  </w:style>
  <w:style w:type="character" w:styleId="Ra" w:customStyle="1">
    <w:name w:val="ra"/>
    <w:basedOn w:val="DefaultParagraphFont"/>
    <w:qFormat/>
    <w:rsid w:val="000c24c2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sz w:val="36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>
      <w:sz w:val="20"/>
      <w:szCs w:val="20"/>
    </w:rPr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>
      <w:sz w:val="20"/>
      <w:szCs w:val="20"/>
    </w:rPr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sz w:val="20"/>
      <w:szCs w:val="20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 w:val="24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sz w:val="36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sz w:val="36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sz w:val="16"/>
      <w:szCs w:val="16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suppressAutoHyphens w:val="true"/>
      <w:bidi w:val="0"/>
      <w:spacing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710a71"/>
    <w:pPr>
      <w:numPr>
        <w:ilvl w:val="0"/>
        <w:numId w:val="2"/>
      </w:numPr>
    </w:pPr>
    <w:rPr>
      <w:bCs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C3E0AB-7E8B-467B-80D6-81F79C1347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Application>LibreOffice/7.5.0.3$Windows_X86_64 LibreOffice_project/c21113d003cd3efa8c53188764377a8272d9d6de</Application>
  <AppVersion>15.0000</AppVersion>
  <Pages>9</Pages>
  <Words>2286</Words>
  <Characters>13739</Characters>
  <CharactersWithSpaces>15726</CharactersWithSpaces>
  <Paragraphs>297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2019-07-01T15:23:00Z</dcterms:created>
  <dc:creator>EK</dc:creator>
  <dc:description/>
  <dc:language>sk-SK</dc:language>
  <cp:lastModifiedBy/>
  <cp:lastPrinted>2023-06-30T15:56:28Z</cp:lastPrinted>
  <dcterms:modified xsi:type="dcterms:W3CDTF">2024-06-30T16:46:30Z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