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7584AD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</w:t>
      </w:r>
      <w:bookmarkStart w:id="0" w:name="_GoBack"/>
      <w:bookmarkEnd w:id="0"/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- 01 IČO 52937437 DIČ 2121184637 </w:t>
      </w:r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319"/>
        <w:gridCol w:w="899"/>
        <w:gridCol w:w="3884"/>
      </w:tblGrid>
      <w:tr w14:paraId="0ABC9592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auto" w:sz="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4879FF0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Článok I </w:t>
            </w:r>
          </w:p>
          <w:p w14:paraId="56CB4493">
            <w:pPr>
              <w:spacing w:before="100" w:beforeAutospacing="1" w:after="100" w:afterAutospacing="1"/>
              <w:rPr>
                <w:rFonts w:hint="default" w:ascii="CIDFont+F2" w:hAnsi="CIDFont+F2" w:eastAsia="Times New Roman" w:cs="Times New Roman"/>
                <w:lang w:val="en-US" w:eastAsia="sk-SK"/>
              </w:rPr>
            </w:pPr>
            <w:r>
              <w:rPr>
                <w:rFonts w:ascii="CIDFont+F2" w:hAnsi="CIDFont+F2" w:eastAsia="Times New Roman" w:cs="Times New Roman"/>
                <w:lang w:eastAsia="sk-SK"/>
              </w:rPr>
              <w:t>POZNÁMKY k účtovnej závierke mikro účtovnej jednotky k 31.12.202</w:t>
            </w:r>
            <w:r>
              <w:rPr>
                <w:rFonts w:hint="default" w:ascii="CIDFont+F2" w:hAnsi="CIDFont+F2" w:eastAsia="Times New Roman" w:cs="Times New Roman"/>
                <w:lang w:val="en-US" w:eastAsia="sk-SK"/>
              </w:rPr>
              <w:t>3</w:t>
            </w:r>
          </w:p>
          <w:p w14:paraId="7153CBC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lang w:eastAsia="sk-SK"/>
              </w:rPr>
              <w:t xml:space="preserve"> 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Všeobecné údaje </w:t>
            </w:r>
          </w:p>
          <w:p w14:paraId="62A5A7CA">
            <w:pPr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lang w:eastAsia="sk-SK"/>
              </w:rPr>
              <w:fldChar w:fldCharType="begin"/>
            </w:r>
            <w:r>
              <w:rPr>
                <w:rFonts w:ascii="Times New Roman" w:hAnsi="Times New Roman" w:eastAsia="Times New Roman" w:cs="Times New Roman"/>
                <w:lang w:eastAsia="sk-SK"/>
              </w:rPr>
              <w:instrText xml:space="preserve"> INCLUDEPICTURE "C:\\var\\folders\\sg\\vl4mv1wn3857n76rdpsrfp_c0000gn\\T\\com.microsoft.Word\\WebArchiveCopyPasteTempFiles\\page1image4389696" \* MERGEFORMAT </w:instrText>
            </w:r>
            <w:r>
              <w:rPr>
                <w:rFonts w:ascii="Times New Roman" w:hAnsi="Times New Roman" w:eastAsia="Times New Roman" w:cs="Times New Roman"/>
                <w:lang w:eastAsia="sk-SK"/>
              </w:rPr>
              <w:fldChar w:fldCharType="separate"/>
            </w:r>
            <w:r>
              <w:rPr>
                <w:rFonts w:ascii="Times New Roman" w:hAnsi="Times New Roman" w:eastAsia="Times New Roman" w:cs="Times New Roman"/>
                <w:lang w:eastAsia="sk-SK"/>
              </w:rPr>
              <w:drawing>
                <wp:inline distT="0" distB="0" distL="0" distR="0">
                  <wp:extent cx="558800" cy="12700"/>
                  <wp:effectExtent l="0" t="0" r="0" b="0"/>
                  <wp:docPr id="20" name="Obrázok 20" descr="page1image43896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Obrázok 20" descr="page1image43896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88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 w:eastAsia="Times New Roman" w:cs="Times New Roman"/>
                <w:lang w:eastAsia="sk-SK"/>
              </w:rPr>
              <w:fldChar w:fldCharType="end"/>
            </w:r>
          </w:p>
          <w:p w14:paraId="46589439">
            <w:pPr>
              <w:numPr>
                <w:ilvl w:val="0"/>
                <w:numId w:val="1"/>
              </w:num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Názov a sídlo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Obchodné meno (názov) účtovnej jednotky</w:t>
            </w:r>
            <w:r>
              <w:rPr>
                <w:rFonts w:hint="default" w:ascii="CIDFont+F2" w:hAnsi="CIDFont+F2" w:eastAsia="Times New Roman" w:cs="Times New Roman"/>
                <w:sz w:val="22"/>
                <w:szCs w:val="22"/>
                <w:lang w:val="en-US" w:eastAsia="sk-SK"/>
              </w:rPr>
              <w:t>: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Physiopet, s. r. o. </w:t>
            </w:r>
          </w:p>
          <w:p w14:paraId="0296A628">
            <w:pPr>
              <w:spacing w:before="100" w:beforeAutospacing="1" w:after="100" w:afterAutospacing="1"/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Sídlo účtovnej jednotky </w:t>
            </w:r>
          </w:p>
          <w:p w14:paraId="3D1295E1">
            <w:pPr>
              <w:spacing w:before="100" w:beforeAutospacing="1" w:after="100" w:afterAutospacing="1"/>
              <w:ind w:left="110" w:hanging="110" w:hangingChars="50"/>
              <w:rPr>
                <w:rFonts w:hint="default" w:ascii="CIDFont+F1" w:hAnsi="CIDFont+F1" w:eastAsia="Times New Roman" w:cs="Times New Roman"/>
                <w:sz w:val="22"/>
                <w:szCs w:val="22"/>
                <w:lang w:val="en-US"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Ulica a číslo</w:t>
            </w:r>
            <w:r>
              <w:rPr>
                <w:rFonts w:hint="default" w:ascii="CIDFont+F2" w:hAnsi="CIDFont+F2" w:eastAsia="Times New Roman" w:cs="Times New Roman"/>
                <w:sz w:val="22"/>
                <w:szCs w:val="22"/>
                <w:lang w:val="en-US" w:eastAsia="sk-SK"/>
              </w:rPr>
              <w:t>: Dunajský Klátov 456</w:t>
            </w:r>
          </w:p>
          <w:p w14:paraId="1BE23191">
            <w:pPr>
              <w:spacing w:before="100" w:beforeAutospacing="1" w:after="100" w:afterAutospacing="1"/>
              <w:ind w:left="110" w:hanging="110" w:hangingChars="5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PSČ Názov obce</w:t>
            </w:r>
            <w:r>
              <w:rPr>
                <w:rFonts w:hint="default" w:ascii="CIDFont+F2" w:hAnsi="CIDFont+F2" w:eastAsia="Times New Roman" w:cs="Times New Roman"/>
                <w:sz w:val="22"/>
                <w:szCs w:val="22"/>
                <w:lang w:val="en-US" w:eastAsia="sk-SK"/>
              </w:rPr>
              <w:t>: 930 21 Dunajský Klátov</w:t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 </w:t>
            </w:r>
          </w:p>
          <w:p w14:paraId="00C19D1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IČO DIČ </w:t>
            </w:r>
          </w:p>
          <w:p w14:paraId="19B9D96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52937437 2121184637 </w:t>
            </w:r>
          </w:p>
          <w:p w14:paraId="37ABE11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(2) Údaje o konsolidovanom celku </w:t>
            </w:r>
          </w:p>
          <w:p w14:paraId="3573C27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a) Obchodné meno a sídlo konsolidujúcej účtovnej jednotky, ktorá zostavuje konsolidovanú účtovnú závierku za tú skupinu účtovných jednotiek konsolidovaného celku, ktorého súčasťou je aj účtovná jednotka </w:t>
            </w:r>
          </w:p>
          <w:p w14:paraId="3F476CD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Obchodné meno a sídlo ÚJ, ktorá je bezprostredne konsolidujúcou účtovnou jednotkou </w:t>
            </w:r>
          </w:p>
          <w:p w14:paraId="34A80AD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>Obchodné meno: Sídlo:</w:t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>Ulica</w:t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Obec </w:t>
            </w:r>
          </w:p>
          <w:p w14:paraId="504DE47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PSC Štát IČO: </w:t>
            </w:r>
          </w:p>
          <w:p w14:paraId="0D2E89D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b) Informácie o oslobodení od zostavenia konsolidovanej účtovnej závierky </w:t>
            </w:r>
          </w:p>
          <w:p w14:paraId="17D98AA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Názov a sídlo dcérskych účtovných jednotiek </w:t>
            </w:r>
          </w:p>
        </w:tc>
      </w:tr>
      <w:tr w14:paraId="48C9F42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70E6B68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dcérskej účtovnej jednotky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56F2DB5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Sídlo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53DC902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Ostatné dôležité skutočnosti </w:t>
            </w:r>
          </w:p>
        </w:tc>
      </w:tr>
      <w:tr w14:paraId="16D55CD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2CC590B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EC5A621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4267C96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710C28E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EE8FBEA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712B15A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EC2D15A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0847675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4CD9AB6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118B290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0980C97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361F86D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311368D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F2AB4AF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C2E0416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06838DF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40DB41D8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46DEA6C1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06AC493F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6684C3E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 w14:paraId="2A910A7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(3) Priemerný prepočítaný počet zamestnancov účtovnej jednotky </w:t>
            </w:r>
          </w:p>
        </w:tc>
      </w:tr>
    </w:tbl>
    <w:p w14:paraId="3047E0F0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1 </w:t>
      </w:r>
    </w:p>
    <w:p w14:paraId="61446B0E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076"/>
        <w:gridCol w:w="1838"/>
        <w:gridCol w:w="3188"/>
      </w:tblGrid>
      <w:tr w14:paraId="63DFD3DB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36D7DC2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položky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1B5AF81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Bežné účtovné obdobie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11BD976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Bezprostredne predchádzajúc e obdobie </w:t>
            </w:r>
          </w:p>
        </w:tc>
      </w:tr>
      <w:tr w14:paraId="4E858DF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00CA76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Priemerný prepočítaný počet zamestnancov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3BF905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AED3AC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556FA05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5CDFC0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Stav zamestnancov ku dňu zostavenia závierky, z toho: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C9E20C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844A73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353F24F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3DB332C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počet vedúcich zamestnancov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3813248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2BF4779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20952F6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 w14:paraId="6DA749E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Článok II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(1) Predpoklad nepretržitého pokračovania v činnosti </w:t>
            </w:r>
          </w:p>
          <w:p w14:paraId="35FAA0A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Účtovná závierka bola zostavená za predpokladu nepretržitého trvania spoločnosti. </w:t>
            </w:r>
          </w:p>
          <w:p w14:paraId="73D119D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(2) Spôsob oceňovania jednotlivých zložiek majetku a záväzkov a) Oceňovanie dlhodobého nehmotného majetku </w:t>
            </w:r>
          </w:p>
          <w:p w14:paraId="4981ADA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Oceňovanie nakúpeného dlhodobého nehmotného majetku </w:t>
            </w:r>
          </w:p>
          <w:p w14:paraId="5ADB9DB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>* tieto účtovné prípady sa v bežnom účtovnom období nevyskytli</w:t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Oceňovanie dlhodobého nehmotného majetku obstaraného vlastnou činnosťou </w:t>
            </w:r>
          </w:p>
          <w:p w14:paraId="48497B8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* tieto účtovné prípady sa v bežnom účtovnom období nevyskytli Oceňovanie dlhodobého nehmotného majetku obstaraného iným spôsobom </w:t>
            </w:r>
          </w:p>
          <w:p w14:paraId="45DE9DB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* tieto účtovné prípady sa v bežnom účtovnom období nevyskytli </w:t>
            </w:r>
          </w:p>
          <w:p w14:paraId="7EF146A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a) Oceňovanie dlhodobého hmotného majetku </w:t>
            </w:r>
          </w:p>
          <w:p w14:paraId="1CB6B60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Oceňovanie nakúpeného dlhodobého hmotného majetku </w:t>
            </w:r>
          </w:p>
          <w:p w14:paraId="0C307D7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Oceňovanie dlhodobého hmotného majetku obstaraného vlastnou činnosťou </w:t>
            </w:r>
          </w:p>
          <w:p w14:paraId="2F88CB16">
            <w:pPr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Informácie o prijatých postupoch </w:t>
            </w:r>
          </w:p>
          <w:p w14:paraId="20A29271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</w:tr>
    </w:tbl>
    <w:p w14:paraId="61882A83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2 </w:t>
      </w:r>
    </w:p>
    <w:p w14:paraId="13030501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p w14:paraId="003D98C2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tieto účtovné prípady sa v bežnom účtovnom období nevyskytli Oceňovanie dlhodobého hmotného majetku obstaraného iným spôsobom </w:t>
      </w:r>
    </w:p>
    <w:p w14:paraId="7CD970E9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tieto účtovné prípady sa v bežnom účtovnom období nevyskytli </w:t>
      </w:r>
    </w:p>
    <w:p w14:paraId="3411B46C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a) Oceňovanie dlhodobého finančného majetku </w:t>
      </w:r>
    </w:p>
    <w:p w14:paraId="464E4DA3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Účtovná jednotka oceňovala dlhodobý finančný majetok </w:t>
      </w:r>
    </w:p>
    <w:p w14:paraId="18F09876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b) Oceňovanie zásob </w:t>
      </w:r>
    </w:p>
    <w:p w14:paraId="5199E2E6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>Oceňovanie zásob obstaraných kúpou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* Zásoby obstarané kúpou účtovná jednotka oceňovala obstarávacou cenou, ktorá zahrňuje cenu obstarania a náklady súvisiace s obstaraním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Oceňovanie zásob vytvorených vlastnou činnosťou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Účtovná jednotka oceňovala zásoby obstarané vlastnou činnosťou vlastnými nákladmi v zložení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* priame náklady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Pri vyskladnení zásob sa používala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* metóda váženého aritmetického priemeru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tieto účtovné prípady sa v bežnom účtovnom období nevyskytli </w:t>
      </w:r>
    </w:p>
    <w:p w14:paraId="75D852F0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c) Oceňovanie pohľadávok </w:t>
      </w:r>
    </w:p>
    <w:p w14:paraId="4F541C3D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Pohľadávky sa pri ich vzniku oceňovali nominálnou hodnotou </w:t>
      </w:r>
    </w:p>
    <w:p w14:paraId="573E76B3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d) Oceňovanie krátkodobého finančného majetku </w:t>
      </w:r>
    </w:p>
    <w:p w14:paraId="6A69EF89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Krátkodobý finančný majetok sa oceňoval nominálnou hodnotou </w:t>
      </w:r>
    </w:p>
    <w:p w14:paraId="7B1D2720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e) Oceňovanie záväzkov, vrátane rezerv, dlhopisov, pôžičiek a úverov </w:t>
      </w:r>
    </w:p>
    <w:p w14:paraId="64D1EE65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>* Rezervy sa oceňovali v očakávanej výške záväzkov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Záväzky sa pri ich vzniku oceňovali nominálnou hodnotou </w:t>
      </w:r>
    </w:p>
    <w:p w14:paraId="4BFF3614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>* Pôžičky sa oceňovali nominálnou hodnotou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Dlhopisy sa oceňovali nominálnou hodnotou </w:t>
      </w:r>
    </w:p>
    <w:p w14:paraId="25FD20BF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* Úvery sa oceňovali nominálnou hodnotou </w:t>
      </w:r>
    </w:p>
    <w:p w14:paraId="0B793AFB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 xml:space="preserve">(3) Spôsob zostavenia odpisového plánu pre dlhodobý majetok </w:t>
      </w:r>
    </w:p>
    <w:p w14:paraId="24E5CA2D">
      <w:pPr>
        <w:shd w:val="clear" w:color="auto" w:fill="FFFFFF"/>
        <w:spacing w:before="100" w:beforeAutospacing="1" w:after="100" w:afterAutospacing="1"/>
        <w:rPr>
          <w:rFonts w:hint="default" w:ascii="Times New Roman" w:hAnsi="Times New Roman" w:eastAsia="Times New Roman" w:cs="Times New Roman"/>
          <w:lang w:val="en-US"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>Spôsob odpisovania dlhodobého majetku</w:t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>* Odpisový plán účtovných odpisov dlhodobého majetku zostavila účtovná jednotka v interných smerniciah, kde vychádza z predpokladaného opotrebenia zaraďovaného majetku zodpovedajeho bežným podmienkam jeho používania - účtovné a daňové odpisy sa nerovna</w:t>
      </w:r>
      <w:r>
        <w:rPr>
          <w:rFonts w:hint="default" w:ascii="CIDFont+F1" w:hAnsi="CIDFont+F1" w:eastAsia="Times New Roman" w:cs="Times New Roman"/>
          <w:sz w:val="22"/>
          <w:szCs w:val="22"/>
          <w:lang w:val="en-US" w:eastAsia="sk-SK"/>
        </w:rPr>
        <w:t>jú.</w:t>
      </w:r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758"/>
        <w:gridCol w:w="1275"/>
        <w:gridCol w:w="1465"/>
        <w:gridCol w:w="3604"/>
      </w:tblGrid>
      <w:tr w14:paraId="5681F5F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auto" w:sz="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CD14A6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Tvorba odpisového plánu pre jednotlivé druhy dlhodobého majetku </w:t>
            </w:r>
          </w:p>
        </w:tc>
      </w:tr>
      <w:tr w14:paraId="00D9823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67DB45F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Druh dlhodobého majetku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4E22084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Doba odpisova nia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485FC3D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Ročná odpisová sadzba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AF4154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Metóda odpisovania </w:t>
            </w:r>
          </w:p>
        </w:tc>
      </w:tr>
      <w:tr w14:paraId="602AA17B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939721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Aktivované náklady na vývoj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717B6B5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338A7DE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4C5022B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7A485A4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DCDE78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Softvér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7C74498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97FFC59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5FE4058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551A042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7B8908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Oceniteľné práva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946A497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E1A088D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89C68E4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6B99EC7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A12F87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Goodwill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A8E9F24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15378DA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CE2347D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57CB0579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9B21B8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Ostatný dlhodobý nehmotný majetok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61550D9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C8AB552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4D1B0C9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25D3BC7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6CC3CB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Stavby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6AB4861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679B63C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478024E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48D1831C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3603DB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Samostatné hnuteľné veci a súbory hnuteľných vecí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77743D1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59A91DB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EF71BC5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009AF23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8E1C1E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Základné stádo a ťažné zvieratá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A560BD7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C1ACA3B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7304BC2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364E400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2B5B631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Ostatný dlhodobý hmotný majetok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62550E7B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4E357868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6664C2EF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0945946B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35BB3CF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(4) Významné zmeny účtovných zásad a účtovných metód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Zmeny účtovných zásad a metód s uvedením dôvodu ich uplatnenia a ich vplyvu na hodnotu majetku, záväzkov, vlastného imania a výsledku hospodárenia účtovnej jednotky </w:t>
            </w:r>
          </w:p>
        </w:tc>
      </w:tr>
      <w:tr w14:paraId="0B462D0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29D7B8F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Druh zmeny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1610A3F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Dôvod zmeny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385DB59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Vplyv na hodnotu zložky majetku a záväzky </w:t>
            </w:r>
          </w:p>
        </w:tc>
      </w:tr>
      <w:tr w14:paraId="5133B162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DD43B5B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2C2C72A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5D5B557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3B9A0F67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0F400B5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95F3FFE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2F3F69C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789C2E15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882695A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C8CB919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5E61298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3AA4391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2543BA6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B704ED2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CEC40D2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7569BC16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3DE985E5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0F6D8E81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50568CA1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2FC2632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14CF693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(5) Informácie o poskytnutých dotáciách </w:t>
            </w:r>
          </w:p>
        </w:tc>
      </w:tr>
      <w:tr w14:paraId="30EBB637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267771B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Majetok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6A184C2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Spôsob ocenenia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5D50241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Výška dotácie </w:t>
            </w:r>
          </w:p>
        </w:tc>
      </w:tr>
      <w:tr w14:paraId="4244A25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513839D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BC8B501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4DEC13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3C4DA5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67E06E2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35D9008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548CCF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342F362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3624884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242C436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E4725B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9F56D37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69C2D21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068E487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F78D7A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46CB43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65D32E4F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7B0D0B4F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4A29D57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75F0C9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1E12DEB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(6) Opravy významných chýb minulých účtovných období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Opravy významných chýb minulých účtovných období účtovaných v bežnom účt. období s uvedením sumy vplyvu na nerozdelený zisk alebo neuhradenú stratu minulých rokov </w:t>
            </w:r>
          </w:p>
        </w:tc>
      </w:tr>
      <w:tr w14:paraId="725698F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1142C6F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Druh chyby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507CC27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vplyvu na nerozdelený zisk /neuhradenú stratu minulých období </w:t>
            </w:r>
          </w:p>
        </w:tc>
      </w:tr>
      <w:tr w14:paraId="79128A8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0E5C800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3295850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6568952C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0351061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EC8994B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7242E79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055E3A7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18568B5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1D002CE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698C6D5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BFA9EF1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1E76C35C">
        <w:tblPrEx>
          <w:shd w:val="clear" w:color="auto" w:fill="FFFFFF"/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07186728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14BA5E1F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  <w:tr w14:paraId="4D55FDC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 w14:paraId="26E72A59">
            <w:pPr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CD24F0B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4 </w:t>
      </w:r>
    </w:p>
    <w:p w14:paraId="6BB69570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06"/>
        <w:gridCol w:w="3040"/>
        <w:gridCol w:w="1063"/>
        <w:gridCol w:w="1063"/>
        <w:gridCol w:w="2830"/>
      </w:tblGrid>
      <w:tr w14:paraId="6B91426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auto" w:sz="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43F87E5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Článok III </w:t>
            </w:r>
          </w:p>
          <w:p w14:paraId="7B96076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Informácie, ktoré vysvetľujú a dopĺňajú súvahu a výkaz ziskov a strát </w:t>
            </w:r>
          </w:p>
          <w:p w14:paraId="133B625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(1) Informácie o položkách nákladov alebo výnosov výnimočného rozsahu alebo výskytu </w:t>
            </w:r>
          </w:p>
          <w:p w14:paraId="6E12AB5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Informácie o nákladoch, ktoré majú výnimočný charakter alebo rozsah </w:t>
            </w:r>
          </w:p>
        </w:tc>
      </w:tr>
      <w:tr w14:paraId="53C47ACE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2891EEF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Dôvod vzniku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30B6A26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 w14:paraId="27E993BB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F0C42DE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674E37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783F2692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1D70A43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4FFDFF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021F636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BF24457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A70A9F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3BD66A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D87327F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0548AB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210E4EC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5FBBBFD4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0B3E854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8BD73F0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047D338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Informácie o výnosoch, ktoré majú výnimočný charakter alebo rozsah </w:t>
            </w:r>
          </w:p>
        </w:tc>
      </w:tr>
      <w:tr w14:paraId="45EA77FC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19F9295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Dôvod vzniku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5AF80BD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 w14:paraId="514FA74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D96BC0D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C11601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2239338B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1CBC37C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5CA93A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672A3E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7B8C00A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2A9F5E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024473A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C0B11F9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2E6C60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7A2274B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6AE15050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7D0F0B9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03803FBE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0BC385C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(2) Informácie o záväzkoch </w:t>
            </w:r>
          </w:p>
          <w:p w14:paraId="7CE0BE6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a) Informácie o celkovej sume záväzkoch so zostatkovou dobou splatnosti dlhšou ako päť rokov </w:t>
            </w:r>
          </w:p>
        </w:tc>
      </w:tr>
      <w:tr w14:paraId="2DD7A84D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38945ED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položky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5C58C66C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 w14:paraId="47E8926F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2485913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Celková suma záväzkov so zostatkovou dobou splatnosti dlhšou ako päť rokov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60FFE0E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3075F0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1D5D42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b) Informácie o celkovej sume zabezpečených záväzkov, opis a spôsoby zabezpečenia záväzkov </w:t>
            </w:r>
          </w:p>
        </w:tc>
      </w:tr>
      <w:tr w14:paraId="037702C6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169C5A5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Záväzky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359F6A7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Hodnota za bežné účtovné obdobie </w:t>
            </w:r>
          </w:p>
        </w:tc>
      </w:tr>
      <w:tr w14:paraId="3336652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0C0A08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Záväzky, na ktoré boli zabezpečené záložné práva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A03F3B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6B367C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9E2DE2C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Záväzky, na ktoré boli zabezpečené obmedzené práva s nimi nakladať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8CD089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3C2697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DE5BF23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AF466A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DE9C79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582BFED7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6393E9B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59F580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4576FF4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Celková suma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5D06F68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333A569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12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31E9F4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(3) Informácie o vlastných akciách Dôvod nadobudnutia vlastných akcií: </w:t>
            </w:r>
          </w:p>
          <w:p w14:paraId="1410D8B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Informácie o počte, menovitej hodnote nadobudnutých vlastných akcií počas účtovného obdobia a hodnote, za ktorú </w:t>
            </w:r>
          </w:p>
        </w:tc>
      </w:tr>
      <w:tr w14:paraId="17E51C4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B6A91E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sa nadobudli </w:t>
            </w:r>
          </w:p>
        </w:tc>
      </w:tr>
      <w:tr w14:paraId="617F390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4A54A8B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Počet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2619EF9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Menovitá hodnota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011EE22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Hodnota, za ktorú sa akcie nadobudli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E79225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% podiel na základnom imaní </w:t>
            </w:r>
          </w:p>
        </w:tc>
      </w:tr>
      <w:tr w14:paraId="63A80AE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3EB114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E1D446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37242B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41DA04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4AE11490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8EF187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C4563B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861739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649675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06AED07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AE7D59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D26169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686724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A0E61F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3E6680C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7D14D30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6E47F51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400351F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40606A3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1250DCA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5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 w14:paraId="2711BC0E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</w:tr>
    </w:tbl>
    <w:p w14:paraId="3E6C6B3E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5 </w:t>
      </w:r>
    </w:p>
    <w:p w14:paraId="30D91937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62"/>
        <w:gridCol w:w="2833"/>
        <w:gridCol w:w="2475"/>
        <w:gridCol w:w="515"/>
        <w:gridCol w:w="514"/>
        <w:gridCol w:w="1703"/>
      </w:tblGrid>
      <w:tr w14:paraId="41BC4A3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6"/>
            <w:tcBorders>
              <w:top w:val="single" w:color="auto" w:sz="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1853AE0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Informácie o počte a menovitej hodnote vlastných akcií prevedených počas účtovného obdobia na inú osobu a hodnote, za ktorú sa previedli na inú osobu </w:t>
            </w:r>
          </w:p>
        </w:tc>
      </w:tr>
      <w:tr w14:paraId="0B6F62B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3842F7D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Počet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620792C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Menovitá hodnota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3A10CF0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Hodnota, za ktorú sa akcie previedli na inú osobu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19AFEAA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% podiel na základnom imaní </w:t>
            </w:r>
          </w:p>
        </w:tc>
      </w:tr>
      <w:tr w14:paraId="2E1A714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E89098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538D49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3C448E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BDFAC2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6EE6707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83A20C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AD5669C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F9F605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CA97C9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7F35AAB6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BE9120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914803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81B29A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93E20B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48A867CF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243169B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084C64D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10D8E1A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331D05B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37DB5F9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6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72AB5B2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Informácie o počte, menovitej hodnote a hodnote, za ktorú sa vlastné akcie nadobudli a ktoré má účtovná jednotka v držbe k poslednému dňu účtovného obdobia </w:t>
            </w:r>
          </w:p>
        </w:tc>
      </w:tr>
      <w:tr w14:paraId="3C5ABFF0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0AF8D84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Počet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39D6DD9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Menovitá hodnota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4D48D8A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Hodnota, za ktorú sa akcie nadobudli </w:t>
            </w:r>
          </w:p>
        </w:tc>
        <w:tc>
          <w:tcPr>
            <w:tcW w:w="0" w:type="auto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07F590E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% podiel na základnom imaní </w:t>
            </w:r>
          </w:p>
        </w:tc>
      </w:tr>
      <w:tr w14:paraId="70E98C3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C031F6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F86542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F6951B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AF86D9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2B3422B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E7B6FC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7D8E39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C64349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D67C0F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49F0383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F8775C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F3472D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B039D1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FD04FE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1D13767E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6AAE8D1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627C694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78909BE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5A06BD2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0,00 </w:t>
            </w:r>
          </w:p>
        </w:tc>
      </w:tr>
      <w:tr w14:paraId="3B437149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6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BF17DA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(4) Informácie o vytvorení kapitálového fondu z príspevkov </w:t>
            </w:r>
          </w:p>
          <w:p w14:paraId="297AF12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Informácie, či účtovná jednotka vytvorila kapitálový fond z príspevkov podľa § 123 ods. 2 a § 217a Obchodného zákonníka </w:t>
            </w:r>
          </w:p>
          <w:p w14:paraId="7E4C465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(5) Informácie o orgánoch účtovnej jednotky </w:t>
            </w:r>
          </w:p>
          <w:p w14:paraId="6D60CEE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a) Informácie o poskytnutých zárukách alebo inom zabezpečení pre členov orgánov </w:t>
            </w:r>
          </w:p>
          <w:p w14:paraId="18FCE5A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Záruky alebo iné zabezpečenia poskytnuté členom orgánov účtovnej jednotky </w:t>
            </w:r>
          </w:p>
          <w:p w14:paraId="5153C1E7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</w:tr>
      <w:tr w14:paraId="315937F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0F41D0B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4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FD777E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Výška záruky/zabezpečenia pre členov orgánov </w:t>
            </w:r>
          </w:p>
        </w:tc>
      </w:tr>
      <w:tr w14:paraId="30B5A896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3750329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Druh záruky / zabezpečenia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1FD21C8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štatutárnych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585F151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dozorných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1C695F9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iných </w:t>
            </w:r>
          </w:p>
        </w:tc>
      </w:tr>
      <w:tr w14:paraId="33A21A0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22AAC97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E6667C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DA813CC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40DB50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328E72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A91A71C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C89906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28AA05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1A0243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06F8430C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2F9CF67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0CE1DC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6628AD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8AD92E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0ECF1406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43CB5E2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97F59E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F1DB26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8FB503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34B618CC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2CEFF54D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761AD9E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4B49E39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62BD7D3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7CB54DE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6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1B5171CC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b) Informácie o pôžičkách poskytnutých členom orgánov </w:t>
            </w:r>
          </w:p>
          <w:p w14:paraId="3F682F7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Pôžičky poskytnuté členom orgánov účtovnej jednotky </w:t>
            </w:r>
          </w:p>
        </w:tc>
      </w:tr>
      <w:tr w14:paraId="625EEAA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96B4D89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4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2DFE66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Celková suma pôžičiek k poslednému dňu účt. obd. v členení podľa orgánov </w:t>
            </w:r>
          </w:p>
        </w:tc>
      </w:tr>
      <w:tr w14:paraId="71368E19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01E12EF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položky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5936C11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štatutárnych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00948DE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dozorných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3ADAE9C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iných </w:t>
            </w:r>
          </w:p>
        </w:tc>
      </w:tr>
      <w:tr w14:paraId="5BDECC76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A211E9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Poskytnuté pôžičky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55871B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C9890A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2ABCD3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983F3F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A42AD0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Splatené pôžičky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60BAA4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CFC68F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D7C709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5522B39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C3E106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Odpustené pôžičky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781A04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B42615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FCF1E9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51F793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26C9469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Odpísané pôžičky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771CAAB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6E9BB55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20DC1F0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73CF6A4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6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 w14:paraId="053C17E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c) Informácie o hlavných podmienkach, na základe ktorých boli záruky poskytnuté </w:t>
            </w:r>
          </w:p>
          <w:p w14:paraId="5CF0926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Hlavné podmienky, na základe ktorých boli záruky, iné zabezpečenie a pôžičky poskytnuté </w:t>
            </w:r>
          </w:p>
          <w:p w14:paraId="389FAA89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</w:tr>
    </w:tbl>
    <w:p w14:paraId="54D6E971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6 </w:t>
      </w:r>
    </w:p>
    <w:p w14:paraId="58B69634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tbl>
      <w:tblPr>
        <w:tblStyle w:val="3"/>
        <w:tblW w:w="0" w:type="auto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31"/>
        <w:gridCol w:w="2134"/>
        <w:gridCol w:w="1789"/>
        <w:gridCol w:w="2048"/>
      </w:tblGrid>
      <w:tr w14:paraId="1F9E3D1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auto" w:sz="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16B686A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d) Informácie o celkovej sume použitých finančných prostriedkov alebo iného plnenia na súkromné účely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Finančné prostriedky alebo iné plnenia použité na súkromné účely orgánmi účtovnej jednotky, ktoré sa vyúčtovávajú </w:t>
            </w:r>
          </w:p>
        </w:tc>
      </w:tr>
      <w:tr w14:paraId="540FF78A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D8F09A4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gridSpan w:val="3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4F4536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Celková suma podľa orgánov účtovnej jednotky </w:t>
            </w:r>
          </w:p>
        </w:tc>
      </w:tr>
      <w:tr w14:paraId="7B52FA36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5340E52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položky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432765F7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štatutárnych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125C4F8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dozorných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6A89F85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iných </w:t>
            </w:r>
          </w:p>
        </w:tc>
      </w:tr>
      <w:tr w14:paraId="6EABD95B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B35BBD6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Finančné prostriedky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6F231B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A4836B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66CFA2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01B5E1BD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3E9803F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Iné plnenia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53C372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0B5C0D3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6E8D48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717B8BD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6ECB69A2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D08EBF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0BB544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C3E3A8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76473B2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024E10F9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78F6F901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7A4B3E4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5FC0EBFC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EF3B687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69F89DB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599BABD4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39D8A07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1E21351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97AF95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1048A48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(6) Informácie o povinnostiach účtovnej jednotky </w:t>
            </w:r>
          </w:p>
          <w:p w14:paraId="30A4B75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a), c) Informácie o finančných povinnostiach, ktoré sa nevykazujú v súvahe, ale sú významné na posúdenie finančnej situácie účtovnej jednotky </w:t>
            </w:r>
          </w:p>
        </w:tc>
      </w:tr>
      <w:tr w14:paraId="75CCC7C5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49E0C9C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Opis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7366F4EC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 w14:paraId="79AF1F5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9B5607A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B965BE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79998372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2EC3107F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0B367B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5F238E96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70645FD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5130D3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0791ACD5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71DDB3F3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FD4532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ED86CA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2C72039E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8189DA3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CC062F2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3DA979DD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6AC0DCF9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76DF8C2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5EC0A2A2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b), c) Informácie o významných podmienených záväzkoch </w:t>
            </w:r>
          </w:p>
        </w:tc>
      </w:tr>
      <w:tr w14:paraId="3BBCE20A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01DBFDA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Opis </w:t>
            </w:r>
          </w:p>
        </w:tc>
        <w:tc>
          <w:tcPr>
            <w:tcW w:w="0" w:type="auto"/>
            <w:tcBorders>
              <w:top w:val="single" w:color="000000" w:sz="12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3220128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Suma </w:t>
            </w:r>
          </w:p>
        </w:tc>
      </w:tr>
      <w:tr w14:paraId="0FDE0719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34F0DC9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06C44AB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0B938700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24915E8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68FC24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35F2B489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10C2F62E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765C74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738AC2B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5C821833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9690B0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78CF31B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72E099A2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542EE4E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09C4DA4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2B54FC8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4F60E4B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4B1E433D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292D7E2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d) Informácie o významných povinnostiach podmienených záväzkoch voči dcérskej ÚJ alebo ÚJ s podstatným vplyvom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Celková suma významných finannčných povinností a významných podmienených záväzkov voči dcérskej účtovnej jednotke </w:t>
            </w:r>
          </w:p>
          <w:p w14:paraId="59F4435A">
            <w:pPr>
              <w:rPr>
                <w:rFonts w:ascii="Times New Roman" w:hAnsi="Times New Roman" w:eastAsia="Times New Roman" w:cs="Times New Roman"/>
                <w:lang w:eastAsia="sk-SK"/>
              </w:rPr>
            </w:pPr>
          </w:p>
        </w:tc>
      </w:tr>
      <w:tr w14:paraId="62D63B09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7CCFE38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Názov položky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5EB616C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Celková suma </w:t>
            </w:r>
          </w:p>
        </w:tc>
      </w:tr>
      <w:tr w14:paraId="3FD2AB2A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vAlign w:val="center"/>
          </w:tcPr>
          <w:p w14:paraId="4706DF7F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Významné finančné povinnosti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656878A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64F5670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6" w:space="0"/>
              <w:left w:val="single" w:color="000000" w:sz="12" w:space="0"/>
              <w:bottom w:val="single" w:color="000000" w:sz="18" w:space="0"/>
              <w:right w:val="single" w:color="000000" w:sz="6" w:space="0"/>
            </w:tcBorders>
            <w:shd w:val="clear" w:color="auto" w:fill="FFFFFF"/>
            <w:vAlign w:val="center"/>
          </w:tcPr>
          <w:p w14:paraId="737CEE0C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Významné podmienené záväzky 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2" w:space="0"/>
            </w:tcBorders>
            <w:shd w:val="clear" w:color="auto" w:fill="FFFFFF"/>
            <w:vAlign w:val="center"/>
          </w:tcPr>
          <w:p w14:paraId="4099FA65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F1E8A6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shd w:val="clear" w:color="auto" w:fill="FFFFFF"/>
            <w:vAlign w:val="center"/>
          </w:tcPr>
          <w:p w14:paraId="2B13705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SPOLU </w:t>
            </w:r>
          </w:p>
        </w:tc>
        <w:tc>
          <w:tcPr>
            <w:tcW w:w="0" w:type="auto"/>
            <w:tcBorders>
              <w:top w:val="single" w:color="000000" w:sz="18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 w14:paraId="1CCA3B70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 xml:space="preserve">0 </w:t>
            </w:r>
          </w:p>
        </w:tc>
      </w:tr>
      <w:tr w14:paraId="17A55998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4"/>
            <w:tcBorders>
              <w:top w:val="single" w:color="000000" w:sz="12" w:space="0"/>
              <w:left w:val="single" w:color="000000" w:sz="12" w:space="0"/>
              <w:bottom w:val="single" w:color="auto" w:sz="2" w:space="0"/>
              <w:right w:val="single" w:color="000000" w:sz="12" w:space="0"/>
            </w:tcBorders>
            <w:shd w:val="clear" w:color="auto" w:fill="FFFFFF"/>
            <w:vAlign w:val="center"/>
          </w:tcPr>
          <w:p w14:paraId="5BAA5E28">
            <w:pPr>
              <w:spacing w:before="100" w:beforeAutospacing="1" w:after="100" w:afterAutospacing="1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t>e) Významné povinnosti povinností účtovnej jednotky vyplývajúcich z dôchodkových programov pre zamestnancov</w:t>
            </w:r>
            <w:r>
              <w:rPr>
                <w:rFonts w:ascii="CIDFont+F2" w:hAnsi="CIDFont+F2" w:eastAsia="Times New Roman" w:cs="Times New Roman"/>
                <w:sz w:val="22"/>
                <w:szCs w:val="22"/>
                <w:lang w:eastAsia="sk-SK"/>
              </w:rPr>
              <w:br w:type="textWrapping"/>
            </w:r>
            <w:r>
              <w:rPr>
                <w:rFonts w:ascii="CIDFont+F1" w:hAnsi="CIDFont+F1" w:eastAsia="Times New Roman" w:cs="Times New Roman"/>
                <w:sz w:val="22"/>
                <w:szCs w:val="22"/>
                <w:lang w:eastAsia="sk-SK"/>
              </w:rPr>
              <w:t xml:space="preserve">Opis významných povinností účtovnej jednotky vyplývajúcich z dôchodkových programov pre zamestnancov </w:t>
            </w:r>
          </w:p>
        </w:tc>
      </w:tr>
    </w:tbl>
    <w:p w14:paraId="01CB19FB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>Spracované systémom Money S3</w:t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br w:type="textWrapping"/>
      </w: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www.money.sk </w:t>
      </w:r>
      <w:r>
        <w:rPr>
          <w:rFonts w:ascii="CIDFont+F1" w:hAnsi="CIDFont+F1" w:eastAsia="Times New Roman" w:cs="Times New Roman"/>
          <w:position w:val="2"/>
          <w:sz w:val="18"/>
          <w:szCs w:val="18"/>
          <w:lang w:eastAsia="sk-SK"/>
        </w:rPr>
        <w:t xml:space="preserve">7 </w:t>
      </w:r>
    </w:p>
    <w:p w14:paraId="02071D6B">
      <w:pPr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18"/>
          <w:szCs w:val="18"/>
          <w:lang w:eastAsia="sk-SK"/>
        </w:rPr>
        <w:t xml:space="preserve">Poznámky Úč MÚJ 3 - 01 IČO 52937437 DIČ 2121184637 </w:t>
      </w:r>
    </w:p>
    <w:p w14:paraId="1D8EA770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2" w:hAnsi="CIDFont+F2" w:eastAsia="Times New Roman" w:cs="Times New Roman"/>
          <w:sz w:val="22"/>
          <w:szCs w:val="22"/>
          <w:lang w:eastAsia="sk-SK"/>
        </w:rPr>
        <w:t>(7) Informácie o udelení výlučného práva alebo osobitného práva poskytovať služby vo verejnom záujme</w:t>
      </w:r>
      <w:r>
        <w:rPr>
          <w:rFonts w:ascii="CIDFont+F2" w:hAnsi="CIDFont+F2" w:eastAsia="Times New Roman" w:cs="Times New Roman"/>
          <w:sz w:val="22"/>
          <w:szCs w:val="22"/>
          <w:lang w:eastAsia="sk-SK"/>
        </w:rPr>
        <w:br w:type="textWrapping"/>
      </w: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a) Informácie o formách prijatej náhrady </w:t>
      </w:r>
    </w:p>
    <w:p w14:paraId="3D665717">
      <w:pPr>
        <w:shd w:val="clear" w:color="auto" w:fill="FFFFFF"/>
        <w:spacing w:before="100" w:beforeAutospacing="1" w:after="100" w:afterAutospacing="1"/>
        <w:rPr>
          <w:rFonts w:ascii="Times New Roman" w:hAnsi="Times New Roman" w:eastAsia="Times New Roman" w:cs="Times New Roman"/>
          <w:lang w:eastAsia="sk-SK"/>
        </w:rPr>
      </w:pPr>
      <w:r>
        <w:rPr>
          <w:rFonts w:ascii="CIDFont+F1" w:hAnsi="CIDFont+F1" w:eastAsia="Times New Roman" w:cs="Times New Roman"/>
          <w:sz w:val="22"/>
          <w:szCs w:val="22"/>
          <w:lang w:eastAsia="sk-SK"/>
        </w:rPr>
        <w:t xml:space="preserve">b) Informácie o účtovných zásadách použitých pri prideľovaní nákladov a výnosov c) Informácie o druhoch činností účtovnej jednotky </w:t>
      </w:r>
    </w:p>
    <w:p w14:paraId="2D588283">
      <w:pPr>
        <w:shd w:val="clear" w:color="auto" w:fill="FFFFFF"/>
        <w:rPr>
          <w:rFonts w:ascii="Times New Roman" w:hAnsi="Times New Roman" w:eastAsia="Times New Roman" w:cs="Times New Roman"/>
          <w:lang w:eastAsia="sk-SK"/>
        </w:rPr>
      </w:pPr>
    </w:p>
    <w:p w14:paraId="668C6E03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IDFont+F1">
    <w:altName w:val="Cambria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CIDFont+F2">
    <w:altName w:val="Cambria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75AA90"/>
    <w:multiLevelType w:val="singleLevel"/>
    <w:tmpl w:val="3675AA90"/>
    <w:lvl w:ilvl="0" w:tentative="0">
      <w:start w:val="1"/>
      <w:numFmt w:val="decimal"/>
      <w:suff w:val="space"/>
      <w:lvlText w:val="(%1)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3C88"/>
    <w:rsid w:val="00363C88"/>
    <w:rsid w:val="008A2432"/>
    <w:rsid w:val="008C4A93"/>
    <w:rsid w:val="043B3113"/>
    <w:rsid w:val="6DC40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semiHidden/>
    <w:unhideWhenUsed/>
    <w:uiPriority w:val="99"/>
    <w:pPr>
      <w:spacing w:before="100" w:beforeAutospacing="1" w:after="100" w:afterAutospacing="1"/>
    </w:pPr>
    <w:rPr>
      <w:rFonts w:ascii="Times New Roman" w:hAnsi="Times New Roman" w:eastAsia="Times New Roman" w:cs="Times New Roman"/>
      <w:lang w:eastAsia="sk-SK"/>
    </w:rPr>
  </w:style>
  <w:style w:type="paragraph" w:customStyle="1" w:styleId="5">
    <w:name w:val="msonormal"/>
    <w:basedOn w:val="1"/>
    <w:uiPriority w:val="0"/>
    <w:pPr>
      <w:spacing w:before="100" w:beforeAutospacing="1" w:after="100" w:afterAutospacing="1"/>
    </w:pPr>
    <w:rPr>
      <w:rFonts w:ascii="Times New Roman" w:hAnsi="Times New Roman" w:eastAsia="Times New Roman" w:cs="Times New Roman"/>
      <w:lang w:eastAsia="sk-SK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1876</Words>
  <Characters>10698</Characters>
  <Lines>89</Lines>
  <Paragraphs>25</Paragraphs>
  <TotalTime>12</TotalTime>
  <ScaleCrop>false</ScaleCrop>
  <LinksUpToDate>false</LinksUpToDate>
  <CharactersWithSpaces>12549</CharactersWithSpaces>
  <Application>WPS Office_12.2.0.17119_F1E327BC-269C-435d-A152-05C5408002CA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2022-06-26T09:22:00Z</dcterms:created>
  <dc:creator>Dávid Iván</dc:creator>
  <cp:lastModifiedBy>Denisa Mihalovičová</cp:lastModifiedBy>
  <dcterms:modified xsi:type="dcterms:W3CDTF">2024-07-01T10:51:37Z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42FC834D06944D9B9FF02C5D80651D80_13</vt:lpwstr>
  </property>
</Properties>
</file>