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33532C">
      <w:pPr>
        <w:pStyle w:val="13"/>
      </w:pPr>
    </w:p>
    <w:p w14:paraId="470A8A4A">
      <w:pPr>
        <w:pStyle w:val="13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Úč MÚJ 3 - 01                      IČO: 46337466                          DIČ:2023335039 </w:t>
      </w:r>
    </w:p>
    <w:p w14:paraId="030B12C2">
      <w:pPr>
        <w:pStyle w:val="13"/>
        <w:rPr>
          <w:color w:val="auto"/>
        </w:rPr>
      </w:pPr>
      <w:r>
        <w:rPr>
          <w:color w:val="auto"/>
        </w:rPr>
        <w:t xml:space="preserve"> </w:t>
      </w:r>
    </w:p>
    <w:p w14:paraId="6A362D4A">
      <w:pPr>
        <w:pStyle w:val="13"/>
        <w:rPr>
          <w:color w:val="auto"/>
        </w:rPr>
      </w:pPr>
    </w:p>
    <w:p w14:paraId="783164E2">
      <w:pPr>
        <w:pStyle w:val="13"/>
        <w:rPr>
          <w:color w:val="auto"/>
        </w:rPr>
      </w:pPr>
    </w:p>
    <w:p w14:paraId="5ADB4875">
      <w:pPr>
        <w:pStyle w:val="13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2977A240">
      <w:pPr>
        <w:pStyle w:val="13"/>
        <w:rPr>
          <w:color w:val="auto"/>
          <w:sz w:val="23"/>
          <w:szCs w:val="23"/>
        </w:rPr>
      </w:pPr>
    </w:p>
    <w:p w14:paraId="770A583B">
      <w:pPr>
        <w:pStyle w:val="13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účtovnej jednotky: </w:t>
      </w:r>
      <w:r>
        <w:rPr>
          <w:b/>
          <w:color w:val="auto"/>
          <w:sz w:val="28"/>
          <w:szCs w:val="28"/>
        </w:rPr>
        <w:t>efair4you, s.r.o.</w:t>
      </w:r>
    </w:p>
    <w:p w14:paraId="6D983163">
      <w:pPr>
        <w:pStyle w:val="13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02AB8F64">
      <w:pPr>
        <w:pStyle w:val="13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Zapísaná do Obchodného registra  Okresného súdu Bratislava I, oddiel s.r.o., vložka číslo 75668/B,</w:t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 xml:space="preserve">     dňa 10.09.2011</w:t>
      </w:r>
    </w:p>
    <w:p w14:paraId="01891561">
      <w:pPr>
        <w:pStyle w:val="13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Štatutárny orgán: Katarína Tallová, vznik funkcie od 10.09.2011</w:t>
      </w:r>
    </w:p>
    <w:p w14:paraId="13ADF8D9">
      <w:pPr>
        <w:pStyle w:val="13"/>
        <w:rPr>
          <w:color w:val="auto"/>
          <w:sz w:val="23"/>
          <w:szCs w:val="23"/>
        </w:rPr>
      </w:pPr>
    </w:p>
    <w:p w14:paraId="0305CECC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nemá zamestnancov. </w:t>
      </w:r>
    </w:p>
    <w:p w14:paraId="10DB24E9">
      <w:pPr>
        <w:pStyle w:val="13"/>
        <w:rPr>
          <w:color w:val="auto"/>
          <w:sz w:val="23"/>
          <w:szCs w:val="23"/>
        </w:rPr>
      </w:pPr>
    </w:p>
    <w:p w14:paraId="12FB2FD8">
      <w:pPr>
        <w:pStyle w:val="13"/>
        <w:rPr>
          <w:color w:val="auto"/>
          <w:sz w:val="23"/>
          <w:szCs w:val="23"/>
        </w:rPr>
      </w:pPr>
    </w:p>
    <w:p w14:paraId="4223AA94">
      <w:pPr>
        <w:pStyle w:val="13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D53CAF3">
      <w:pPr>
        <w:pStyle w:val="13"/>
        <w:rPr>
          <w:color w:val="auto"/>
          <w:sz w:val="23"/>
          <w:szCs w:val="23"/>
        </w:rPr>
      </w:pPr>
    </w:p>
    <w:p w14:paraId="429DCEA7">
      <w:pPr>
        <w:pStyle w:val="13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</w:t>
      </w:r>
      <w:r>
        <w:rPr>
          <w:color w:val="auto"/>
          <w:sz w:val="23"/>
          <w:szCs w:val="23"/>
          <w:lang w:val="sk-SK"/>
        </w:rPr>
        <w:t>čtovná</w:t>
      </w:r>
      <w:r>
        <w:rPr>
          <w:color w:val="auto"/>
          <w:sz w:val="23"/>
          <w:szCs w:val="23"/>
        </w:rPr>
        <w:t xml:space="preserve"> závierka je zostavená  k 31.12.202</w:t>
      </w:r>
      <w:r>
        <w:rPr>
          <w:rFonts w:hint="default"/>
          <w:color w:val="auto"/>
          <w:sz w:val="23"/>
          <w:szCs w:val="23"/>
          <w:lang w:val="sk-SK"/>
        </w:rPr>
        <w:t>3</w:t>
      </w:r>
      <w:r>
        <w:rPr>
          <w:color w:val="auto"/>
          <w:sz w:val="23"/>
          <w:szCs w:val="23"/>
        </w:rPr>
        <w:t xml:space="preserve"> za účtovné obdobie rok 202</w:t>
      </w:r>
      <w:r>
        <w:rPr>
          <w:rFonts w:hint="default"/>
          <w:color w:val="auto"/>
          <w:sz w:val="23"/>
          <w:szCs w:val="23"/>
          <w:lang w:val="sk-SK"/>
        </w:rPr>
        <w:t>3</w:t>
      </w:r>
      <w:r>
        <w:rPr>
          <w:color w:val="auto"/>
          <w:sz w:val="23"/>
          <w:szCs w:val="23"/>
        </w:rPr>
        <w:t xml:space="preserve"> a ÚJ bude nepretržite pokračovať vo svojej činnosti. </w:t>
      </w:r>
      <w:r>
        <w:rPr>
          <w:rFonts w:hint="default"/>
          <w:color w:val="auto"/>
          <w:sz w:val="23"/>
          <w:szCs w:val="23"/>
          <w:lang w:val="sk-SK"/>
        </w:rPr>
        <w:t>Účtovná jednotka nevykázala v roku 2023 žiaden príjem, nakoľko konateľka spoločnosti bola na materskej dovolenke. V roku 2024 však spoločnosť opäť pokračuje vo svojej činnosti.</w:t>
      </w:r>
    </w:p>
    <w:p w14:paraId="317717FE">
      <w:pPr>
        <w:pStyle w:val="13"/>
        <w:rPr>
          <w:color w:val="auto"/>
          <w:sz w:val="23"/>
          <w:szCs w:val="23"/>
        </w:rPr>
      </w:pPr>
    </w:p>
    <w:p w14:paraId="3B0DB89B">
      <w:pPr>
        <w:pStyle w:val="13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neúčtuje o nehmotnom ani dlhodobom hmotnom majetku a ani o dlhodobom finančnom majetku</w:t>
      </w:r>
    </w:p>
    <w:p w14:paraId="186FE748">
      <w:pPr>
        <w:pStyle w:val="13"/>
        <w:rPr>
          <w:color w:val="auto"/>
          <w:sz w:val="23"/>
          <w:szCs w:val="23"/>
        </w:rPr>
      </w:pPr>
    </w:p>
    <w:p w14:paraId="180867E3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pohľadávok a záväzkov, a to </w:t>
      </w:r>
    </w:p>
    <w:p w14:paraId="158621D2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pohľadávok - </w:t>
      </w:r>
      <w:r>
        <w:t>ku dňu uskutočnenia účtovného prípadu sa</w:t>
      </w:r>
      <w:r>
        <w:rPr>
          <w:color w:val="auto"/>
          <w:sz w:val="23"/>
          <w:szCs w:val="23"/>
        </w:rPr>
        <w:t xml:space="preserve"> pohľadávky oceňujú menovitou hodnotou</w:t>
      </w:r>
    </w:p>
    <w:p w14:paraId="55CC2B29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záväzkov vrátane rezerv - </w:t>
      </w:r>
      <w:r>
        <w:t>ku dňu uskutočnenia účtovného prípadu sa</w:t>
      </w:r>
      <w:r>
        <w:rPr>
          <w:color w:val="auto"/>
          <w:sz w:val="23"/>
          <w:szCs w:val="23"/>
        </w:rPr>
        <w:t xml:space="preserve"> záväzky oceňujú menovitou     hodnotou</w:t>
      </w:r>
    </w:p>
    <w:p w14:paraId="14A0B4BD">
      <w:pPr>
        <w:pStyle w:val="13"/>
        <w:spacing w:after="27"/>
        <w:rPr>
          <w:color w:val="auto"/>
          <w:sz w:val="23"/>
          <w:szCs w:val="23"/>
        </w:rPr>
      </w:pPr>
    </w:p>
    <w:p w14:paraId="74427F43">
      <w:pPr>
        <w:pStyle w:val="13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neúčtovala o významných opravách chýb minulých účtovných období v bežnom účtovnom období, nakoľko nenastala dôvodná skutočnosť pre ich účtovanie.</w:t>
      </w:r>
    </w:p>
    <w:p w14:paraId="36192DEB">
      <w:pPr>
        <w:pStyle w:val="13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Hospodársky výsledok za rok 202</w:t>
      </w:r>
      <w:r>
        <w:rPr>
          <w:rFonts w:hint="default"/>
          <w:color w:val="auto"/>
          <w:sz w:val="23"/>
          <w:szCs w:val="23"/>
          <w:lang w:val="sk-SK"/>
        </w:rPr>
        <w:t>2</w:t>
      </w:r>
      <w:r>
        <w:rPr>
          <w:color w:val="auto"/>
          <w:sz w:val="23"/>
          <w:szCs w:val="23"/>
        </w:rPr>
        <w:t xml:space="preserve"> bol zaúčtovaný v prospech účtu </w:t>
      </w:r>
      <w:r>
        <w:rPr>
          <w:rFonts w:hint="default"/>
          <w:color w:val="auto"/>
          <w:sz w:val="23"/>
          <w:szCs w:val="23"/>
          <w:lang w:val="sk-SK"/>
        </w:rPr>
        <w:t>strata</w:t>
      </w:r>
      <w:r>
        <w:rPr>
          <w:color w:val="auto"/>
          <w:sz w:val="23"/>
          <w:szCs w:val="23"/>
        </w:rPr>
        <w:t xml:space="preserve"> minulých rokov. </w:t>
      </w:r>
    </w:p>
    <w:p w14:paraId="7F035E85">
      <w:pPr>
        <w:pStyle w:val="13"/>
        <w:rPr>
          <w:color w:val="auto"/>
          <w:sz w:val="23"/>
          <w:szCs w:val="23"/>
        </w:rPr>
      </w:pPr>
    </w:p>
    <w:p w14:paraId="3F4DFF77">
      <w:pPr>
        <w:pStyle w:val="13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2E4E487B">
      <w:pPr>
        <w:pStyle w:val="13"/>
        <w:rPr>
          <w:color w:val="auto"/>
          <w:sz w:val="23"/>
          <w:szCs w:val="23"/>
        </w:rPr>
      </w:pPr>
    </w:p>
    <w:p w14:paraId="0C3F5EC5">
      <w:pPr>
        <w:pStyle w:val="13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>Informácie o peňažných prostriedkoch:</w:t>
      </w:r>
    </w:p>
    <w:p w14:paraId="76235500">
      <w:pPr>
        <w:pStyle w:val="13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pokladňa EUR –</w:t>
      </w:r>
      <w:r>
        <w:rPr>
          <w:rFonts w:hint="default"/>
          <w:color w:val="auto"/>
          <w:sz w:val="23"/>
          <w:szCs w:val="23"/>
          <w:lang w:val="sk-SK"/>
        </w:rPr>
        <w:t xml:space="preserve">12822,30 </w:t>
      </w:r>
      <w:r>
        <w:rPr>
          <w:color w:val="auto"/>
          <w:sz w:val="23"/>
          <w:szCs w:val="23"/>
        </w:rPr>
        <w:t>eur</w:t>
      </w:r>
    </w:p>
    <w:p w14:paraId="4480CBFF">
      <w:pPr>
        <w:pStyle w:val="13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bankový účet Tatra banka –</w:t>
      </w:r>
      <w:r>
        <w:rPr>
          <w:rFonts w:hint="default"/>
          <w:color w:val="auto"/>
          <w:sz w:val="23"/>
          <w:szCs w:val="23"/>
          <w:lang w:val="sk-SK"/>
        </w:rPr>
        <w:t>100,39</w:t>
      </w:r>
      <w:r>
        <w:rPr>
          <w:color w:val="auto"/>
          <w:sz w:val="23"/>
          <w:szCs w:val="23"/>
        </w:rPr>
        <w:t xml:space="preserve"> eur</w:t>
      </w:r>
    </w:p>
    <w:p w14:paraId="1C1EDE2A">
      <w:pPr>
        <w:pStyle w:val="13"/>
        <w:rPr>
          <w:color w:val="auto"/>
          <w:sz w:val="23"/>
          <w:szCs w:val="23"/>
        </w:rPr>
      </w:pPr>
    </w:p>
    <w:p w14:paraId="673DB3A4">
      <w:pPr>
        <w:pStyle w:val="13"/>
        <w:spacing w:after="27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 xml:space="preserve">Informácie o záväzkoch, a to </w:t>
      </w:r>
    </w:p>
    <w:p w14:paraId="2A5AABA0">
      <w:pPr>
        <w:pStyle w:val="13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celkovej sume záväzkov z obchodného styku so zostatkovou dobou splatnosti kratšou ako 1 rok –</w:t>
      </w:r>
      <w:r>
        <w:rPr>
          <w:rFonts w:hint="default"/>
          <w:color w:val="auto"/>
          <w:sz w:val="23"/>
          <w:szCs w:val="23"/>
          <w:lang w:val="sk-SK"/>
        </w:rPr>
        <w:t>654,31</w:t>
      </w:r>
      <w:r>
        <w:rPr>
          <w:color w:val="auto"/>
          <w:sz w:val="23"/>
          <w:szCs w:val="23"/>
        </w:rPr>
        <w:t xml:space="preserve"> eur</w:t>
      </w:r>
    </w:p>
    <w:p w14:paraId="3E142346">
      <w:pPr>
        <w:pStyle w:val="13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</w:p>
    <w:p w14:paraId="0DAEDC89">
      <w:pPr>
        <w:pStyle w:val="13"/>
        <w:spacing w:after="27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>Informácie o </w:t>
      </w:r>
      <w:r>
        <w:rPr>
          <w:rFonts w:hint="default"/>
          <w:color w:val="auto"/>
          <w:sz w:val="23"/>
          <w:szCs w:val="23"/>
          <w:u w:val="single"/>
          <w:lang w:val="sk-SK"/>
        </w:rPr>
        <w:t>nákladoch budúcich období</w:t>
      </w:r>
      <w:r>
        <w:rPr>
          <w:color w:val="auto"/>
          <w:sz w:val="23"/>
          <w:szCs w:val="23"/>
          <w:u w:val="single"/>
        </w:rPr>
        <w:t xml:space="preserve">, a to </w:t>
      </w:r>
    </w:p>
    <w:p w14:paraId="5F7B2395">
      <w:pPr>
        <w:pStyle w:val="13"/>
        <w:numPr>
          <w:ilvl w:val="0"/>
          <w:numId w:val="3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</w:t>
      </w:r>
      <w:r>
        <w:rPr>
          <w:rFonts w:hint="default"/>
          <w:color w:val="auto"/>
          <w:sz w:val="23"/>
          <w:szCs w:val="23"/>
          <w:lang w:val="sk-SK"/>
        </w:rPr>
        <w:t xml:space="preserve">nákladov budúcich období /telefón, webhosting/ </w:t>
      </w:r>
      <w:r>
        <w:rPr>
          <w:color w:val="auto"/>
          <w:sz w:val="23"/>
          <w:szCs w:val="23"/>
        </w:rPr>
        <w:t>–</w:t>
      </w:r>
      <w:r>
        <w:rPr>
          <w:rFonts w:hint="default"/>
          <w:color w:val="auto"/>
          <w:sz w:val="23"/>
          <w:szCs w:val="23"/>
          <w:lang w:val="sk-SK"/>
        </w:rPr>
        <w:t>61,55</w:t>
      </w:r>
      <w:r>
        <w:rPr>
          <w:color w:val="auto"/>
          <w:sz w:val="23"/>
          <w:szCs w:val="23"/>
        </w:rPr>
        <w:t xml:space="preserve"> eur</w:t>
      </w:r>
    </w:p>
    <w:p w14:paraId="428AC36E">
      <w:pPr>
        <w:pStyle w:val="13"/>
        <w:spacing w:after="27"/>
        <w:rPr>
          <w:color w:val="auto"/>
          <w:sz w:val="23"/>
          <w:szCs w:val="23"/>
        </w:rPr>
      </w:pPr>
      <w:bookmarkStart w:id="0" w:name="_GoBack"/>
      <w:bookmarkEnd w:id="0"/>
    </w:p>
    <w:p w14:paraId="2DD6778F">
      <w:pPr>
        <w:pStyle w:val="13"/>
        <w:spacing w:after="27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 xml:space="preserve">Informácie o pohľadávkach, a to </w:t>
      </w:r>
    </w:p>
    <w:p w14:paraId="564B3432">
      <w:pPr>
        <w:pStyle w:val="13"/>
        <w:numPr>
          <w:ilvl w:val="0"/>
          <w:numId w:val="3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celkovej sume daňových pohľadávok –118,40 eur</w:t>
      </w:r>
    </w:p>
    <w:p w14:paraId="4D902489">
      <w:pPr>
        <w:pStyle w:val="13"/>
        <w:spacing w:after="27"/>
        <w:rPr>
          <w:color w:val="auto"/>
          <w:sz w:val="23"/>
          <w:szCs w:val="23"/>
        </w:rPr>
      </w:pPr>
    </w:p>
    <w:p w14:paraId="7376DA9C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  <w:u w:val="single"/>
        </w:rPr>
        <w:t>Informácie o základnom ímaní</w:t>
      </w:r>
      <w:r>
        <w:rPr>
          <w:color w:val="auto"/>
          <w:sz w:val="23"/>
          <w:szCs w:val="23"/>
        </w:rPr>
        <w:t>: Vklad: 5000 eur</w:t>
      </w:r>
    </w:p>
    <w:p w14:paraId="31AD896F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 xml:space="preserve">   Splatené: 5000 eur </w:t>
      </w:r>
    </w:p>
    <w:p w14:paraId="697E3D6A">
      <w:pPr>
        <w:pStyle w:val="13"/>
        <w:spacing w:after="27"/>
        <w:rPr>
          <w:color w:val="auto"/>
          <w:sz w:val="23"/>
          <w:szCs w:val="23"/>
        </w:rPr>
      </w:pPr>
    </w:p>
    <w:p w14:paraId="2B070066">
      <w:pPr>
        <w:pStyle w:val="13"/>
        <w:spacing w:after="27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>Informácie o nerozdelenom zisku a strate minulých rokov:</w:t>
      </w:r>
    </w:p>
    <w:p w14:paraId="46A70A51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Neuhradená strata minulých rokov 2013 – 74,67 eur</w:t>
      </w:r>
    </w:p>
    <w:p w14:paraId="1143A749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Neuhradená strata minulých rokov 2014 – 105,88 eur</w:t>
      </w:r>
    </w:p>
    <w:p w14:paraId="6B755789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Nerozdelený zisk minulých rokov 2015 – 4096,28 eur</w:t>
      </w:r>
    </w:p>
    <w:p w14:paraId="0FAC0F92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Nerozdelený zisk minulých rokov 2016 – 3222,90 eur</w:t>
      </w:r>
    </w:p>
    <w:p w14:paraId="56DDFDA0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Neuhradená strata minulých rokov 2017 – 1496,74 eur</w:t>
      </w:r>
    </w:p>
    <w:p w14:paraId="03CFD19F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Nerozdelený zisk minulých rokov 2018 – 1848,68 eur</w:t>
      </w:r>
    </w:p>
    <w:p w14:paraId="170450EC">
      <w:pPr>
        <w:pStyle w:val="13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Neuhradená strata minulých rokov 2019 – 818,91 eur</w:t>
      </w:r>
    </w:p>
    <w:p w14:paraId="29E36021">
      <w:pPr>
        <w:pStyle w:val="13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Nerozdelený zisk minulých rokov 2020 – 3283,64 eur</w:t>
      </w:r>
    </w:p>
    <w:p w14:paraId="2F26597C">
      <w:pPr>
        <w:pStyle w:val="13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Nerozdelený zisk minulých rokov 2021 – 1663,51eur</w:t>
      </w:r>
    </w:p>
    <w:p w14:paraId="189186D4">
      <w:pPr>
        <w:pStyle w:val="13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Neuhradená strata minulých rokov 20</w:t>
      </w:r>
      <w:r>
        <w:rPr>
          <w:rFonts w:hint="default"/>
          <w:color w:val="auto"/>
          <w:sz w:val="23"/>
          <w:szCs w:val="23"/>
          <w:lang w:val="sk-SK"/>
        </w:rPr>
        <w:t>22</w:t>
      </w:r>
      <w:r>
        <w:rPr>
          <w:color w:val="auto"/>
          <w:sz w:val="23"/>
          <w:szCs w:val="23"/>
        </w:rPr>
        <w:t xml:space="preserve"> – </w:t>
      </w:r>
      <w:r>
        <w:rPr>
          <w:rFonts w:hint="default"/>
          <w:color w:val="auto"/>
          <w:sz w:val="23"/>
          <w:szCs w:val="23"/>
          <w:lang w:val="sk-SK"/>
        </w:rPr>
        <w:t>665,79</w:t>
      </w:r>
      <w:r>
        <w:rPr>
          <w:color w:val="auto"/>
          <w:sz w:val="23"/>
          <w:szCs w:val="23"/>
        </w:rPr>
        <w:t xml:space="preserve"> eur</w:t>
      </w:r>
    </w:p>
    <w:p w14:paraId="4C6ADE96">
      <w:pPr>
        <w:pStyle w:val="13"/>
        <w:spacing w:after="27"/>
        <w:ind w:firstLine="708"/>
        <w:rPr>
          <w:color w:val="auto"/>
          <w:sz w:val="23"/>
          <w:szCs w:val="23"/>
        </w:rPr>
      </w:pPr>
    </w:p>
    <w:p w14:paraId="1D57B5B3">
      <w:pPr>
        <w:pStyle w:val="13"/>
        <w:spacing w:after="27"/>
        <w:rPr>
          <w:color w:val="auto"/>
          <w:sz w:val="23"/>
          <w:szCs w:val="23"/>
        </w:rPr>
      </w:pPr>
    </w:p>
    <w:p w14:paraId="48E24DF2">
      <w:pPr>
        <w:pStyle w:val="13"/>
        <w:spacing w:after="27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>Informácie  o nákladoch:</w:t>
      </w:r>
    </w:p>
    <w:p w14:paraId="082F80C2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Najvýznamnejšie položky:</w:t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Náklady na telefón a internet -</w:t>
      </w:r>
      <w:r>
        <w:rPr>
          <w:rFonts w:hint="default"/>
          <w:color w:val="auto"/>
          <w:sz w:val="23"/>
          <w:szCs w:val="23"/>
          <w:lang w:val="sk-SK"/>
        </w:rPr>
        <w:t>1377,13</w:t>
      </w:r>
      <w:r>
        <w:rPr>
          <w:color w:val="auto"/>
          <w:sz w:val="23"/>
          <w:szCs w:val="23"/>
        </w:rPr>
        <w:t xml:space="preserve"> eur</w:t>
      </w:r>
    </w:p>
    <w:p w14:paraId="75A8C390">
      <w:pPr>
        <w:pStyle w:val="13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Ostatné služby webhosting– </w:t>
      </w:r>
      <w:r>
        <w:rPr>
          <w:rFonts w:hint="default"/>
          <w:color w:val="auto"/>
          <w:sz w:val="23"/>
          <w:szCs w:val="23"/>
          <w:lang w:val="sk-SK"/>
        </w:rPr>
        <w:t>33,26</w:t>
      </w:r>
      <w:r>
        <w:rPr>
          <w:color w:val="auto"/>
          <w:sz w:val="23"/>
          <w:szCs w:val="23"/>
        </w:rPr>
        <w:t xml:space="preserve"> eur </w:t>
      </w:r>
    </w:p>
    <w:p w14:paraId="2B094947">
      <w:pPr>
        <w:pStyle w:val="13"/>
        <w:spacing w:after="27"/>
        <w:ind w:left="2832" w:firstLine="708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Drobný hmotný majetok - 849,00 eur</w:t>
      </w:r>
    </w:p>
    <w:p w14:paraId="07633129">
      <w:pPr>
        <w:pStyle w:val="13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Bankové poplatky – 8</w:t>
      </w:r>
      <w:r>
        <w:rPr>
          <w:rFonts w:hint="default"/>
          <w:color w:val="auto"/>
          <w:sz w:val="23"/>
          <w:szCs w:val="23"/>
          <w:lang w:val="sk-SK"/>
        </w:rPr>
        <w:t>5</w:t>
      </w:r>
      <w:r>
        <w:rPr>
          <w:color w:val="auto"/>
          <w:sz w:val="23"/>
          <w:szCs w:val="23"/>
        </w:rPr>
        <w:t>,00 eur</w:t>
      </w:r>
    </w:p>
    <w:p w14:paraId="30635D63">
      <w:pPr>
        <w:pStyle w:val="13"/>
        <w:spacing w:after="27"/>
        <w:ind w:left="2832" w:firstLine="708"/>
        <w:rPr>
          <w:color w:val="auto"/>
          <w:sz w:val="23"/>
          <w:szCs w:val="23"/>
        </w:rPr>
      </w:pPr>
    </w:p>
    <w:p w14:paraId="6F026120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  <w:u w:val="single"/>
        </w:rPr>
        <w:t xml:space="preserve">Informácie o výnosoch:  </w:t>
      </w:r>
      <w:r>
        <w:rPr>
          <w:color w:val="auto"/>
          <w:sz w:val="23"/>
          <w:szCs w:val="23"/>
        </w:rPr>
        <w:t xml:space="preserve">Tržby za marketingové a reklamné služby : </w:t>
      </w:r>
      <w:r>
        <w:rPr>
          <w:rFonts w:hint="default"/>
          <w:color w:val="auto"/>
          <w:sz w:val="23"/>
          <w:szCs w:val="23"/>
          <w:lang w:val="sk-SK"/>
        </w:rPr>
        <w:t>0,00</w:t>
      </w:r>
      <w:r>
        <w:rPr>
          <w:color w:val="auto"/>
          <w:sz w:val="23"/>
          <w:szCs w:val="23"/>
        </w:rPr>
        <w:t xml:space="preserve"> eur</w:t>
      </w:r>
    </w:p>
    <w:p w14:paraId="769AF291">
      <w:pPr>
        <w:pStyle w:val="13"/>
        <w:spacing w:after="27"/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 xml:space="preserve">    </w:t>
      </w:r>
    </w:p>
    <w:sectPr>
      <w:pgSz w:w="11906" w:h="17340"/>
      <w:pgMar w:top="426" w:right="843" w:bottom="505" w:left="791" w:header="708" w:footer="708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4002EFF" w:usb1="C200247B" w:usb2="00000009" w:usb3="00000000" w:csb0="200001FF" w:csb1="00000000"/>
  </w:font>
  <w:font w:name="Consolas">
    <w:panose1 w:val="020B0609020204030204"/>
    <w:charset w:val="EE"/>
    <w:family w:val="modern"/>
    <w:pitch w:val="default"/>
    <w:sig w:usb0="E00006FF" w:usb1="0000FCFF" w:usb2="00000001" w:usb3="00000000" w:csb0="6000019F" w:csb1="DFD7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7475B7C"/>
    <w:multiLevelType w:val="multilevel"/>
    <w:tmpl w:val="07475B7C"/>
    <w:lvl w:ilvl="0" w:tentative="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298" w:hanging="360"/>
      </w:pPr>
    </w:lvl>
    <w:lvl w:ilvl="2" w:tentative="0">
      <w:start w:val="1"/>
      <w:numFmt w:val="lowerRoman"/>
      <w:lvlText w:val="%3."/>
      <w:lvlJc w:val="right"/>
      <w:pPr>
        <w:ind w:left="2018" w:hanging="180"/>
      </w:pPr>
    </w:lvl>
    <w:lvl w:ilvl="3" w:tentative="0">
      <w:start w:val="1"/>
      <w:numFmt w:val="decimal"/>
      <w:lvlText w:val="%4."/>
      <w:lvlJc w:val="left"/>
      <w:pPr>
        <w:ind w:left="2738" w:hanging="360"/>
      </w:pPr>
    </w:lvl>
    <w:lvl w:ilvl="4" w:tentative="0">
      <w:start w:val="1"/>
      <w:numFmt w:val="lowerLetter"/>
      <w:lvlText w:val="%5."/>
      <w:lvlJc w:val="left"/>
      <w:pPr>
        <w:ind w:left="3458" w:hanging="360"/>
      </w:pPr>
    </w:lvl>
    <w:lvl w:ilvl="5" w:tentative="0">
      <w:start w:val="1"/>
      <w:numFmt w:val="lowerRoman"/>
      <w:lvlText w:val="%6."/>
      <w:lvlJc w:val="right"/>
      <w:pPr>
        <w:ind w:left="4178" w:hanging="180"/>
      </w:pPr>
    </w:lvl>
    <w:lvl w:ilvl="6" w:tentative="0">
      <w:start w:val="1"/>
      <w:numFmt w:val="decimal"/>
      <w:lvlText w:val="%7."/>
      <w:lvlJc w:val="left"/>
      <w:pPr>
        <w:ind w:left="4898" w:hanging="360"/>
      </w:pPr>
    </w:lvl>
    <w:lvl w:ilvl="7" w:tentative="0">
      <w:start w:val="1"/>
      <w:numFmt w:val="lowerLetter"/>
      <w:lvlText w:val="%8."/>
      <w:lvlJc w:val="left"/>
      <w:pPr>
        <w:ind w:left="5618" w:hanging="360"/>
      </w:pPr>
    </w:lvl>
    <w:lvl w:ilvl="8" w:tentative="0">
      <w:start w:val="1"/>
      <w:numFmt w:val="lowerRoman"/>
      <w:lvlText w:val="%9."/>
      <w:lvlJc w:val="right"/>
      <w:pPr>
        <w:ind w:left="6338" w:hanging="180"/>
      </w:pPr>
    </w:lvl>
  </w:abstractNum>
  <w:abstractNum w:abstractNumId="1">
    <w:nsid w:val="202032B0"/>
    <w:multiLevelType w:val="multilevel"/>
    <w:tmpl w:val="202032B0"/>
    <w:lvl w:ilvl="0" w:tentative="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298" w:hanging="360"/>
      </w:pPr>
    </w:lvl>
    <w:lvl w:ilvl="2" w:tentative="0">
      <w:start w:val="1"/>
      <w:numFmt w:val="lowerRoman"/>
      <w:lvlText w:val="%3."/>
      <w:lvlJc w:val="right"/>
      <w:pPr>
        <w:ind w:left="2018" w:hanging="180"/>
      </w:pPr>
    </w:lvl>
    <w:lvl w:ilvl="3" w:tentative="0">
      <w:start w:val="1"/>
      <w:numFmt w:val="decimal"/>
      <w:lvlText w:val="%4."/>
      <w:lvlJc w:val="left"/>
      <w:pPr>
        <w:ind w:left="2738" w:hanging="360"/>
      </w:pPr>
    </w:lvl>
    <w:lvl w:ilvl="4" w:tentative="0">
      <w:start w:val="1"/>
      <w:numFmt w:val="lowerLetter"/>
      <w:lvlText w:val="%5."/>
      <w:lvlJc w:val="left"/>
      <w:pPr>
        <w:ind w:left="3458" w:hanging="360"/>
      </w:pPr>
    </w:lvl>
    <w:lvl w:ilvl="5" w:tentative="0">
      <w:start w:val="1"/>
      <w:numFmt w:val="lowerRoman"/>
      <w:lvlText w:val="%6."/>
      <w:lvlJc w:val="right"/>
      <w:pPr>
        <w:ind w:left="4178" w:hanging="180"/>
      </w:pPr>
    </w:lvl>
    <w:lvl w:ilvl="6" w:tentative="0">
      <w:start w:val="1"/>
      <w:numFmt w:val="decimal"/>
      <w:lvlText w:val="%7."/>
      <w:lvlJc w:val="left"/>
      <w:pPr>
        <w:ind w:left="4898" w:hanging="360"/>
      </w:pPr>
    </w:lvl>
    <w:lvl w:ilvl="7" w:tentative="0">
      <w:start w:val="1"/>
      <w:numFmt w:val="lowerLetter"/>
      <w:lvlText w:val="%8."/>
      <w:lvlJc w:val="left"/>
      <w:pPr>
        <w:ind w:left="5618" w:hanging="360"/>
      </w:pPr>
    </w:lvl>
    <w:lvl w:ilvl="8" w:tentative="0">
      <w:start w:val="1"/>
      <w:numFmt w:val="lowerRoman"/>
      <w:lvlText w:val="%9."/>
      <w:lvlJc w:val="right"/>
      <w:pPr>
        <w:ind w:left="6338" w:hanging="180"/>
      </w:pPr>
    </w:lvl>
  </w:abstractNum>
  <w:abstractNum w:abstractNumId="2">
    <w:nsid w:val="25AE3870"/>
    <w:multiLevelType w:val="multilevel"/>
    <w:tmpl w:val="25AE3870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214E"/>
    <w:rsid w:val="0006487D"/>
    <w:rsid w:val="000E1735"/>
    <w:rsid w:val="00192E71"/>
    <w:rsid w:val="001A51E6"/>
    <w:rsid w:val="001F09A5"/>
    <w:rsid w:val="004109C8"/>
    <w:rsid w:val="004A214E"/>
    <w:rsid w:val="004A277A"/>
    <w:rsid w:val="004F6018"/>
    <w:rsid w:val="00565B1F"/>
    <w:rsid w:val="00595149"/>
    <w:rsid w:val="005A7E07"/>
    <w:rsid w:val="005B4028"/>
    <w:rsid w:val="0070475C"/>
    <w:rsid w:val="008001E0"/>
    <w:rsid w:val="00851CCE"/>
    <w:rsid w:val="008846E2"/>
    <w:rsid w:val="00900034"/>
    <w:rsid w:val="00930047"/>
    <w:rsid w:val="009D0A1D"/>
    <w:rsid w:val="00A25A77"/>
    <w:rsid w:val="00A25DD3"/>
    <w:rsid w:val="00A35832"/>
    <w:rsid w:val="00AD5CE4"/>
    <w:rsid w:val="00BB3D6F"/>
    <w:rsid w:val="00CB74B5"/>
    <w:rsid w:val="00CD017C"/>
    <w:rsid w:val="00D01967"/>
    <w:rsid w:val="00D44F70"/>
    <w:rsid w:val="00DC6D6B"/>
    <w:rsid w:val="00FA5C45"/>
    <w:rsid w:val="00FD015C"/>
    <w:rsid w:val="00FE1324"/>
    <w:rsid w:val="60D84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EastAsia" w:cstheme="minorBidi"/>
      <w:sz w:val="22"/>
      <w:szCs w:val="22"/>
      <w:lang w:val="sk-SK" w:eastAsia="sk-SK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2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5">
    <w:name w:val="annotation reference"/>
    <w:basedOn w:val="2"/>
    <w:semiHidden/>
    <w:unhideWhenUsed/>
    <w:uiPriority w:val="99"/>
    <w:rPr>
      <w:sz w:val="16"/>
      <w:szCs w:val="16"/>
    </w:rPr>
  </w:style>
  <w:style w:type="paragraph" w:styleId="6">
    <w:name w:val="annotation text"/>
    <w:basedOn w:val="1"/>
    <w:link w:val="10"/>
    <w:semiHidden/>
    <w:unhideWhenUsed/>
    <w:uiPriority w:val="99"/>
    <w:pPr>
      <w:spacing w:line="240" w:lineRule="auto"/>
    </w:pPr>
    <w:rPr>
      <w:sz w:val="20"/>
      <w:szCs w:val="20"/>
    </w:rPr>
  </w:style>
  <w:style w:type="paragraph" w:styleId="7">
    <w:name w:val="annotation subject"/>
    <w:basedOn w:val="6"/>
    <w:next w:val="6"/>
    <w:link w:val="11"/>
    <w:semiHidden/>
    <w:unhideWhenUsed/>
    <w:uiPriority w:val="99"/>
    <w:rPr>
      <w:b/>
      <w:bCs/>
    </w:rPr>
  </w:style>
  <w:style w:type="paragraph" w:styleId="8">
    <w:name w:val="Plain Text"/>
    <w:basedOn w:val="1"/>
    <w:link w:val="9"/>
    <w:semiHidden/>
    <w:unhideWhenUsed/>
    <w:uiPriority w:val="99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9">
    <w:name w:val="Obyčajný text Char"/>
    <w:basedOn w:val="2"/>
    <w:link w:val="8"/>
    <w:semiHidden/>
    <w:uiPriority w:val="99"/>
    <w:rPr>
      <w:rFonts w:ascii="Consolas" w:hAnsi="Consolas"/>
      <w:sz w:val="21"/>
      <w:szCs w:val="21"/>
    </w:rPr>
  </w:style>
  <w:style w:type="character" w:customStyle="1" w:styleId="10">
    <w:name w:val="Text komentára Char"/>
    <w:basedOn w:val="2"/>
    <w:link w:val="6"/>
    <w:semiHidden/>
    <w:uiPriority w:val="99"/>
    <w:rPr>
      <w:sz w:val="20"/>
      <w:szCs w:val="20"/>
    </w:rPr>
  </w:style>
  <w:style w:type="character" w:customStyle="1" w:styleId="11">
    <w:name w:val="Predmet komentára Char"/>
    <w:basedOn w:val="10"/>
    <w:link w:val="7"/>
    <w:semiHidden/>
    <w:uiPriority w:val="99"/>
    <w:rPr>
      <w:b/>
      <w:bCs/>
      <w:sz w:val="20"/>
      <w:szCs w:val="20"/>
    </w:rPr>
  </w:style>
  <w:style w:type="character" w:customStyle="1" w:styleId="12">
    <w:name w:val="Text bubliny Char"/>
    <w:basedOn w:val="2"/>
    <w:link w:val="4"/>
    <w:semiHidden/>
    <w:uiPriority w:val="99"/>
    <w:rPr>
      <w:rFonts w:ascii="Tahoma" w:hAnsi="Tahoma" w:cs="Tahoma"/>
      <w:sz w:val="16"/>
      <w:szCs w:val="16"/>
    </w:rPr>
  </w:style>
  <w:style w:type="paragraph" w:customStyle="1" w:styleId="13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 w:eastAsiaTheme="minorEastAsia"/>
      <w:color w:val="000000"/>
      <w:sz w:val="24"/>
      <w:szCs w:val="24"/>
      <w:lang w:val="sk-SK" w:eastAsia="sk-SK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2</Pages>
  <Words>362</Words>
  <Characters>2067</Characters>
  <Lines>17</Lines>
  <Paragraphs>4</Paragraphs>
  <TotalTime>18</TotalTime>
  <ScaleCrop>false</ScaleCrop>
  <LinksUpToDate>false</LinksUpToDate>
  <CharactersWithSpaces>2425</CharactersWithSpaces>
  <Application>WPS Office_12.2.0.17119_F1E327BC-269C-435d-A152-05C5408002CA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2023-06-26T19:56:00Z</dcterms:created>
  <dc:creator>cechova</dc:creator>
  <cp:lastModifiedBy>mfols</cp:lastModifiedBy>
  <cp:lastPrinted>2018-06-27T14:12:00Z</cp:lastPrinted>
  <dcterms:modified xsi:type="dcterms:W3CDTF">2024-06-28T21:39:21Z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1033-12.2.0.17119</vt:lpwstr>
  </property>
  <property fmtid="{D5CDD505-2E9C-101B-9397-08002B2CF9AE}" pid="3" name="ICV">
    <vt:lpwstr>FCA4195E9AEF442E929E60D655FF91B8_12</vt:lpwstr>
  </property>
</Properties>
</file>