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tulo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Založenie spoločnosti</w:t>
      </w:r>
    </w:p>
    <w:p>
      <w:pPr>
        <w:pStyle w:val="Corpodetexto"/>
        <w:rPr>
          <w:szCs w:val="18"/>
        </w:rPr>
      </w:pPr>
      <w:r>
        <w:rPr>
          <w:szCs w:val="18"/>
        </w:rPr>
        <w:t>Spoločnosť ANASTAV,  s.r.o. (ďalej len Spoločnosť), vznikla 20.3.2007</w:t>
      </w:r>
    </w:p>
    <w:p>
      <w:pPr>
        <w:rPr>
          <w:sz w:val="18"/>
          <w:szCs w:val="18"/>
        </w:rPr>
      </w:pPr>
    </w:p>
    <w:p>
      <w:pPr>
        <w:pStyle w:val="Ttulo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>
      <w:pPr>
        <w:pStyle w:val="Corpodetexto"/>
        <w:tabs>
          <w:tab w:val="left" w:pos="7905"/>
        </w:tabs>
        <w:rPr>
          <w:szCs w:val="18"/>
        </w:rPr>
      </w:pPr>
      <w:r>
        <w:rPr>
          <w:szCs w:val="18"/>
        </w:rPr>
        <w:t>– stavebá činnost</w:t>
      </w:r>
    </w:p>
    <w:p>
      <w:pPr>
        <w:pStyle w:val="Corpodetexto"/>
        <w:tabs>
          <w:tab w:val="left" w:pos="7905"/>
        </w:tabs>
        <w:rPr>
          <w:szCs w:val="18"/>
        </w:rPr>
      </w:pPr>
      <w:bookmarkStart w:id="2" w:name="_GoBack"/>
      <w:bookmarkEnd w:id="2"/>
    </w:p>
    <w:p>
      <w:pPr>
        <w:pStyle w:val="Ttulo2"/>
        <w:rPr>
          <w:szCs w:val="18"/>
        </w:rPr>
      </w:pPr>
      <w:r>
        <w:rPr>
          <w:szCs w:val="18"/>
        </w:rPr>
        <w:t xml:space="preserve">Počet zamestnancov </w:t>
      </w:r>
    </w:p>
    <w:p>
      <w:pPr>
        <w:ind w:left="360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K 31.12.2023 spoločnosť nezamestnávala žiadných zamestnancov</w:t>
      </w:r>
    </w:p>
    <w:p>
      <w:pPr>
        <w:pStyle w:val="Corpodetexto"/>
        <w:rPr>
          <w:szCs w:val="18"/>
        </w:rPr>
      </w:pPr>
      <w:r>
        <w:rPr>
          <w:szCs w:val="18"/>
        </w:rPr>
        <w:t>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Údaje o neobmedzenom ručení</w:t>
      </w:r>
    </w:p>
    <w:p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Právny dôvod na zostavenie účtovnej závierky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2023 je zostavená ako riadna účtovná závierka podľa § 17 ods. 6 zákona NR SR č. 431/2002 Z. z. o účtovníctve za účtovné obdobie od 1. januára 2023 do 31. decembra 2023.</w:t>
      </w:r>
    </w:p>
    <w:p>
      <w:pPr>
        <w:pStyle w:val="Corpodetexto"/>
        <w:ind w:hanging="426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2022, za predchádzajúce účtovné obdobie, bola schválená.</w:t>
      </w:r>
    </w:p>
    <w:p>
      <w:pPr>
        <w:pStyle w:val="Corpodetexto"/>
        <w:ind w:hanging="426"/>
      </w:pPr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MUJ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>
    <w:pPr>
      <w:pStyle w:val="Cabealho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>
    <w:pPr>
      <w:pStyle w:val="Cabealho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F0F39"/>
    <w:multiLevelType w:val="hybridMultilevel"/>
    <w:tmpl w:val="24E27ADA"/>
    <w:lvl w:ilvl="0" w:tplc="D8D6488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Ttulo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4EF65-D996-4C30-92CF-0E2BDE11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2024-06-30T11:04:00Z</dcterms:created>
  <dcterms:modified xsi:type="dcterms:W3CDTF">2024-06-30T11:04:00Z</dcterms:modified>
</cp:coreProperties>
</file>