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before="2" w:line="140" w:lineRule="auto"/>
        <w:rPr>
          <w:sz w:val="14"/>
          <w:szCs w:val="1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pBdr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</w:pBdr>
        <w:spacing w:after="120" w:lineRule="auto"/>
        <w:jc w:val="center"/>
        <w:rPr>
          <w:rFonts w:ascii="Arial Narrow" w:cs="Arial Narrow" w:eastAsia="Arial Narrow" w:hAnsi="Arial Narrow"/>
          <w:b w:val="1"/>
        </w:rPr>
      </w:pPr>
      <w:r w:rsidDel="00000000" w:rsidR="00000000" w:rsidRPr="00000000">
        <w:rPr>
          <w:rFonts w:ascii="Arial Narrow" w:cs="Arial Narrow" w:eastAsia="Arial Narrow" w:hAnsi="Arial Narrow"/>
          <w:b w:val="1"/>
          <w:rtl w:val="0"/>
        </w:rPr>
        <w:t xml:space="preserve">Poznámky účtovnej závierke za rok 2023</w:t>
      </w:r>
    </w:p>
    <w:p w:rsidR="00000000" w:rsidDel="00000000" w:rsidP="00000000" w:rsidRDefault="00000000" w:rsidRPr="00000000" w14:paraId="00000003">
      <w:pPr>
        <w:pBdr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</w:pBdr>
        <w:jc w:val="center"/>
        <w:rPr>
          <w:rFonts w:ascii="Arial Narrow" w:cs="Arial Narrow" w:eastAsia="Arial Narrow" w:hAnsi="Arial Narrow"/>
        </w:rPr>
      </w:pPr>
      <w:r w:rsidDel="00000000" w:rsidR="00000000" w:rsidRPr="00000000">
        <w:rPr>
          <w:rFonts w:ascii="Arial Narrow" w:cs="Arial Narrow" w:eastAsia="Arial Narrow" w:hAnsi="Arial Narrow"/>
          <w:rtl w:val="0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Del="00000000" w:rsidR="00000000" w:rsidRPr="00000000">
        <w:rPr>
          <w:rFonts w:ascii="Arial Narrow" w:cs="Arial Narrow" w:eastAsia="Arial Narrow" w:hAnsi="Arial Narrow"/>
          <w:b w:val="1"/>
          <w:rtl w:val="0"/>
        </w:rPr>
        <w:t xml:space="preserve">účtovné jednotky</w:t>
      </w:r>
      <w:r w:rsidDel="00000000" w:rsidR="00000000" w:rsidRPr="00000000">
        <w:rPr>
          <w:rFonts w:ascii="Arial Narrow" w:cs="Arial Narrow" w:eastAsia="Arial Narrow" w:hAnsi="Arial Narrow"/>
          <w:rtl w:val="0"/>
        </w:rPr>
        <w:t xml:space="preserve"> v znení neskorších predpisov</w:t>
      </w:r>
    </w:p>
    <w:p w:rsidR="00000000" w:rsidDel="00000000" w:rsidP="00000000" w:rsidRDefault="00000000" w:rsidRPr="00000000" w14:paraId="00000004">
      <w:pPr>
        <w:pBdr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</w:pBdr>
        <w:jc w:val="center"/>
        <w:rPr>
          <w:rFonts w:ascii="Arial Narrow" w:cs="Arial Narrow" w:eastAsia="Arial Narrow" w:hAnsi="Arial Narrow"/>
        </w:rPr>
      </w:pPr>
      <w:r w:rsidDel="00000000" w:rsidR="00000000" w:rsidRPr="00000000">
        <w:rPr>
          <w:rFonts w:ascii="Arial Narrow" w:cs="Arial Narrow" w:eastAsia="Arial Narrow" w:hAnsi="Arial Narrow"/>
          <w:rtl w:val="0"/>
        </w:rPr>
        <w:t xml:space="preserve">(ostatná novela č.MF/18008/2014-74 – FS č.10/2014)</w:t>
      </w:r>
    </w:p>
    <w:p w:rsidR="00000000" w:rsidDel="00000000" w:rsidP="00000000" w:rsidRDefault="00000000" w:rsidRPr="00000000" w14:paraId="00000005">
      <w:pPr>
        <w:spacing w:before="7" w:line="240" w:lineRule="auto"/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pStyle w:val="Heading1"/>
        <w:spacing w:before="69" w:lineRule="auto"/>
        <w:ind w:right="836"/>
        <w:jc w:val="center"/>
        <w:rPr>
          <w:rFonts w:ascii="Arial" w:cs="Arial" w:eastAsia="Arial" w:hAnsi="Arial"/>
          <w:b w:val="0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Článok I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ind w:right="841"/>
        <w:jc w:val="center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Všeobecné údaje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spacing w:before="7" w:line="240" w:lineRule="auto"/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808"/>
        </w:tabs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1.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Identifikácia účtovnej jednotky (názov, IČO, sídlo):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spacing w:line="260" w:lineRule="auto"/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687.0" w:type="dxa"/>
        <w:jc w:val="left"/>
        <w:tblInd w:w="216.0" w:type="dxa"/>
        <w:tblBorders>
          <w:top w:color="ffffff" w:space="0" w:sz="8" w:val="single"/>
          <w:left w:color="ffffff" w:space="0" w:sz="8" w:val="single"/>
          <w:bottom w:color="ffffff" w:space="0" w:sz="8" w:val="single"/>
          <w:right w:color="ffffff" w:space="0" w:sz="8" w:val="single"/>
          <w:insideH w:color="ffffff" w:space="0" w:sz="8" w:val="single"/>
          <w:insideV w:color="ffffff" w:space="0" w:sz="8" w:val="single"/>
        </w:tblBorders>
        <w:tblLayout w:type="fixed"/>
        <w:tblLook w:val="0400"/>
      </w:tblPr>
      <w:tblGrid>
        <w:gridCol w:w="3085"/>
        <w:gridCol w:w="6602"/>
        <w:tblGridChange w:id="0">
          <w:tblGrid>
            <w:gridCol w:w="3085"/>
            <w:gridCol w:w="6602"/>
          </w:tblGrid>
        </w:tblGridChange>
      </w:tblGrid>
      <w:tr>
        <w:trPr>
          <w:cantSplit w:val="0"/>
          <w:trHeight w:val="275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80.0" w:type="dxa"/>
              <w:left w:w="80.0" w:type="dxa"/>
              <w:bottom w:w="80.0" w:type="dxa"/>
              <w:right w:w="80.0" w:type="dxa"/>
            </w:tcMar>
          </w:tcPr>
          <w:p w:rsidR="00000000" w:rsidDel="00000000" w:rsidP="00000000" w:rsidRDefault="00000000" w:rsidRPr="00000000" w14:paraId="0000000B">
            <w:pPr>
              <w:spacing w:line="260" w:lineRule="auto"/>
              <w:jc w:val="both"/>
              <w:rPr/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Názov: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80.0" w:type="dxa"/>
              <w:left w:w="80.0" w:type="dxa"/>
              <w:bottom w:w="80.0" w:type="dxa"/>
              <w:right w:w="80.0" w:type="dxa"/>
            </w:tcMar>
          </w:tcPr>
          <w:p w:rsidR="00000000" w:rsidDel="00000000" w:rsidP="00000000" w:rsidRDefault="00000000" w:rsidRPr="00000000" w14:paraId="0000000C">
            <w:pPr>
              <w:spacing w:line="260" w:lineRule="auto"/>
              <w:jc w:val="both"/>
              <w:rPr/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Doop trade s. r. o.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5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80.0" w:type="dxa"/>
              <w:left w:w="80.0" w:type="dxa"/>
              <w:bottom w:w="80.0" w:type="dxa"/>
              <w:right w:w="80.0" w:type="dxa"/>
            </w:tcMar>
          </w:tcPr>
          <w:p w:rsidR="00000000" w:rsidDel="00000000" w:rsidP="00000000" w:rsidRDefault="00000000" w:rsidRPr="00000000" w14:paraId="0000000D">
            <w:pPr>
              <w:spacing w:line="260" w:lineRule="auto"/>
              <w:jc w:val="both"/>
              <w:rPr/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IČO: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80.0" w:type="dxa"/>
              <w:left w:w="80.0" w:type="dxa"/>
              <w:bottom w:w="80.0" w:type="dxa"/>
              <w:right w:w="80.0" w:type="dxa"/>
            </w:tcMar>
          </w:tcPr>
          <w:p w:rsidR="00000000" w:rsidDel="00000000" w:rsidP="00000000" w:rsidRDefault="00000000" w:rsidRPr="00000000" w14:paraId="0000000E">
            <w:pPr>
              <w:spacing w:line="260" w:lineRule="auto"/>
              <w:jc w:val="both"/>
              <w:rPr/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52476481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5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80.0" w:type="dxa"/>
              <w:left w:w="80.0" w:type="dxa"/>
              <w:bottom w:w="80.0" w:type="dxa"/>
              <w:right w:w="80.0" w:type="dxa"/>
            </w:tcMar>
          </w:tcPr>
          <w:p w:rsidR="00000000" w:rsidDel="00000000" w:rsidP="00000000" w:rsidRDefault="00000000" w:rsidRPr="00000000" w14:paraId="0000000F">
            <w:pPr>
              <w:spacing w:line="260" w:lineRule="auto"/>
              <w:jc w:val="both"/>
              <w:rPr/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Sídlo: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80.0" w:type="dxa"/>
              <w:left w:w="80.0" w:type="dxa"/>
              <w:bottom w:w="80.0" w:type="dxa"/>
              <w:right w:w="80.0" w:type="dxa"/>
            </w:tcMar>
          </w:tcPr>
          <w:p w:rsidR="00000000" w:rsidDel="00000000" w:rsidP="00000000" w:rsidRDefault="00000000" w:rsidRPr="00000000" w14:paraId="00000010">
            <w:pPr>
              <w:spacing w:line="260" w:lineRule="auto"/>
              <w:jc w:val="both"/>
              <w:rPr/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Karpatské námestie 10A 831 06 Bratislava - mestská časť Rača 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1">
      <w:pPr>
        <w:ind w:left="108" w:hanging="108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spacing w:line="260" w:lineRule="auto"/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spacing w:line="260" w:lineRule="auto"/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808"/>
        </w:tabs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2.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Údaje o konsolidovanom celku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- obchodné meno a sídlo konsolidujúcej účtovnej jednotky:   nemáme</w:t>
      </w:r>
    </w:p>
    <w:p w:rsidR="00000000" w:rsidDel="00000000" w:rsidP="00000000" w:rsidRDefault="00000000" w:rsidRPr="00000000" w14:paraId="0000001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808"/>
        </w:tabs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808"/>
        </w:tabs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spacing w:line="260" w:lineRule="auto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3. </w:t>
      </w:r>
      <w:r w:rsidDel="00000000" w:rsidR="00000000" w:rsidRPr="00000000">
        <w:rPr>
          <w:rFonts w:ascii="Arial" w:cs="Arial" w:eastAsia="Arial" w:hAnsi="Arial"/>
          <w:u w:val="single"/>
          <w:rtl w:val="0"/>
        </w:rPr>
        <w:t xml:space="preserve">Priemerný prepočítaný počet zamestnancov</w:t>
      </w:r>
      <w:r w:rsidDel="00000000" w:rsidR="00000000" w:rsidRPr="00000000">
        <w:rPr>
          <w:rFonts w:ascii="Arial" w:cs="Arial" w:eastAsia="Arial" w:hAnsi="Arial"/>
          <w:rtl w:val="0"/>
        </w:rPr>
        <w:t xml:space="preserve">:</w:t>
      </w:r>
    </w:p>
    <w:p w:rsidR="00000000" w:rsidDel="00000000" w:rsidP="00000000" w:rsidRDefault="00000000" w:rsidRPr="00000000" w14:paraId="00000019">
      <w:pPr>
        <w:spacing w:line="260" w:lineRule="auto"/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9687.0" w:type="dxa"/>
        <w:jc w:val="left"/>
        <w:tblInd w:w="216.0" w:type="dxa"/>
        <w:tblBorders>
          <w:top w:color="ffffff" w:space="0" w:sz="8" w:val="single"/>
          <w:left w:color="ffffff" w:space="0" w:sz="8" w:val="single"/>
          <w:bottom w:color="ffffff" w:space="0" w:sz="8" w:val="single"/>
          <w:right w:color="ffffff" w:space="0" w:sz="8" w:val="single"/>
          <w:insideH w:color="ffffff" w:space="0" w:sz="8" w:val="single"/>
          <w:insideV w:color="ffffff" w:space="0" w:sz="8" w:val="single"/>
        </w:tblBorders>
        <w:tblLayout w:type="fixed"/>
        <w:tblLook w:val="0400"/>
      </w:tblPr>
      <w:tblGrid>
        <w:gridCol w:w="4219"/>
        <w:gridCol w:w="2126"/>
        <w:gridCol w:w="3342"/>
        <w:tblGridChange w:id="0">
          <w:tblGrid>
            <w:gridCol w:w="4219"/>
            <w:gridCol w:w="2126"/>
            <w:gridCol w:w="3342"/>
          </w:tblGrid>
        </w:tblGridChange>
      </w:tblGrid>
      <w:tr>
        <w:trPr>
          <w:cantSplit w:val="0"/>
          <w:trHeight w:val="795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80.0" w:type="dxa"/>
              <w:left w:w="80.0" w:type="dxa"/>
              <w:bottom w:w="80.0" w:type="dxa"/>
              <w:right w:w="80.0" w:type="dxa"/>
            </w:tcMar>
          </w:tcPr>
          <w:p w:rsidR="00000000" w:rsidDel="00000000" w:rsidP="00000000" w:rsidRDefault="00000000" w:rsidRPr="00000000" w14:paraId="0000001A">
            <w:pPr>
              <w:spacing w:line="260" w:lineRule="auto"/>
              <w:jc w:val="center"/>
              <w:rPr/>
            </w:pPr>
            <w:r w:rsidDel="00000000" w:rsidR="00000000" w:rsidRPr="00000000">
              <w:rPr>
                <w:rFonts w:ascii="Arial" w:cs="Arial" w:eastAsia="Arial" w:hAnsi="Arial"/>
                <w:b w:val="1"/>
                <w:rtl w:val="0"/>
              </w:rPr>
              <w:t xml:space="preserve">Názov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80.0" w:type="dxa"/>
              <w:left w:w="80.0" w:type="dxa"/>
              <w:bottom w:w="80.0" w:type="dxa"/>
              <w:right w:w="80.0" w:type="dxa"/>
            </w:tcMar>
          </w:tcPr>
          <w:p w:rsidR="00000000" w:rsidDel="00000000" w:rsidP="00000000" w:rsidRDefault="00000000" w:rsidRPr="00000000" w14:paraId="0000001B">
            <w:pPr>
              <w:spacing w:line="260" w:lineRule="auto"/>
              <w:jc w:val="center"/>
              <w:rPr>
                <w:rFonts w:ascii="Arial" w:cs="Arial" w:eastAsia="Arial" w:hAnsi="Arial"/>
                <w:b w:val="1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rtl w:val="0"/>
              </w:rPr>
              <w:t xml:space="preserve">Bežné účtovné</w:t>
            </w:r>
          </w:p>
          <w:p w:rsidR="00000000" w:rsidDel="00000000" w:rsidP="00000000" w:rsidRDefault="00000000" w:rsidRPr="00000000" w14:paraId="0000001C">
            <w:pPr>
              <w:spacing w:line="260" w:lineRule="auto"/>
              <w:jc w:val="center"/>
              <w:rPr/>
            </w:pPr>
            <w:r w:rsidDel="00000000" w:rsidR="00000000" w:rsidRPr="00000000">
              <w:rPr>
                <w:rFonts w:ascii="Arial" w:cs="Arial" w:eastAsia="Arial" w:hAnsi="Arial"/>
                <w:b w:val="1"/>
                <w:rtl w:val="0"/>
              </w:rPr>
              <w:t xml:space="preserve">obdobie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80.0" w:type="dxa"/>
              <w:left w:w="80.0" w:type="dxa"/>
              <w:bottom w:w="80.0" w:type="dxa"/>
              <w:right w:w="80.0" w:type="dxa"/>
            </w:tcMar>
          </w:tcPr>
          <w:p w:rsidR="00000000" w:rsidDel="00000000" w:rsidP="00000000" w:rsidRDefault="00000000" w:rsidRPr="00000000" w14:paraId="0000001D">
            <w:pPr>
              <w:spacing w:line="260" w:lineRule="auto"/>
              <w:jc w:val="center"/>
              <w:rPr/>
            </w:pPr>
            <w:r w:rsidDel="00000000" w:rsidR="00000000" w:rsidRPr="00000000">
              <w:rPr>
                <w:rFonts w:ascii="Arial" w:cs="Arial" w:eastAsia="Arial" w:hAnsi="Arial"/>
                <w:b w:val="1"/>
                <w:rtl w:val="0"/>
              </w:rPr>
              <w:t xml:space="preserve">Bezprostredne predchádzajúce účtovné obdobie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5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80.0" w:type="dxa"/>
              <w:left w:w="80.0" w:type="dxa"/>
              <w:bottom w:w="80.0" w:type="dxa"/>
              <w:right w:w="80.0" w:type="dxa"/>
            </w:tcMar>
          </w:tcPr>
          <w:p w:rsidR="00000000" w:rsidDel="00000000" w:rsidP="00000000" w:rsidRDefault="00000000" w:rsidRPr="00000000" w14:paraId="0000001E">
            <w:pPr>
              <w:spacing w:line="260" w:lineRule="auto"/>
              <w:rPr/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Priemerný prepočítaný počet zamestnancov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80.0" w:type="dxa"/>
              <w:left w:w="80.0" w:type="dxa"/>
              <w:bottom w:w="80.0" w:type="dxa"/>
              <w:right w:w="80.0" w:type="dxa"/>
            </w:tcMar>
          </w:tcPr>
          <w:p w:rsidR="00000000" w:rsidDel="00000000" w:rsidP="00000000" w:rsidRDefault="00000000" w:rsidRPr="00000000" w14:paraId="0000001F">
            <w:pPr>
              <w:spacing w:line="260" w:lineRule="auto"/>
              <w:jc w:val="center"/>
              <w:rPr/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6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80.0" w:type="dxa"/>
              <w:left w:w="80.0" w:type="dxa"/>
              <w:bottom w:w="80.0" w:type="dxa"/>
              <w:right w:w="80.0" w:type="dxa"/>
            </w:tcMar>
          </w:tcPr>
          <w:p w:rsidR="00000000" w:rsidDel="00000000" w:rsidP="00000000" w:rsidRDefault="00000000" w:rsidRPr="00000000" w14:paraId="00000020">
            <w:pPr>
              <w:spacing w:line="260" w:lineRule="auto"/>
              <w:jc w:val="center"/>
              <w:rPr/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1">
      <w:pPr>
        <w:ind w:left="108" w:hanging="108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spacing w:line="260" w:lineRule="auto"/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spacing w:before="1" w:line="280" w:lineRule="auto"/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pStyle w:val="Heading1"/>
        <w:ind w:right="839"/>
        <w:jc w:val="center"/>
        <w:rPr>
          <w:rFonts w:ascii="Arial" w:cs="Arial" w:eastAsia="Arial" w:hAnsi="Arial"/>
          <w:b w:val="0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Článok II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ind w:right="836"/>
        <w:jc w:val="center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Informácie o prijatých postupoch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spacing w:before="11" w:line="260" w:lineRule="auto"/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8">
      <w:pPr>
        <w:keepNext w:val="0"/>
        <w:keepLines w:val="0"/>
        <w:pageBreakBefore w:val="0"/>
        <w:widowControl w:val="0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both"/>
        <w:rPr>
          <w:rFonts w:ascii="Arial" w:cs="Arial" w:eastAsia="Arial" w:hAnsi="Arial"/>
          <w:b w:val="0"/>
          <w:i w:val="0"/>
          <w:color w:val="000000"/>
          <w:sz w:val="22"/>
          <w:szCs w:val="22"/>
          <w:u w:val="no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Informácia, či je účtovná závierka zostavená za splnenia predpokladu, že účtovná jednotka bude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nepretržite pokračovať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vo svojej činnosti: pokračujem vo svojej činnosti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808"/>
        </w:tabs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808"/>
        </w:tabs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808"/>
        </w:tabs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2.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Spôsob oceňovania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jednotlivých položiek majetku a záväzkov, a to:</w:t>
      </w:r>
    </w:p>
    <w:p w:rsidR="00000000" w:rsidDel="00000000" w:rsidP="00000000" w:rsidRDefault="00000000" w:rsidRPr="00000000" w14:paraId="0000002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808"/>
        </w:tabs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3"/>
        <w:tblW w:w="9687.0" w:type="dxa"/>
        <w:jc w:val="left"/>
        <w:tblInd w:w="216.0" w:type="dxa"/>
        <w:tblBorders>
          <w:top w:color="ffffff" w:space="0" w:sz="8" w:val="single"/>
          <w:left w:color="ffffff" w:space="0" w:sz="8" w:val="single"/>
          <w:bottom w:color="ffffff" w:space="0" w:sz="8" w:val="single"/>
          <w:right w:color="ffffff" w:space="0" w:sz="8" w:val="single"/>
          <w:insideH w:color="ffffff" w:space="0" w:sz="8" w:val="single"/>
          <w:insideV w:color="ffffff" w:space="0" w:sz="8" w:val="single"/>
        </w:tblBorders>
        <w:tblLayout w:type="fixed"/>
        <w:tblLook w:val="0400"/>
      </w:tblPr>
      <w:tblGrid>
        <w:gridCol w:w="4843"/>
        <w:gridCol w:w="4844"/>
        <w:tblGridChange w:id="0">
          <w:tblGrid>
            <w:gridCol w:w="4843"/>
            <w:gridCol w:w="4844"/>
          </w:tblGrid>
        </w:tblGridChange>
      </w:tblGrid>
      <w:tr>
        <w:trPr>
          <w:cantSplit w:val="0"/>
          <w:trHeight w:val="253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80.0" w:type="dxa"/>
              <w:left w:w="80.0" w:type="dxa"/>
              <w:bottom w:w="80.0" w:type="dxa"/>
              <w:right w:w="80.0" w:type="dxa"/>
            </w:tcMar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 položky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80.0" w:type="dxa"/>
              <w:left w:w="80.0" w:type="dxa"/>
              <w:bottom w:w="80.0" w:type="dxa"/>
              <w:right w:w="80.0" w:type="dxa"/>
            </w:tcMar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Spôsob oceňovania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3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80.0" w:type="dxa"/>
              <w:left w:w="80.0" w:type="dxa"/>
              <w:bottom w:w="80.0" w:type="dxa"/>
              <w:right w:w="80.0" w:type="dxa"/>
            </w:tcMar>
          </w:tcPr>
          <w:p w:rsidR="00000000" w:rsidDel="00000000" w:rsidP="00000000" w:rsidRDefault="00000000" w:rsidRPr="00000000" w14:paraId="0000002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Dlhodobý nehmotný majetok: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80.0" w:type="dxa"/>
              <w:left w:w="80.0" w:type="dxa"/>
              <w:bottom w:w="80.0" w:type="dxa"/>
              <w:right w:w="80.0" w:type="dxa"/>
            </w:tcMar>
          </w:tcPr>
          <w:p w:rsidR="00000000" w:rsidDel="00000000" w:rsidP="00000000" w:rsidRDefault="00000000" w:rsidRPr="00000000" w14:paraId="0000003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Obstarávacia cena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3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80.0" w:type="dxa"/>
              <w:left w:w="80.0" w:type="dxa"/>
              <w:bottom w:w="80.0" w:type="dxa"/>
              <w:right w:w="80.0" w:type="dxa"/>
            </w:tcMar>
          </w:tcPr>
          <w:p w:rsidR="00000000" w:rsidDel="00000000" w:rsidP="00000000" w:rsidRDefault="00000000" w:rsidRPr="00000000" w14:paraId="0000003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Dlhodobý hmotný majetok: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80.0" w:type="dxa"/>
              <w:left w:w="80.0" w:type="dxa"/>
              <w:bottom w:w="80.0" w:type="dxa"/>
              <w:right w:w="80.0" w:type="dxa"/>
            </w:tcMar>
          </w:tcPr>
          <w:p w:rsidR="00000000" w:rsidDel="00000000" w:rsidP="00000000" w:rsidRDefault="00000000" w:rsidRPr="00000000" w14:paraId="0000003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Obstarávacia cena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3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80.0" w:type="dxa"/>
              <w:left w:w="80.0" w:type="dxa"/>
              <w:bottom w:w="80.0" w:type="dxa"/>
              <w:right w:w="80.0" w:type="dxa"/>
            </w:tcMar>
          </w:tcPr>
          <w:p w:rsidR="00000000" w:rsidDel="00000000" w:rsidP="00000000" w:rsidRDefault="00000000" w:rsidRPr="00000000" w14:paraId="0000003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Dlhodobý finančný majetok: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80.0" w:type="dxa"/>
              <w:left w:w="80.0" w:type="dxa"/>
              <w:bottom w:w="80.0" w:type="dxa"/>
              <w:right w:w="80.0" w:type="dxa"/>
            </w:tcMar>
          </w:tcPr>
          <w:p w:rsidR="00000000" w:rsidDel="00000000" w:rsidP="00000000" w:rsidRDefault="00000000" w:rsidRPr="00000000" w14:paraId="0000003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Obstarávacia cena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3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80.0" w:type="dxa"/>
              <w:left w:w="80.0" w:type="dxa"/>
              <w:bottom w:w="80.0" w:type="dxa"/>
              <w:right w:w="80.0" w:type="dxa"/>
            </w:tcMar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Zásoby obstarané kúpou: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80.0" w:type="dxa"/>
              <w:left w:w="80.0" w:type="dxa"/>
              <w:bottom w:w="80.0" w:type="dxa"/>
              <w:right w:w="80.0" w:type="dxa"/>
            </w:tcMar>
          </w:tcPr>
          <w:p w:rsidR="00000000" w:rsidDel="00000000" w:rsidP="00000000" w:rsidRDefault="00000000" w:rsidRPr="00000000" w14:paraId="0000003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Obstarávacia cena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3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80.0" w:type="dxa"/>
              <w:left w:w="80.0" w:type="dxa"/>
              <w:bottom w:w="80.0" w:type="dxa"/>
              <w:right w:w="80.0" w:type="dxa"/>
            </w:tcMar>
          </w:tcPr>
          <w:p w:rsidR="00000000" w:rsidDel="00000000" w:rsidP="00000000" w:rsidRDefault="00000000" w:rsidRPr="00000000" w14:paraId="0000003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Zásoby vytvorené vlastnou činnosťou: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80.0" w:type="dxa"/>
              <w:left w:w="80.0" w:type="dxa"/>
              <w:bottom w:w="80.0" w:type="dxa"/>
              <w:right w:w="80.0" w:type="dxa"/>
            </w:tcMar>
          </w:tcPr>
          <w:p w:rsidR="00000000" w:rsidDel="00000000" w:rsidP="00000000" w:rsidRDefault="00000000" w:rsidRPr="00000000" w14:paraId="0000003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Vlastné náklady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3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80.0" w:type="dxa"/>
              <w:left w:w="80.0" w:type="dxa"/>
              <w:bottom w:w="80.0" w:type="dxa"/>
              <w:right w:w="80.0" w:type="dxa"/>
            </w:tcMar>
          </w:tcPr>
          <w:p w:rsidR="00000000" w:rsidDel="00000000" w:rsidP="00000000" w:rsidRDefault="00000000" w:rsidRPr="00000000" w14:paraId="0000003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Vlastné pohľadávky: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80.0" w:type="dxa"/>
              <w:left w:w="80.0" w:type="dxa"/>
              <w:bottom w:w="80.0" w:type="dxa"/>
              <w:right w:w="80.0" w:type="dxa"/>
            </w:tcMar>
          </w:tcPr>
          <w:p w:rsidR="00000000" w:rsidDel="00000000" w:rsidP="00000000" w:rsidRDefault="00000000" w:rsidRPr="00000000" w14:paraId="0000003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Menovitá hodnota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3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80.0" w:type="dxa"/>
              <w:left w:w="80.0" w:type="dxa"/>
              <w:bottom w:w="80.0" w:type="dxa"/>
              <w:right w:w="80.0" w:type="dxa"/>
            </w:tcMar>
          </w:tcPr>
          <w:p w:rsidR="00000000" w:rsidDel="00000000" w:rsidP="00000000" w:rsidRDefault="00000000" w:rsidRPr="00000000" w14:paraId="0000003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Kúpené pohľadávky: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80.0" w:type="dxa"/>
              <w:left w:w="80.0" w:type="dxa"/>
              <w:bottom w:w="80.0" w:type="dxa"/>
              <w:right w:w="80.0" w:type="dxa"/>
            </w:tcMar>
          </w:tcPr>
          <w:p w:rsidR="00000000" w:rsidDel="00000000" w:rsidP="00000000" w:rsidRDefault="00000000" w:rsidRPr="00000000" w14:paraId="0000003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Obstarávacia cena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3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80.0" w:type="dxa"/>
              <w:left w:w="80.0" w:type="dxa"/>
              <w:bottom w:w="80.0" w:type="dxa"/>
              <w:right w:w="80.0" w:type="dxa"/>
            </w:tcMar>
          </w:tcPr>
          <w:p w:rsidR="00000000" w:rsidDel="00000000" w:rsidP="00000000" w:rsidRDefault="00000000" w:rsidRPr="00000000" w14:paraId="0000003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Krátkodobý finančný majetok: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80.0" w:type="dxa"/>
              <w:left w:w="80.0" w:type="dxa"/>
              <w:bottom w:w="80.0" w:type="dxa"/>
              <w:right w:w="80.0" w:type="dxa"/>
            </w:tcMar>
          </w:tcPr>
          <w:p w:rsidR="00000000" w:rsidDel="00000000" w:rsidP="00000000" w:rsidRDefault="00000000" w:rsidRPr="00000000" w14:paraId="0000003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Obstarávacia cena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3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80.0" w:type="dxa"/>
              <w:left w:w="80.0" w:type="dxa"/>
              <w:bottom w:w="80.0" w:type="dxa"/>
              <w:right w:w="80.0" w:type="dxa"/>
            </w:tcMar>
          </w:tcPr>
          <w:p w:rsidR="00000000" w:rsidDel="00000000" w:rsidP="00000000" w:rsidRDefault="00000000" w:rsidRPr="00000000" w14:paraId="0000003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Záväzky vrátane rezerv: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80.0" w:type="dxa"/>
              <w:left w:w="80.0" w:type="dxa"/>
              <w:bottom w:w="80.0" w:type="dxa"/>
              <w:right w:w="80.0" w:type="dxa"/>
            </w:tcMar>
          </w:tcPr>
          <w:p w:rsidR="00000000" w:rsidDel="00000000" w:rsidP="00000000" w:rsidRDefault="00000000" w:rsidRPr="00000000" w14:paraId="0000004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Menovitá hodnota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3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80.0" w:type="dxa"/>
              <w:left w:w="80.0" w:type="dxa"/>
              <w:bottom w:w="80.0" w:type="dxa"/>
              <w:right w:w="80.0" w:type="dxa"/>
            </w:tcMar>
          </w:tcPr>
          <w:p w:rsidR="00000000" w:rsidDel="00000000" w:rsidP="00000000" w:rsidRDefault="00000000" w:rsidRPr="00000000" w14:paraId="0000004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Dlhopisy: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80.0" w:type="dxa"/>
              <w:left w:w="80.0" w:type="dxa"/>
              <w:bottom w:w="80.0" w:type="dxa"/>
              <w:right w:w="80.0" w:type="dxa"/>
            </w:tcMar>
          </w:tcPr>
          <w:p w:rsidR="00000000" w:rsidDel="00000000" w:rsidP="00000000" w:rsidRDefault="00000000" w:rsidRPr="00000000" w14:paraId="0000004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Menovitá hodnota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3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80.0" w:type="dxa"/>
              <w:left w:w="80.0" w:type="dxa"/>
              <w:bottom w:w="80.0" w:type="dxa"/>
              <w:right w:w="80.0" w:type="dxa"/>
            </w:tcMar>
          </w:tcPr>
          <w:p w:rsidR="00000000" w:rsidDel="00000000" w:rsidP="00000000" w:rsidRDefault="00000000" w:rsidRPr="00000000" w14:paraId="0000004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Pôžičky a úvery: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80.0" w:type="dxa"/>
              <w:left w:w="80.0" w:type="dxa"/>
              <w:bottom w:w="80.0" w:type="dxa"/>
              <w:right w:w="80.0" w:type="dxa"/>
            </w:tcMar>
          </w:tcPr>
          <w:p w:rsidR="00000000" w:rsidDel="00000000" w:rsidP="00000000" w:rsidRDefault="00000000" w:rsidRPr="00000000" w14:paraId="0000004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Menovitá hodnota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3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80.0" w:type="dxa"/>
              <w:left w:w="80.0" w:type="dxa"/>
              <w:bottom w:w="80.0" w:type="dxa"/>
              <w:right w:w="80.0" w:type="dxa"/>
            </w:tcMar>
          </w:tcPr>
          <w:p w:rsidR="00000000" w:rsidDel="00000000" w:rsidP="00000000" w:rsidRDefault="00000000" w:rsidRPr="00000000" w14:paraId="0000004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Derivátové operácie: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80.0" w:type="dxa"/>
              <w:left w:w="80.0" w:type="dxa"/>
              <w:bottom w:w="80.0" w:type="dxa"/>
              <w:right w:w="80.0" w:type="dxa"/>
            </w:tcMar>
          </w:tcPr>
          <w:p w:rsidR="00000000" w:rsidDel="00000000" w:rsidP="00000000" w:rsidRDefault="00000000" w:rsidRPr="00000000" w14:paraId="0000004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Menovitá hodnota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4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808"/>
        </w:tabs>
        <w:spacing w:after="0" w:before="0" w:line="240" w:lineRule="auto"/>
        <w:ind w:left="108" w:right="0" w:hanging="108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808"/>
        </w:tabs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808"/>
        </w:tabs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808"/>
        </w:tabs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808"/>
        </w:tabs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808"/>
        </w:tabs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3. Spôsob zostavenia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odpisového plánu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pre jednotlivé druhy dlhodobého hmotného majetku a dlhodobého nehmotného majetku, pričom sa uvádza doba odpisovania, použité sadzby odpisov a odpisové metódy pri určení odpisov: rovnomerné odpisovanie</w:t>
      </w:r>
    </w:p>
    <w:p w:rsidR="00000000" w:rsidDel="00000000" w:rsidP="00000000" w:rsidRDefault="00000000" w:rsidRPr="00000000" w14:paraId="0000004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808"/>
        </w:tabs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808"/>
        </w:tabs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4.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Zmeny účtovných  zásad  a zmeny účtovných  metód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 s uvedením  dôvodu  týchto  zmien a vyčíslením ich  vplyvu  na  finančnú  hodnotu  majetku,  záväzkov,  základného  imania a výsledku hospodárenia účtovnej jednotky: nemáme</w:t>
      </w:r>
    </w:p>
    <w:p w:rsidR="00000000" w:rsidDel="00000000" w:rsidP="00000000" w:rsidRDefault="00000000" w:rsidRPr="00000000" w14:paraId="0000004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808"/>
        </w:tabs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808"/>
        </w:tabs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5.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Informácie o dotáciách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a ich oceňovanie v účtovníctve:  nemáme</w:t>
      </w:r>
    </w:p>
    <w:p w:rsidR="00000000" w:rsidDel="00000000" w:rsidP="00000000" w:rsidRDefault="00000000" w:rsidRPr="00000000" w14:paraId="0000005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808"/>
        </w:tabs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808"/>
        </w:tabs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6. Informácie o účtovaní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významných opráv chýb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nemáme</w:t>
      </w:r>
    </w:p>
    <w:p w:rsidR="00000000" w:rsidDel="00000000" w:rsidP="00000000" w:rsidRDefault="00000000" w:rsidRPr="00000000" w14:paraId="00000053">
      <w:pPr>
        <w:spacing w:before="1" w:line="280" w:lineRule="auto"/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4">
      <w:pPr>
        <w:pStyle w:val="Heading1"/>
        <w:ind w:right="157"/>
        <w:jc w:val="center"/>
        <w:rPr>
          <w:rFonts w:ascii="Arial" w:cs="Arial" w:eastAsia="Arial" w:hAnsi="Arial"/>
          <w:b w:val="0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Článok III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5">
      <w:pPr>
        <w:ind w:right="157"/>
        <w:jc w:val="center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Informácie, ktoré vysvetľujú a dopĺňajú súvahu a výkaz ziskov a strát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6">
      <w:pPr>
        <w:spacing w:before="11" w:line="260" w:lineRule="auto"/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1. Informácia o sume a dôvodoch vzniku jednotlivých položiek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nákladov alebo výnosov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, ktoré majú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výnimočný rozsah alebo výskyt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, napríklad výnosy z predaja podniku alebo časti podniku, náklady z dôvodu predaja podniku alebo časti podniku, škody z dôvodu živelných pohrôm: nemáme</w:t>
      </w:r>
    </w:p>
    <w:p w:rsidR="00000000" w:rsidDel="00000000" w:rsidP="00000000" w:rsidRDefault="00000000" w:rsidRPr="00000000" w14:paraId="0000005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2.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Informácie o záväzkoch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, a to:</w:t>
      </w:r>
    </w:p>
    <w:p w:rsidR="00000000" w:rsidDel="00000000" w:rsidP="00000000" w:rsidRDefault="00000000" w:rsidRPr="00000000" w14:paraId="0000005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- celkovej sume záväzkov so zostatkovou dobou splatnosti dlhšou ako päť rokov: nemáme</w:t>
      </w:r>
    </w:p>
    <w:p w:rsidR="00000000" w:rsidDel="00000000" w:rsidP="00000000" w:rsidRDefault="00000000" w:rsidRPr="00000000" w14:paraId="0000005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- celkovej sume zabezpečených záväzkov, opis a spôsoby zabezpečenia záväzkov: nemáme</w:t>
      </w:r>
    </w:p>
    <w:p w:rsidR="00000000" w:rsidDel="00000000" w:rsidP="00000000" w:rsidRDefault="00000000" w:rsidRPr="00000000" w14:paraId="0000005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3.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Informácie o vlastných akciách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, a 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 menovitá hodnota a hodnote, za ktorú sa vlastné akcie nadobudli a ktoré účtovná jednotka má v držbe k poslednému dňu účtovného obdobia; uvádza sa aj ich percentuálny podiel na upísanom základnom imaní: nemáme</w:t>
      </w:r>
    </w:p>
    <w:p w:rsidR="00000000" w:rsidDel="00000000" w:rsidP="00000000" w:rsidRDefault="00000000" w:rsidRPr="00000000" w14:paraId="0000006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4.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Informácie o orgánoch účtovnej jednotky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, a to:</w:t>
      </w:r>
    </w:p>
    <w:p w:rsidR="00000000" w:rsidDel="00000000" w:rsidP="00000000" w:rsidRDefault="00000000" w:rsidRPr="00000000" w14:paraId="0000006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a) výške jednotlivých druhov záruk alebo iných zabezpečení poskytnutých pre členov štatutárneho orgánu,  dozorného  orgánu  a  iného  orgánu  účtovnej  jednotky,  a to v členení za jednotlivé orgány: nemáme</w:t>
      </w:r>
    </w:p>
    <w:p w:rsidR="00000000" w:rsidDel="00000000" w:rsidP="00000000" w:rsidRDefault="00000000" w:rsidRPr="00000000" w14:paraId="0000006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b) pôžičkách  poskytnutých  členom  štatutárneho  orgánu,  dozorného  orgánu  a iného orgánu účtovnej jednotky a 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nemáme</w:t>
      </w:r>
    </w:p>
    <w:p w:rsidR="00000000" w:rsidDel="00000000" w:rsidP="00000000" w:rsidRDefault="00000000" w:rsidRPr="00000000" w14:paraId="0000006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c) hlavných podmienkach, na základe ktorých im boli záruky alebo iné zabezpečenie a pôžičky poskytnuté; pri pôžičkách sa uvádzajú úrokové sadzby: nemáme</w:t>
      </w:r>
    </w:p>
    <w:p w:rsidR="00000000" w:rsidDel="00000000" w:rsidP="00000000" w:rsidRDefault="00000000" w:rsidRPr="00000000" w14:paraId="0000006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d) celkovej sume použitých finančných prostriedkov alebo iného plnenia na súkromné účely členmi štatutárneho orgánu, dozorného orgánu a iného orgánu účtovnej jednotky, ktoré je potrebné vyúčtovať: nemáme</w:t>
      </w:r>
    </w:p>
    <w:p w:rsidR="00000000" w:rsidDel="00000000" w:rsidP="00000000" w:rsidRDefault="00000000" w:rsidRPr="00000000" w14:paraId="0000006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5.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Informácie o povinnostiach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účtovnej jednotky, a to:</w:t>
      </w:r>
    </w:p>
    <w:p w:rsidR="00000000" w:rsidDel="00000000" w:rsidP="00000000" w:rsidRDefault="00000000" w:rsidRPr="00000000" w14:paraId="0000006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a) celkovej sume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finančných povinností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nemáme</w:t>
      </w:r>
    </w:p>
    <w:p w:rsidR="00000000" w:rsidDel="00000000" w:rsidP="00000000" w:rsidRDefault="00000000" w:rsidRPr="00000000" w14:paraId="0000006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b) celkovej sume významných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podmienených záväzkov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nemáme</w:t>
      </w:r>
    </w:p>
    <w:p w:rsidR="00000000" w:rsidDel="00000000" w:rsidP="00000000" w:rsidRDefault="00000000" w:rsidRPr="00000000" w14:paraId="0000007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c)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opise významných finančných povinností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a významných podmienených záväzkov, a to celkovej sume významných finančných povinností a významných podmienených záväzkoch voči dcérskej účtovnej jednotke a účtovnej jednotke s podstatným vplyvom: nemáme</w:t>
      </w:r>
    </w:p>
    <w:p w:rsidR="00000000" w:rsidDel="00000000" w:rsidP="00000000" w:rsidRDefault="00000000" w:rsidRPr="00000000" w14:paraId="0000007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d)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opise významných povinností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účtovnej jednotky vyplývajúcich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z dôchodkových programov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pre zamestnancov: nemáme</w:t>
      </w:r>
    </w:p>
    <w:p w:rsidR="00000000" w:rsidDel="00000000" w:rsidP="00000000" w:rsidRDefault="00000000" w:rsidRPr="00000000" w14:paraId="0000007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6. Informácie o udelení výlučného práva alebo osobitného práva, ktorým sa udelilo právo poskytovať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služby vo verejnom záujme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nemáme</w:t>
      </w:r>
      <w:r w:rsidDel="00000000" w:rsidR="00000000" w:rsidRPr="00000000">
        <w:rPr>
          <w:rtl w:val="0"/>
        </w:rPr>
      </w:r>
    </w:p>
    <w:sectPr>
      <w:headerReference r:id="rId6" w:type="default"/>
      <w:footerReference r:id="rId7" w:type="default"/>
      <w:pgSz w:h="16860" w:w="11900" w:orient="portrait"/>
      <w:pgMar w:bottom="800" w:top="1340" w:left="1060" w:right="1300" w:header="0" w:footer="6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Times New Roman"/>
  <w:font w:name="Georgia"/>
  <w:font w:name="Arial"/>
  <w:font w:name="Arial Narrow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  <w:font w:name="Helvetica Neue">
    <w:embedRegular w:fontKey="{00000000-0000-0000-0000-000000000000}" r:id="rId5" w:subsetted="0"/>
    <w:embedBold w:fontKey="{00000000-0000-0000-0000-000000000000}" r:id="rId6" w:subsetted="0"/>
    <w:embedItalic w:fontKey="{00000000-0000-0000-0000-000000000000}" r:id="rId7" w:subsetted="0"/>
    <w:embedBoldItalic w:fontKey="{00000000-0000-0000-0000-000000000000}" r:id="rId8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7B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right" w:leader="none" w:pos="9020"/>
      </w:tabs>
      <w:spacing w:after="0" w:before="0" w:line="240" w:lineRule="auto"/>
      <w:ind w:left="0" w:right="0" w:firstLine="0"/>
      <w:jc w:val="left"/>
      <w:rPr>
        <w:rFonts w:ascii="Helvetica Neue" w:cs="Helvetica Neue" w:eastAsia="Helvetica Neue" w:hAnsi="Helvetica Neue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77">
    <w:pPr>
      <w:keepNext w:val="0"/>
      <w:keepLines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36"/>
        <w:tab w:val="right" w:leader="none" w:pos="9072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  <mc:AlternateContent>
        <mc:Choice Requires="wpg">
          <w:drawing>
            <wp:anchor allowOverlap="1" behindDoc="1" distB="0" distT="0" distL="0" distR="0" hidden="0" layoutInCell="1" locked="0" relativeHeight="0" simplePos="0">
              <wp:simplePos x="0" y="0"/>
              <wp:positionH relativeFrom="page">
                <wp:posOffset>6136006</wp:posOffset>
              </wp:positionH>
              <wp:positionV relativeFrom="page">
                <wp:posOffset>10151111</wp:posOffset>
              </wp:positionV>
              <wp:extent cx="560070" cy="196850"/>
              <wp:effectExtent b="0" l="0" r="0" t="0"/>
              <wp:wrapNone/>
              <wp:docPr descr="Text Box 1" id="1" name=""/>
              <a:graphic>
                <a:graphicData uri="http://schemas.microsoft.com/office/word/2010/wordprocessingShape">
                  <wps:wsp>
                    <wps:cNvSpPr/>
                    <wps:cNvPr id="2" name="Shape 2"/>
                    <wps:spPr>
                      <a:xfrm>
                        <a:off x="5075490" y="369110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000000" w:rsidDel="00000000" w:rsidP="00000000" w:rsidRDefault="00000000" w:rsidRPr="00000000">
                          <w:pPr>
                            <w:spacing w:after="0" w:before="0" w:line="264.99999046325684"/>
                            <w:ind w:left="20" w:right="0" w:firstLine="40"/>
                            <w:jc w:val="left"/>
                            <w:textDirection w:val="btLr"/>
                          </w:pPr>
                          <w:r w:rsidDel="00000000" w:rsidR="00000000" w:rsidRPr="00000000">
                            <w:rPr>
                              <w:rFonts w:ascii="Arial" w:cs="Arial" w:eastAsia="Arial" w:hAnsi="Arial"/>
                              <w:b w:val="0"/>
                              <w:i w:val="0"/>
                              <w:smallCaps w:val="0"/>
                              <w:strike w:val="0"/>
                              <w:color w:val="000000"/>
                              <w:sz w:val="24"/>
                              <w:vertAlign w:val="baseline"/>
                            </w:rPr>
                            <w:t xml:space="preserve">Strana  PAGE 1</w:t>
                          </w:r>
                        </w:p>
                      </w:txbxContent>
                    </wps:txbx>
                    <wps:bodyPr anchorCtr="0" anchor="t" bIns="0" lIns="0" spcFirstLastPara="1" rIns="0" wrap="square" tIns="0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1" distB="0" distT="0" distL="0" distR="0" hidden="0" layoutInCell="1" locked="0" relativeHeight="0" simplePos="0">
              <wp:simplePos x="0" y="0"/>
              <wp:positionH relativeFrom="page">
                <wp:posOffset>6136006</wp:posOffset>
              </wp:positionH>
              <wp:positionV relativeFrom="page">
                <wp:posOffset>10151111</wp:posOffset>
              </wp:positionV>
              <wp:extent cx="560070" cy="196850"/>
              <wp:effectExtent b="0" l="0" r="0" t="0"/>
              <wp:wrapNone/>
              <wp:docPr descr="Text Box 1" id="1" name="image1.png"/>
              <a:graphic>
                <a:graphicData uri="http://schemas.openxmlformats.org/drawingml/2006/picture">
                  <pic:pic>
                    <pic:nvPicPr>
                      <pic:cNvPr descr="Text Box 1" id="0" name="image1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560070" cy="196850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78">
    <w:pPr>
      <w:keepNext w:val="0"/>
      <w:keepLines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36"/>
        <w:tab w:val="right" w:leader="none" w:pos="9072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79">
    <w:pPr>
      <w:keepNext w:val="0"/>
      <w:keepLines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36"/>
        <w:tab w:val="right" w:leader="none" w:pos="9072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7A">
    <w:pPr>
      <w:keepNext w:val="0"/>
      <w:keepLines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left" w:leader="none" w:pos="2990"/>
        <w:tab w:val="left" w:leader="none" w:pos="6348"/>
      </w:tabs>
      <w:spacing w:after="0" w:before="0" w:line="240" w:lineRule="auto"/>
      <w:ind w:left="0" w:right="0" w:firstLine="0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rtl w:val="0"/>
      </w:rPr>
      <w:t xml:space="preserve">Poznámky                                </w:t>
    </w:r>
    <w:r w:rsidDel="00000000" w:rsidR="00000000" w:rsidRPr="00000000">
      <w:rPr>
        <w:rFonts w:ascii="Arial" w:cs="Arial" w:eastAsia="Arial" w:hAnsi="Arial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                          IČO </w:t>
    </w:r>
    <w:r w:rsidDel="00000000" w:rsidR="00000000" w:rsidRPr="00000000">
      <w:rPr>
        <w:rFonts w:ascii="Arial" w:cs="Arial" w:eastAsia="Arial" w:hAnsi="Arial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  <w:rtl w:val="0"/>
      </w:rPr>
      <w:t xml:space="preserve">52476481</w:t>
    </w:r>
    <w:r w:rsidDel="00000000" w:rsidR="00000000" w:rsidRPr="00000000">
      <w:rPr>
        <w:rFonts w:ascii="Arial" w:cs="Arial" w:eastAsia="Arial" w:hAnsi="Arial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  DIČ: 2121036379</w:t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decimal"/>
      <w:lvlText w:val="%1."/>
      <w:lvlJc w:val="left"/>
      <w:pPr>
        <w:ind w:left="720" w:hanging="360"/>
      </w:pPr>
      <w:rPr>
        <w:smallCaps w:val="0"/>
        <w:strike w:val="0"/>
        <w:shd w:fill="auto" w:val="clear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smallCaps w:val="0"/>
        <w:strike w:val="0"/>
        <w:shd w:fill="auto" w:val="clear"/>
        <w:vertAlign w:val="baseline"/>
      </w:rPr>
    </w:lvl>
    <w:lvl w:ilvl="2">
      <w:start w:val="1"/>
      <w:numFmt w:val="lowerRoman"/>
      <w:lvlText w:val="%3."/>
      <w:lvlJc w:val="left"/>
      <w:pPr>
        <w:ind w:left="2160" w:hanging="302"/>
      </w:pPr>
      <w:rPr>
        <w:smallCaps w:val="0"/>
        <w:strike w:val="0"/>
        <w:shd w:fill="auto" w:val="clear"/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smallCaps w:val="0"/>
        <w:strike w:val="0"/>
        <w:shd w:fill="auto" w:val="clear"/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smallCaps w:val="0"/>
        <w:strike w:val="0"/>
        <w:shd w:fill="auto" w:val="clear"/>
        <w:vertAlign w:val="baseline"/>
      </w:rPr>
    </w:lvl>
    <w:lvl w:ilvl="5">
      <w:start w:val="1"/>
      <w:numFmt w:val="lowerRoman"/>
      <w:lvlText w:val="%6."/>
      <w:lvlJc w:val="left"/>
      <w:pPr>
        <w:ind w:left="4320" w:hanging="302"/>
      </w:pPr>
      <w:rPr>
        <w:smallCaps w:val="0"/>
        <w:strike w:val="0"/>
        <w:shd w:fill="auto" w:val="clear"/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smallCaps w:val="0"/>
        <w:strike w:val="0"/>
        <w:shd w:fill="auto" w:val="clear"/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smallCaps w:val="0"/>
        <w:strike w:val="0"/>
        <w:shd w:fill="auto" w:val="clear"/>
        <w:vertAlign w:val="baseline"/>
      </w:rPr>
    </w:lvl>
    <w:lvl w:ilvl="8">
      <w:start w:val="1"/>
      <w:numFmt w:val="lowerRoman"/>
      <w:lvlText w:val="%9."/>
      <w:lvlJc w:val="left"/>
      <w:pPr>
        <w:ind w:left="6480" w:hanging="302"/>
      </w:pPr>
      <w:rPr>
        <w:smallCaps w:val="0"/>
        <w:strike w:val="0"/>
        <w:shd w:fill="auto" w:val="clear"/>
        <w:vertAlign w:val="baseline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sk-SK"/>
      </w:rPr>
    </w:rPrDefault>
    <w:pPrDefault>
      <w:pPr>
        <w:widowControl w:val="0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ArialNarrow-regular.ttf"/><Relationship Id="rId2" Type="http://schemas.openxmlformats.org/officeDocument/2006/relationships/font" Target="fonts/ArialNarrow-bold.ttf"/><Relationship Id="rId3" Type="http://schemas.openxmlformats.org/officeDocument/2006/relationships/font" Target="fonts/ArialNarrow-italic.ttf"/><Relationship Id="rId4" Type="http://schemas.openxmlformats.org/officeDocument/2006/relationships/font" Target="fonts/ArialNarrow-boldItalic.ttf"/><Relationship Id="rId5" Type="http://schemas.openxmlformats.org/officeDocument/2006/relationships/font" Target="fonts/HelveticaNeue-regular.ttf"/><Relationship Id="rId6" Type="http://schemas.openxmlformats.org/officeDocument/2006/relationships/font" Target="fonts/HelveticaNeue-bold.ttf"/><Relationship Id="rId7" Type="http://schemas.openxmlformats.org/officeDocument/2006/relationships/font" Target="fonts/HelveticaNeue-italic.ttf"/><Relationship Id="rId8" Type="http://schemas.openxmlformats.org/officeDocument/2006/relationships/font" Target="fonts/HelveticaNeue-boldItalic.ttf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