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F9E8E1" w14:textId="0C4A6030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40"/>
          <w:szCs w:val="40"/>
        </w:rPr>
      </w:pPr>
      <w:r w:rsidRPr="00693C1D">
        <w:rPr>
          <w:rFonts w:ascii="Arial" w:hAnsi="Arial" w:cs="Arial"/>
          <w:b/>
          <w:bCs/>
          <w:sz w:val="40"/>
          <w:szCs w:val="40"/>
        </w:rPr>
        <w:t>POZNÁMKY k 31.12.2023</w:t>
      </w:r>
    </w:p>
    <w:p w14:paraId="22D39749" w14:textId="77777777" w:rsid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</w:p>
    <w:p w14:paraId="2E9D3708" w14:textId="77777777" w:rsid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</w:p>
    <w:p w14:paraId="37175314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14:paraId="3B66E700" w14:textId="6054FA68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693C1D">
        <w:rPr>
          <w:rFonts w:ascii="Arial" w:hAnsi="Arial" w:cs="Arial"/>
          <w:sz w:val="28"/>
          <w:szCs w:val="28"/>
        </w:rPr>
        <w:t xml:space="preserve">Poznámky </w:t>
      </w:r>
      <w:proofErr w:type="spellStart"/>
      <w:r w:rsidRPr="00693C1D">
        <w:rPr>
          <w:rFonts w:ascii="Arial" w:hAnsi="Arial" w:cs="Arial"/>
          <w:sz w:val="28"/>
          <w:szCs w:val="28"/>
        </w:rPr>
        <w:t>Úč</w:t>
      </w:r>
      <w:proofErr w:type="spellEnd"/>
      <w:r w:rsidRPr="00693C1D">
        <w:rPr>
          <w:rFonts w:ascii="Arial" w:hAnsi="Arial" w:cs="Arial"/>
          <w:sz w:val="28"/>
          <w:szCs w:val="28"/>
        </w:rPr>
        <w:t xml:space="preserve"> PODV 3-01 IČO 5 0 7 5 8 5 4 3 DIČ 2 1 2 0 4 6 0 5 0 7</w:t>
      </w:r>
    </w:p>
    <w:p w14:paraId="75B8BE18" w14:textId="77777777" w:rsid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>
        <w:rPr>
          <w:rFonts w:ascii="Arial,Bold" w:hAnsi="Arial,Bold" w:cs="Arial,Bold"/>
          <w:b/>
          <w:bCs/>
          <w:sz w:val="24"/>
          <w:szCs w:val="24"/>
        </w:rPr>
        <w:t>Čl. I Všeobecné informácie o účtovnej jednotke</w:t>
      </w:r>
    </w:p>
    <w:p w14:paraId="4B61896B" w14:textId="77777777" w:rsid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>
        <w:rPr>
          <w:rFonts w:ascii="Arial,Bold" w:hAnsi="Arial,Bold" w:cs="Arial,Bold"/>
          <w:b/>
          <w:bCs/>
          <w:sz w:val="24"/>
          <w:szCs w:val="24"/>
        </w:rPr>
        <w:t>Čl. I (1) (5) Všeobecné informácie</w:t>
      </w:r>
    </w:p>
    <w:p w14:paraId="77E19A85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93C1D">
        <w:rPr>
          <w:rFonts w:ascii="Arial" w:hAnsi="Arial" w:cs="Arial"/>
        </w:rPr>
        <w:t>Čl. I (5)</w:t>
      </w:r>
    </w:p>
    <w:p w14:paraId="24F1D98D" w14:textId="0D4772F9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93C1D">
        <w:rPr>
          <w:rFonts w:ascii="Arial" w:hAnsi="Arial" w:cs="Arial"/>
        </w:rPr>
        <w:t>Priemerný počet zamestnancov počas účtovného obdobia</w:t>
      </w:r>
      <w:r w:rsidRPr="00693C1D">
        <w:rPr>
          <w:rFonts w:ascii="Arial" w:hAnsi="Arial" w:cs="Arial"/>
        </w:rPr>
        <w:t xml:space="preserve">    </w:t>
      </w:r>
      <w:r w:rsidRPr="00693C1D">
        <w:rPr>
          <w:rFonts w:ascii="Arial" w:hAnsi="Arial" w:cs="Arial"/>
          <w:color w:val="0070C0"/>
        </w:rPr>
        <w:t>2 osoby</w:t>
      </w:r>
    </w:p>
    <w:p w14:paraId="6D33CC2A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93C1D">
        <w:rPr>
          <w:rFonts w:ascii="Arial" w:hAnsi="Arial" w:cs="Arial"/>
        </w:rPr>
        <w:t>Opis hospodárskej činnosti v nadväznosti na predmet podnikania</w:t>
      </w:r>
    </w:p>
    <w:p w14:paraId="772C4E35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70C0"/>
        </w:rPr>
      </w:pPr>
      <w:r w:rsidRPr="00693C1D">
        <w:rPr>
          <w:rFonts w:ascii="Arial" w:hAnsi="Arial" w:cs="Arial"/>
          <w:color w:val="0070C0"/>
        </w:rPr>
        <w:t>služby pre subdodávateľov v automobilovom priemysle</w:t>
      </w:r>
    </w:p>
    <w:p w14:paraId="79C13745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93C1D">
        <w:rPr>
          <w:rFonts w:ascii="Arial" w:hAnsi="Arial" w:cs="Arial"/>
        </w:rPr>
        <w:t xml:space="preserve">Sídlo účtovnej jednotky: </w:t>
      </w:r>
      <w:r w:rsidRPr="00693C1D">
        <w:rPr>
          <w:rFonts w:ascii="Arial" w:hAnsi="Arial" w:cs="Arial"/>
          <w:color w:val="0070C0"/>
        </w:rPr>
        <w:t>Antická 1084/9, 85110, Bratislava - mestská časť Rusovce</w:t>
      </w:r>
    </w:p>
    <w:p w14:paraId="04724130" w14:textId="69A13E8C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70C0"/>
        </w:rPr>
      </w:pPr>
      <w:r w:rsidRPr="00693C1D">
        <w:rPr>
          <w:rFonts w:ascii="Arial" w:hAnsi="Arial" w:cs="Arial"/>
        </w:rPr>
        <w:t>Obchodné meno účtovnej jednotky</w:t>
      </w:r>
      <w:r w:rsidRPr="00693C1D">
        <w:rPr>
          <w:rFonts w:ascii="Arial" w:hAnsi="Arial" w:cs="Arial"/>
          <w:color w:val="0070C0"/>
        </w:rPr>
        <w:t xml:space="preserve"> :</w:t>
      </w:r>
      <w:r w:rsidRPr="001F4A26">
        <w:rPr>
          <w:rFonts w:ascii="Arial" w:hAnsi="Arial" w:cs="Arial"/>
          <w:b/>
          <w:bCs/>
          <w:color w:val="0070C0"/>
        </w:rPr>
        <w:t xml:space="preserve">MDM </w:t>
      </w:r>
      <w:proofErr w:type="spellStart"/>
      <w:r w:rsidRPr="001F4A26">
        <w:rPr>
          <w:rFonts w:ascii="Arial" w:hAnsi="Arial" w:cs="Arial"/>
          <w:b/>
          <w:bCs/>
          <w:color w:val="0070C0"/>
        </w:rPr>
        <w:t>Automotive</w:t>
      </w:r>
      <w:proofErr w:type="spellEnd"/>
      <w:r w:rsidRPr="001F4A26">
        <w:rPr>
          <w:rFonts w:ascii="Arial" w:hAnsi="Arial" w:cs="Arial"/>
          <w:b/>
          <w:bCs/>
          <w:color w:val="0070C0"/>
        </w:rPr>
        <w:t xml:space="preserve"> s.r.o.</w:t>
      </w:r>
    </w:p>
    <w:p w14:paraId="3E1BA6D9" w14:textId="3A6B7E21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93C1D">
        <w:rPr>
          <w:rFonts w:ascii="Arial" w:hAnsi="Arial" w:cs="Arial"/>
        </w:rPr>
        <w:t>Čl. I (1)</w:t>
      </w:r>
    </w:p>
    <w:p w14:paraId="4EC45F9F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</w:rPr>
      </w:pPr>
      <w:r w:rsidRPr="00693C1D">
        <w:rPr>
          <w:rFonts w:ascii="Arial,Bold" w:hAnsi="Arial,Bold" w:cs="Arial,Bold"/>
          <w:b/>
          <w:bCs/>
        </w:rPr>
        <w:t xml:space="preserve">Názov položky </w:t>
      </w:r>
    </w:p>
    <w:p w14:paraId="45DCBA9C" w14:textId="48D281A5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</w:rPr>
      </w:pPr>
      <w:r w:rsidRPr="00693C1D">
        <w:rPr>
          <w:rFonts w:ascii="Arial,Bold" w:hAnsi="Arial,Bold" w:cs="Arial,Bold"/>
          <w:b/>
          <w:bCs/>
        </w:rPr>
        <w:t>Bežné účtovné obdobie</w:t>
      </w:r>
    </w:p>
    <w:p w14:paraId="1D9008F2" w14:textId="32BF2621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70C0"/>
        </w:rPr>
      </w:pPr>
      <w:r w:rsidRPr="00693C1D">
        <w:rPr>
          <w:rFonts w:ascii="Arial" w:hAnsi="Arial" w:cs="Arial"/>
          <w:color w:val="0070C0"/>
        </w:rPr>
        <w:t>Priemerný prepočítaný počet zamestnancov</w:t>
      </w:r>
      <w:r w:rsidRPr="00693C1D">
        <w:rPr>
          <w:rFonts w:ascii="Arial" w:hAnsi="Arial" w:cs="Arial"/>
          <w:color w:val="0070C0"/>
        </w:rPr>
        <w:t xml:space="preserve"> : 2</w:t>
      </w:r>
    </w:p>
    <w:p w14:paraId="16AA0BE4" w14:textId="73726EA4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70C0"/>
        </w:rPr>
      </w:pPr>
      <w:r w:rsidRPr="00693C1D">
        <w:rPr>
          <w:rFonts w:ascii="Arial" w:hAnsi="Arial" w:cs="Arial"/>
          <w:color w:val="0070C0"/>
        </w:rPr>
        <w:t xml:space="preserve">Stav zamestnancov ku dňu, ku ktorému sa zostavuje účtovná závierka, z toho: </w:t>
      </w:r>
      <w:r w:rsidRPr="00693C1D">
        <w:rPr>
          <w:rFonts w:ascii="Arial" w:hAnsi="Arial" w:cs="Arial"/>
          <w:color w:val="0070C0"/>
        </w:rPr>
        <w:t>0</w:t>
      </w:r>
    </w:p>
    <w:p w14:paraId="1496EF37" w14:textId="080B74BB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70C0"/>
        </w:rPr>
      </w:pPr>
      <w:r w:rsidRPr="00693C1D">
        <w:rPr>
          <w:rFonts w:ascii="Arial" w:hAnsi="Arial" w:cs="Arial"/>
          <w:color w:val="0070C0"/>
        </w:rPr>
        <w:t>Počet vedúcich zamestnancov 1</w:t>
      </w:r>
    </w:p>
    <w:p w14:paraId="63AC256C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color w:val="0070C0"/>
        </w:rPr>
      </w:pPr>
    </w:p>
    <w:p w14:paraId="3FEFBC1A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</w:rPr>
      </w:pPr>
      <w:r w:rsidRPr="00693C1D">
        <w:rPr>
          <w:rFonts w:ascii="Arial,Bold" w:hAnsi="Arial,Bold" w:cs="Arial,Bold"/>
          <w:b/>
          <w:bCs/>
        </w:rPr>
        <w:t>Bezprostredne</w:t>
      </w:r>
    </w:p>
    <w:p w14:paraId="6B100B95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</w:rPr>
      </w:pPr>
      <w:r w:rsidRPr="00693C1D">
        <w:rPr>
          <w:rFonts w:ascii="Arial,Bold" w:hAnsi="Arial,Bold" w:cs="Arial,Bold"/>
          <w:b/>
          <w:bCs/>
        </w:rPr>
        <w:t>predchádzajúce účtovné</w:t>
      </w:r>
    </w:p>
    <w:p w14:paraId="619940AC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</w:rPr>
      </w:pPr>
      <w:r w:rsidRPr="00693C1D">
        <w:rPr>
          <w:rFonts w:ascii="Arial,Bold" w:hAnsi="Arial,Bold" w:cs="Arial,Bold"/>
          <w:b/>
          <w:bCs/>
        </w:rPr>
        <w:t>obdobie</w:t>
      </w:r>
    </w:p>
    <w:p w14:paraId="4F52F5E7" w14:textId="3A89D3D2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70C0"/>
        </w:rPr>
      </w:pPr>
      <w:r w:rsidRPr="00693C1D">
        <w:rPr>
          <w:rFonts w:ascii="Arial" w:hAnsi="Arial" w:cs="Arial"/>
          <w:color w:val="0070C0"/>
        </w:rPr>
        <w:t xml:space="preserve">Priemerný prepočítaný počet zamestnancov 2 </w:t>
      </w:r>
    </w:p>
    <w:p w14:paraId="3CB07C94" w14:textId="548FE75F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70C0"/>
        </w:rPr>
      </w:pPr>
      <w:r w:rsidRPr="00693C1D">
        <w:rPr>
          <w:rFonts w:ascii="Arial" w:hAnsi="Arial" w:cs="Arial"/>
          <w:color w:val="0070C0"/>
        </w:rPr>
        <w:t xml:space="preserve">Stav zamestnancov ku dňu, ku ktorému sa zostavuje účtovná závierka, z toho: 2 </w:t>
      </w:r>
    </w:p>
    <w:p w14:paraId="59A8158D" w14:textId="2FABF750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70C0"/>
        </w:rPr>
      </w:pPr>
      <w:r w:rsidRPr="00693C1D">
        <w:rPr>
          <w:rFonts w:ascii="Arial" w:hAnsi="Arial" w:cs="Arial"/>
          <w:color w:val="0070C0"/>
        </w:rPr>
        <w:t xml:space="preserve">Počet vedúcich zamestnancov 1 </w:t>
      </w:r>
    </w:p>
    <w:p w14:paraId="204FAF9F" w14:textId="77777777" w:rsid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>
        <w:rPr>
          <w:rFonts w:ascii="Arial,Bold" w:hAnsi="Arial,Bold" w:cs="Arial,Bold"/>
          <w:b/>
          <w:bCs/>
          <w:sz w:val="24"/>
          <w:szCs w:val="24"/>
        </w:rPr>
        <w:t>Čl. I (2) (3) Dátum schválenia účtovnej závierky a právny dôvod</w:t>
      </w:r>
    </w:p>
    <w:p w14:paraId="2C1121BB" w14:textId="6ADCBF9F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93C1D">
        <w:rPr>
          <w:rFonts w:ascii="Arial" w:hAnsi="Arial" w:cs="Arial"/>
        </w:rPr>
        <w:t xml:space="preserve">Čl. I (2) Dátum schválenia účtovnej závierky za predchádzajúce obdobie: </w:t>
      </w:r>
      <w:r w:rsidRPr="00693C1D">
        <w:rPr>
          <w:rFonts w:ascii="Arial" w:hAnsi="Arial" w:cs="Arial"/>
          <w:color w:val="0070C0"/>
        </w:rPr>
        <w:t>29.06.2023</w:t>
      </w:r>
    </w:p>
    <w:p w14:paraId="2847DAE7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93C1D">
        <w:rPr>
          <w:rFonts w:ascii="Arial" w:hAnsi="Arial" w:cs="Arial"/>
        </w:rPr>
        <w:t>Čl. I (3) Právny dôvod na zostavenie účtovnej závierky</w:t>
      </w:r>
    </w:p>
    <w:p w14:paraId="67A58CD5" w14:textId="31B030F9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93C1D">
        <w:rPr>
          <w:rFonts w:ascii="Arial" w:hAnsi="Arial" w:cs="Arial"/>
          <w:color w:val="0070C0"/>
        </w:rPr>
        <w:t>riadna</w:t>
      </w:r>
      <w:r w:rsidRPr="00693C1D">
        <w:rPr>
          <w:rFonts w:ascii="Arial" w:hAnsi="Arial" w:cs="Arial"/>
        </w:rPr>
        <w:t xml:space="preserve"> </w:t>
      </w:r>
    </w:p>
    <w:p w14:paraId="5518BB11" w14:textId="77777777" w:rsid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>
        <w:rPr>
          <w:rFonts w:ascii="Arial,Bold" w:hAnsi="Arial,Bold" w:cs="Arial,Bold"/>
          <w:b/>
          <w:bCs/>
          <w:sz w:val="24"/>
          <w:szCs w:val="24"/>
        </w:rPr>
        <w:t>Čl. III Informácie o prijatých postupoch</w:t>
      </w:r>
    </w:p>
    <w:p w14:paraId="30CD6666" w14:textId="77777777" w:rsid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>
        <w:rPr>
          <w:rFonts w:ascii="Arial,Bold" w:hAnsi="Arial,Bold" w:cs="Arial,Bold"/>
          <w:b/>
          <w:bCs/>
          <w:sz w:val="24"/>
          <w:szCs w:val="24"/>
        </w:rPr>
        <w:t>Čl. III (1) Nepretržité pokračovanie účtovnej jednotky</w:t>
      </w:r>
    </w:p>
    <w:p w14:paraId="52DE2E1F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93C1D">
        <w:rPr>
          <w:rFonts w:ascii="Arial" w:hAnsi="Arial" w:cs="Arial"/>
        </w:rPr>
        <w:t>Čl. III (1) Účtovná jednotka bude nepretržite pokračovať vo svojej činnosti:</w:t>
      </w:r>
    </w:p>
    <w:p w14:paraId="309C37A6" w14:textId="4191A018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70C0"/>
        </w:rPr>
      </w:pPr>
      <w:r w:rsidRPr="00693C1D">
        <w:rPr>
          <w:rFonts w:ascii="Arial" w:hAnsi="Arial" w:cs="Arial"/>
          <w:color w:val="0070C0"/>
        </w:rPr>
        <w:t xml:space="preserve">Áno </w:t>
      </w:r>
    </w:p>
    <w:p w14:paraId="3A28660D" w14:textId="3ADFE2A8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>
        <w:rPr>
          <w:rFonts w:ascii="Arial,Bold" w:hAnsi="Arial,Bold" w:cs="Arial,Bold"/>
          <w:b/>
          <w:bCs/>
          <w:sz w:val="24"/>
          <w:szCs w:val="24"/>
        </w:rPr>
        <w:t>Čl. III (2) Účtovné zásady a metódy, zmeny účtovných zásad a metód</w:t>
      </w:r>
    </w:p>
    <w:p w14:paraId="00C92D3E" w14:textId="132A0FDE" w:rsid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>
        <w:rPr>
          <w:rFonts w:ascii="Arial,Bold" w:hAnsi="Arial,Bold" w:cs="Arial,Bold"/>
          <w:b/>
          <w:bCs/>
          <w:sz w:val="24"/>
          <w:szCs w:val="24"/>
        </w:rPr>
        <w:t>Čl. III (3) Transakcie, ktoré sa neuvádzajú v súvahe a ich finančný vplyv</w:t>
      </w:r>
    </w:p>
    <w:p w14:paraId="40D95D4B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93C1D">
        <w:rPr>
          <w:rFonts w:ascii="Arial" w:hAnsi="Arial" w:cs="Arial"/>
        </w:rPr>
        <w:t>Čl. III (3) Informácie o transakciách, ktoré sa neuvádzajú v súvahe a ich finančný vplyv</w:t>
      </w:r>
    </w:p>
    <w:p w14:paraId="3B2C36F3" w14:textId="77777777" w:rsid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>
        <w:rPr>
          <w:rFonts w:ascii="Arial,Bold" w:hAnsi="Arial,Bold" w:cs="Arial,Bold"/>
          <w:b/>
          <w:bCs/>
          <w:sz w:val="24"/>
          <w:szCs w:val="24"/>
        </w:rPr>
        <w:t>Čl. III (4) Spôsob a určenie ocenenia majetku a záväzkov</w:t>
      </w:r>
    </w:p>
    <w:p w14:paraId="2A44EC29" w14:textId="77777777" w:rsid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>
        <w:rPr>
          <w:rFonts w:ascii="Arial,Bold" w:hAnsi="Arial,Bold" w:cs="Arial,Bold"/>
          <w:b/>
          <w:bCs/>
          <w:sz w:val="24"/>
          <w:szCs w:val="24"/>
        </w:rPr>
        <w:t>Čl. III (4) a) Spôsob oceňovania majetku a záväzkov - obstarávacia cena, vlastné náklady,</w:t>
      </w:r>
    </w:p>
    <w:p w14:paraId="3124993E" w14:textId="77777777" w:rsid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>
        <w:rPr>
          <w:rFonts w:ascii="Arial,Bold" w:hAnsi="Arial,Bold" w:cs="Arial,Bold"/>
          <w:b/>
          <w:bCs/>
          <w:sz w:val="24"/>
          <w:szCs w:val="24"/>
        </w:rPr>
        <w:t>menovitá hodnota</w:t>
      </w:r>
    </w:p>
    <w:p w14:paraId="6417A9C7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93C1D">
        <w:rPr>
          <w:rFonts w:ascii="Arial" w:hAnsi="Arial" w:cs="Arial"/>
        </w:rPr>
        <w:t>Čl. III (4) a) Spôsob oceňovania majetku a záväzkov - obstarávacia cena, vlastné náklady, menovitá hodnota</w:t>
      </w:r>
    </w:p>
    <w:p w14:paraId="7AD9115A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</w:rPr>
      </w:pPr>
      <w:r w:rsidRPr="00693C1D">
        <w:rPr>
          <w:rFonts w:ascii="Arial,Bold" w:hAnsi="Arial,Bold" w:cs="Arial,Bold"/>
          <w:b/>
          <w:bCs/>
        </w:rPr>
        <w:t>Ocenenie majetku a záväzkov ÚJ má náplň (x) Poznámka k oceneniu</w:t>
      </w:r>
    </w:p>
    <w:p w14:paraId="747BB6A2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</w:rPr>
      </w:pPr>
      <w:r w:rsidRPr="00693C1D">
        <w:rPr>
          <w:rFonts w:ascii="Arial,Bold" w:hAnsi="Arial,Bold" w:cs="Arial,Bold"/>
          <w:b/>
          <w:bCs/>
        </w:rPr>
        <w:t>Obstarávacou cenou</w:t>
      </w:r>
    </w:p>
    <w:p w14:paraId="0F249ADD" w14:textId="0A55D30D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70C0"/>
        </w:rPr>
      </w:pPr>
      <w:r w:rsidRPr="00693C1D">
        <w:rPr>
          <w:rFonts w:ascii="Arial" w:hAnsi="Arial" w:cs="Arial"/>
          <w:color w:val="0070C0"/>
        </w:rPr>
        <w:t>Hmotný majetok s výnimkou hmotného majetku vytvoreného vlastnou činnosťou</w:t>
      </w:r>
      <w:r w:rsidRPr="00693C1D">
        <w:rPr>
          <w:rFonts w:ascii="Arial" w:hAnsi="Arial" w:cs="Arial"/>
          <w:color w:val="0070C0"/>
        </w:rPr>
        <w:t xml:space="preserve">  X</w:t>
      </w:r>
    </w:p>
    <w:p w14:paraId="12BAF1D2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93C1D">
        <w:rPr>
          <w:rFonts w:ascii="Arial" w:hAnsi="Arial" w:cs="Arial"/>
        </w:rPr>
        <w:t>Zásoby s výnimkou zásob vytvorených vlastnou činnosťou</w:t>
      </w:r>
    </w:p>
    <w:p w14:paraId="28DBC953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93C1D">
        <w:rPr>
          <w:rFonts w:ascii="Arial" w:hAnsi="Arial" w:cs="Arial"/>
        </w:rPr>
        <w:t>Podiely na základnom imaní obchodných spoločností, deriváty a cenné papiere</w:t>
      </w:r>
    </w:p>
    <w:p w14:paraId="12C74C4C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93C1D">
        <w:rPr>
          <w:rFonts w:ascii="Arial" w:hAnsi="Arial" w:cs="Arial"/>
        </w:rPr>
        <w:t>Pohľadávky pri odplatnom nadobudnutí alebo pohľadávky nadobudnuté vkladom do ZI</w:t>
      </w:r>
    </w:p>
    <w:p w14:paraId="02C6BC9B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93C1D">
        <w:rPr>
          <w:rFonts w:ascii="Arial" w:hAnsi="Arial" w:cs="Arial"/>
        </w:rPr>
        <w:t>Nehmotný majetok s výnimkou nehmotného majetku vytvoreného vlastnou činnosťou</w:t>
      </w:r>
    </w:p>
    <w:p w14:paraId="1D3E343E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93C1D">
        <w:rPr>
          <w:rFonts w:ascii="Arial" w:hAnsi="Arial" w:cs="Arial"/>
        </w:rPr>
        <w:t>Záväzky pri ich prevzatí</w:t>
      </w:r>
    </w:p>
    <w:p w14:paraId="7666EF43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</w:rPr>
      </w:pPr>
      <w:r w:rsidRPr="00693C1D">
        <w:rPr>
          <w:rFonts w:ascii="Arial,Bold" w:hAnsi="Arial,Bold" w:cs="Arial,Bold"/>
          <w:b/>
          <w:bCs/>
        </w:rPr>
        <w:t>Vlastnými nákladmi</w:t>
      </w:r>
    </w:p>
    <w:p w14:paraId="65F5CBC8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93C1D">
        <w:rPr>
          <w:rFonts w:ascii="Arial" w:hAnsi="Arial" w:cs="Arial"/>
        </w:rPr>
        <w:t>Hmotný majetok vytvorený vlastnou činnosťou</w:t>
      </w:r>
    </w:p>
    <w:p w14:paraId="2197ADF8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93C1D">
        <w:rPr>
          <w:rFonts w:ascii="Arial" w:hAnsi="Arial" w:cs="Arial"/>
        </w:rPr>
        <w:lastRenderedPageBreak/>
        <w:t>Zásoby vytvorené vlastnou činnosťou</w:t>
      </w:r>
    </w:p>
    <w:p w14:paraId="52F9D5AA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93C1D">
        <w:rPr>
          <w:rFonts w:ascii="Arial" w:hAnsi="Arial" w:cs="Arial"/>
        </w:rPr>
        <w:t>Nehmotný majetok vytvorený vlastnou činnosťou</w:t>
      </w:r>
    </w:p>
    <w:p w14:paraId="5586BB0A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93C1D">
        <w:rPr>
          <w:rFonts w:ascii="Arial" w:hAnsi="Arial" w:cs="Arial"/>
        </w:rPr>
        <w:t>Príchovky a prírastky zvierat</w:t>
      </w:r>
    </w:p>
    <w:p w14:paraId="2CC25822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</w:rPr>
      </w:pPr>
      <w:r w:rsidRPr="00693C1D">
        <w:rPr>
          <w:rFonts w:ascii="Arial,Bold" w:hAnsi="Arial,Bold" w:cs="Arial,Bold"/>
          <w:b/>
          <w:bCs/>
        </w:rPr>
        <w:t>Menovitou hodnotou</w:t>
      </w:r>
    </w:p>
    <w:p w14:paraId="36BBE09A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70C0"/>
        </w:rPr>
      </w:pPr>
      <w:r w:rsidRPr="00693C1D">
        <w:rPr>
          <w:rFonts w:ascii="Arial" w:hAnsi="Arial" w:cs="Arial"/>
          <w:color w:val="0070C0"/>
        </w:rPr>
        <w:t>Peňažné prostriedky a ceniny x</w:t>
      </w:r>
    </w:p>
    <w:p w14:paraId="60A43C06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70C0"/>
        </w:rPr>
      </w:pPr>
      <w:r w:rsidRPr="00693C1D">
        <w:rPr>
          <w:rFonts w:ascii="Arial" w:hAnsi="Arial" w:cs="Arial"/>
          <w:color w:val="0070C0"/>
        </w:rPr>
        <w:t>Pohľadávky pri ich vzniku x</w:t>
      </w:r>
    </w:p>
    <w:p w14:paraId="179FA858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70C0"/>
        </w:rPr>
      </w:pPr>
      <w:r w:rsidRPr="00693C1D">
        <w:rPr>
          <w:rFonts w:ascii="Arial" w:hAnsi="Arial" w:cs="Arial"/>
          <w:color w:val="0070C0"/>
        </w:rPr>
        <w:t>Záväzky pri ich vzniku x</w:t>
      </w:r>
    </w:p>
    <w:p w14:paraId="6309FC9A" w14:textId="77777777" w:rsid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>
        <w:rPr>
          <w:rFonts w:ascii="Arial,Bold" w:hAnsi="Arial,Bold" w:cs="Arial,Bold"/>
          <w:b/>
          <w:bCs/>
          <w:sz w:val="24"/>
          <w:szCs w:val="24"/>
        </w:rPr>
        <w:t>Čl. III (4) g) Tvorba odpisového plánu</w:t>
      </w:r>
    </w:p>
    <w:p w14:paraId="112C8879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93C1D">
        <w:rPr>
          <w:rFonts w:ascii="Arial" w:hAnsi="Arial" w:cs="Arial"/>
        </w:rPr>
        <w:t>Čl. III (4) g) Tvorba odpisového plánu</w:t>
      </w:r>
    </w:p>
    <w:p w14:paraId="747C4C57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93C1D">
        <w:rPr>
          <w:rFonts w:ascii="Arial" w:hAnsi="Arial" w:cs="Arial"/>
        </w:rPr>
        <w:t>Dlhodobý nehmotný majetok</w:t>
      </w:r>
    </w:p>
    <w:p w14:paraId="5F89A342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93C1D">
        <w:rPr>
          <w:rFonts w:ascii="Arial" w:hAnsi="Arial" w:cs="Arial"/>
        </w:rPr>
        <w:t>Dlhodobý hmotný majetok:</w:t>
      </w:r>
    </w:p>
    <w:p w14:paraId="3E490C58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93C1D">
        <w:rPr>
          <w:rFonts w:ascii="Arial" w:hAnsi="Arial" w:cs="Arial"/>
        </w:rPr>
        <w:t>Dlhodobý hmotný majetok:</w:t>
      </w:r>
    </w:p>
    <w:p w14:paraId="136B5EFE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93C1D">
        <w:rPr>
          <w:rFonts w:ascii="Arial" w:hAnsi="Arial" w:cs="Arial"/>
        </w:rPr>
        <w:t>Odpisový plán bol ovplyvnený týmito skutočnosťami</w:t>
      </w:r>
    </w:p>
    <w:p w14:paraId="1927F3A4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70C0"/>
        </w:rPr>
      </w:pPr>
      <w:r w:rsidRPr="00693C1D">
        <w:rPr>
          <w:rFonts w:ascii="Arial" w:hAnsi="Arial" w:cs="Arial"/>
          <w:color w:val="0070C0"/>
        </w:rPr>
        <w:t>Spôsob zostavenia odpisového plánu pre jednotlivé druhy dlhodobého hmotného a nehmotného majetku</w:t>
      </w:r>
    </w:p>
    <w:p w14:paraId="2CBAAB5A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70C0"/>
        </w:rPr>
      </w:pPr>
      <w:r w:rsidRPr="00693C1D">
        <w:rPr>
          <w:rFonts w:ascii="Arial" w:hAnsi="Arial" w:cs="Arial"/>
          <w:color w:val="0070C0"/>
        </w:rPr>
        <w:t>odpisový plán účtovných odpisov vychádzal z požiadavky zákona č. 431/2002 o účtovníctve. Majetok sa odpisoval počas</w:t>
      </w:r>
    </w:p>
    <w:p w14:paraId="104C6E32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70C0"/>
        </w:rPr>
      </w:pPr>
      <w:r w:rsidRPr="00693C1D">
        <w:rPr>
          <w:rFonts w:ascii="Arial" w:hAnsi="Arial" w:cs="Arial"/>
          <w:color w:val="0070C0"/>
        </w:rPr>
        <w:t>predpokladanej doby používania zodpovedajúcej spotrebe budúcich ekonomických úžitkov z majetku. Odpisové sadzby pre</w:t>
      </w:r>
    </w:p>
    <w:p w14:paraId="5F2C271D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70C0"/>
        </w:rPr>
      </w:pPr>
      <w:r w:rsidRPr="00693C1D">
        <w:rPr>
          <w:rFonts w:ascii="Arial" w:hAnsi="Arial" w:cs="Arial"/>
          <w:color w:val="0070C0"/>
        </w:rPr>
        <w:t>účtovné a daňové odpisy dlhodobého nehmotného majetku sa rovnajú.</w:t>
      </w:r>
    </w:p>
    <w:p w14:paraId="7617F062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70C0"/>
        </w:rPr>
      </w:pPr>
      <w:r w:rsidRPr="00693C1D">
        <w:rPr>
          <w:rFonts w:ascii="Arial" w:hAnsi="Arial" w:cs="Arial"/>
          <w:color w:val="0070C0"/>
        </w:rPr>
        <w:t>odpisový plán účtovných odpisov sa zostavil interným predpisom, v ktorom sa vychádzalo z metód používaných pri vyčíslovaní</w:t>
      </w:r>
    </w:p>
    <w:p w14:paraId="0F6DC415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70C0"/>
        </w:rPr>
      </w:pPr>
      <w:r w:rsidRPr="00693C1D">
        <w:rPr>
          <w:rFonts w:ascii="Arial" w:hAnsi="Arial" w:cs="Arial"/>
          <w:color w:val="0070C0"/>
        </w:rPr>
        <w:t>daňových odpisov. Účtovné a daňové odpisy sa rovnajú.</w:t>
      </w:r>
    </w:p>
    <w:p w14:paraId="01082370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</w:rPr>
      </w:pPr>
      <w:r w:rsidRPr="00693C1D">
        <w:rPr>
          <w:rFonts w:ascii="Arial,Bold" w:hAnsi="Arial,Bold" w:cs="Arial,Bold"/>
          <w:b/>
          <w:bCs/>
        </w:rPr>
        <w:t>Druh majetku Doba odpisovania Sadzba odpisov Odpisová metóda</w:t>
      </w:r>
    </w:p>
    <w:p w14:paraId="30442FF1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70C0"/>
        </w:rPr>
      </w:pPr>
      <w:r w:rsidRPr="00693C1D">
        <w:rPr>
          <w:rFonts w:ascii="Arial" w:hAnsi="Arial" w:cs="Arial"/>
          <w:color w:val="0070C0"/>
        </w:rPr>
        <w:t>automobily 4 roky 1/4 rovnomerná</w:t>
      </w:r>
    </w:p>
    <w:p w14:paraId="42F0097E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70C0"/>
        </w:rPr>
      </w:pPr>
      <w:r w:rsidRPr="00693C1D">
        <w:rPr>
          <w:rFonts w:ascii="Arial" w:hAnsi="Arial" w:cs="Arial"/>
          <w:color w:val="0070C0"/>
        </w:rPr>
        <w:t>klimatizácia 12 rokov 1/12 rovnomerná</w:t>
      </w:r>
    </w:p>
    <w:p w14:paraId="0DA8FD0F" w14:textId="77777777" w:rsid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proofErr w:type="spellStart"/>
      <w:r>
        <w:rPr>
          <w:rFonts w:ascii="Arial,Bold" w:hAnsi="Arial,Bold" w:cs="Arial,Bold"/>
          <w:b/>
          <w:bCs/>
          <w:sz w:val="24"/>
          <w:szCs w:val="24"/>
        </w:rPr>
        <w:t>Čl</w:t>
      </w:r>
      <w:proofErr w:type="spellEnd"/>
      <w:r>
        <w:rPr>
          <w:rFonts w:ascii="Arial,Bold" w:hAnsi="Arial,Bold" w:cs="Arial,Bold"/>
          <w:b/>
          <w:bCs/>
          <w:sz w:val="24"/>
          <w:szCs w:val="24"/>
        </w:rPr>
        <w:t>. V Informácie o iných aktívach a iných pasívach</w:t>
      </w:r>
    </w:p>
    <w:p w14:paraId="2700CED0" w14:textId="77777777" w:rsid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>
        <w:rPr>
          <w:rFonts w:ascii="Arial,Bold" w:hAnsi="Arial,Bold" w:cs="Arial,Bold"/>
          <w:b/>
          <w:bCs/>
          <w:sz w:val="24"/>
          <w:szCs w:val="24"/>
        </w:rPr>
        <w:t>Čl. V (3) Informácie k údajom sledovaných na podsúvahových účtoch</w:t>
      </w:r>
    </w:p>
    <w:sectPr w:rsidR="00693C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F0E"/>
    <w:rsid w:val="001F2F0E"/>
    <w:rsid w:val="001F4A26"/>
    <w:rsid w:val="005309EC"/>
    <w:rsid w:val="00657100"/>
    <w:rsid w:val="0069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BE6E6"/>
  <w15:chartTrackingRefBased/>
  <w15:docId w15:val="{35EC95AB-3D2F-44B3-B3A9-9AF057083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93C1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Zdenka Jagnesakova</dc:creator>
  <cp:keywords/>
  <dc:description/>
  <cp:lastModifiedBy>Zdenka Jagnesakova</cp:lastModifiedBy>
  <cp:revision>3</cp:revision>
  <dcterms:created xsi:type="dcterms:W3CDTF">2024-07-01T19:41:00Z</dcterms:created>
  <dcterms:modified xsi:type="dcterms:W3CDTF">2024-07-01T19:41:00Z</dcterms:modified>
</cp:coreProperties>
</file>