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375" w:type="dxa"/>
        <w:tblInd w:w="-70" w:type="dxa"/>
        <w:tblCellMar>
          <w:top w:w="48" w:type="dxa"/>
          <w:left w:w="106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060"/>
        <w:gridCol w:w="2667"/>
        <w:gridCol w:w="339"/>
        <w:gridCol w:w="341"/>
        <w:gridCol w:w="341"/>
        <w:gridCol w:w="338"/>
        <w:gridCol w:w="341"/>
        <w:gridCol w:w="341"/>
        <w:gridCol w:w="338"/>
        <w:gridCol w:w="341"/>
        <w:gridCol w:w="567"/>
        <w:gridCol w:w="341"/>
        <w:gridCol w:w="341"/>
        <w:gridCol w:w="338"/>
        <w:gridCol w:w="341"/>
      </w:tblGrid>
      <w:tr w:rsidR="00E071E3" w14:paraId="331934CF" w14:textId="77777777" w:rsidTr="00796335">
        <w:trPr>
          <w:trHeight w:val="38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207F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2E8631B" w14:textId="77777777" w:rsidR="00E071E3" w:rsidRDefault="00E071E3" w:rsidP="00796335">
            <w:pPr>
              <w:spacing w:after="0" w:line="259" w:lineRule="auto"/>
              <w:ind w:left="0" w:right="101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EDAC7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BC135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6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001F2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765C6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3400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F9A06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B099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79DF2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2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C5327E1" w14:textId="77777777" w:rsidR="00E071E3" w:rsidRDefault="00E071E3" w:rsidP="00796335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DB54F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177FC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C1AE" w14:textId="77777777" w:rsidR="00E071E3" w:rsidRDefault="00E071E3" w:rsidP="007963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726D2" w14:textId="77777777" w:rsidR="00E071E3" w:rsidRDefault="00E071E3" w:rsidP="00796335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690BBFF7" w14:textId="77777777" w:rsidR="00E071E3" w:rsidRDefault="00E071E3" w:rsidP="00E071E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02D04D9C" w14:textId="77777777" w:rsidR="00E071E3" w:rsidRDefault="00E071E3" w:rsidP="00E071E3">
      <w:pPr>
        <w:pStyle w:val="Nadpis1"/>
      </w:pPr>
      <w:r>
        <w:t xml:space="preserve">Čl. I </w:t>
      </w:r>
    </w:p>
    <w:p w14:paraId="0C3E1C36" w14:textId="77777777" w:rsidR="00E071E3" w:rsidRDefault="00E071E3" w:rsidP="00E071E3">
      <w:pPr>
        <w:spacing w:after="0" w:line="510" w:lineRule="auto"/>
        <w:ind w:left="0" w:right="5" w:firstLine="0"/>
        <w:jc w:val="center"/>
      </w:pPr>
      <w:r>
        <w:rPr>
          <w:b/>
        </w:rPr>
        <w:t xml:space="preserve">Všeobecné údaje </w:t>
      </w:r>
      <w:r>
        <w:rPr>
          <w:rFonts w:ascii="Times New Roman" w:eastAsia="Times New Roman" w:hAnsi="Times New Roman" w:cs="Times New Roman"/>
        </w:rPr>
        <w:t>(1).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a) </w:t>
      </w:r>
      <w:r>
        <w:rPr>
          <w:rFonts w:ascii="Times New Roman" w:eastAsia="Times New Roman" w:hAnsi="Times New Roman" w:cs="Times New Roman"/>
          <w:sz w:val="24"/>
        </w:rPr>
        <w:tab/>
        <w:t xml:space="preserve">Názov </w:t>
      </w:r>
      <w:r>
        <w:rPr>
          <w:rFonts w:ascii="Times New Roman" w:eastAsia="Times New Roman" w:hAnsi="Times New Roman" w:cs="Times New Roman"/>
          <w:sz w:val="24"/>
        </w:rPr>
        <w:tab/>
        <w:t xml:space="preserve">organizácie </w:t>
      </w:r>
      <w:r>
        <w:rPr>
          <w:rFonts w:ascii="Times New Roman" w:eastAsia="Times New Roman" w:hAnsi="Times New Roman" w:cs="Times New Roman"/>
          <w:sz w:val="24"/>
        </w:rPr>
        <w:tab/>
        <w:t xml:space="preserve">kolektívnej </w:t>
      </w:r>
      <w:r>
        <w:rPr>
          <w:rFonts w:ascii="Times New Roman" w:eastAsia="Times New Roman" w:hAnsi="Times New Roman" w:cs="Times New Roman"/>
          <w:sz w:val="24"/>
        </w:rPr>
        <w:tab/>
        <w:t xml:space="preserve">správy: </w:t>
      </w:r>
      <w:r>
        <w:rPr>
          <w:rFonts w:ascii="Times New Roman" w:eastAsia="Times New Roman" w:hAnsi="Times New Roman" w:cs="Times New Roman"/>
          <w:sz w:val="24"/>
        </w:rPr>
        <w:tab/>
      </w:r>
      <w:hyperlink r:id="rId5">
        <w:r>
          <w:rPr>
            <w:rFonts w:ascii="Times New Roman" w:eastAsia="Times New Roman" w:hAnsi="Times New Roman" w:cs="Times New Roman"/>
            <w:b/>
            <w:color w:val="0000FF"/>
            <w:sz w:val="24"/>
            <w:u w:val="single" w:color="0000FF"/>
          </w:rPr>
          <w:t>SAPA</w:t>
        </w:r>
      </w:hyperlink>
      <w:hyperlink r:id="rId6">
        <w:r>
          <w:rPr>
            <w:rFonts w:ascii="Times New Roman" w:eastAsia="Times New Roman" w:hAnsi="Times New Roman" w:cs="Times New Roman"/>
            <w:b/>
            <w:sz w:val="24"/>
          </w:rPr>
          <w:t>,</w:t>
        </w:r>
      </w:hyperlink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Slovenská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asociácia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producentov </w:t>
      </w:r>
    </w:p>
    <w:p w14:paraId="45CD027C" w14:textId="77777777" w:rsidR="00E071E3" w:rsidRDefault="00E071E3" w:rsidP="00E071E3">
      <w:pPr>
        <w:spacing w:after="299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         v audiovízii</w:t>
      </w:r>
      <w:hyperlink r:id="rId7">
        <w:r>
          <w:rPr>
            <w:rFonts w:ascii="Times New Roman" w:eastAsia="Times New Roman" w:hAnsi="Times New Roman" w:cs="Times New Roman"/>
            <w:b/>
            <w:color w:val="0000FF"/>
            <w:sz w:val="24"/>
          </w:rPr>
          <w:t xml:space="preserve"> </w:t>
        </w:r>
      </w:hyperlink>
      <w:hyperlink r:id="rId8">
        <w:r>
          <w:rPr>
            <w:rFonts w:ascii="Times New Roman" w:eastAsia="Times New Roman" w:hAnsi="Times New Roman" w:cs="Times New Roman"/>
            <w:sz w:val="24"/>
          </w:rPr>
          <w:t xml:space="preserve"> </w:t>
        </w:r>
      </w:hyperlink>
    </w:p>
    <w:p w14:paraId="64E528BA" w14:textId="77777777" w:rsidR="00E071E3" w:rsidRDefault="00E071E3" w:rsidP="00E071E3">
      <w:pPr>
        <w:numPr>
          <w:ilvl w:val="0"/>
          <w:numId w:val="1"/>
        </w:numPr>
        <w:spacing w:after="306" w:line="256" w:lineRule="auto"/>
        <w:ind w:left="859" w:hanging="259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Sídlo organizácie kolektívnej správy: </w:t>
      </w:r>
      <w:proofErr w:type="spellStart"/>
      <w:r>
        <w:rPr>
          <w:rFonts w:ascii="Times New Roman" w:eastAsia="Times New Roman" w:hAnsi="Times New Roman" w:cs="Times New Roman"/>
          <w:sz w:val="24"/>
        </w:rPr>
        <w:t>Grösslingova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32, 811 09 Bratislava </w:t>
      </w:r>
    </w:p>
    <w:p w14:paraId="46584262" w14:textId="77777777" w:rsidR="00E071E3" w:rsidRDefault="00E071E3" w:rsidP="00E071E3">
      <w:pPr>
        <w:numPr>
          <w:ilvl w:val="0"/>
          <w:numId w:val="1"/>
        </w:numPr>
        <w:spacing w:after="278" w:line="256" w:lineRule="auto"/>
        <w:ind w:left="859" w:hanging="259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Štatutárny orgán: Marián Urban – riaditeľ </w:t>
      </w:r>
    </w:p>
    <w:p w14:paraId="42F78923" w14:textId="77777777" w:rsidR="00E071E3" w:rsidRDefault="00E071E3" w:rsidP="00E071E3">
      <w:pPr>
        <w:pStyle w:val="Nadpis1"/>
        <w:spacing w:after="311"/>
        <w:ind w:left="610" w:right="0"/>
        <w:jc w:val="left"/>
      </w:pPr>
      <w:r>
        <w:t xml:space="preserve">      Dátum založenia:</w:t>
      </w:r>
      <w:r>
        <w:rPr>
          <w:b w:val="0"/>
        </w:rPr>
        <w:t xml:space="preserve"> 14. 9. 2001</w:t>
      </w:r>
      <w:r>
        <w:rPr>
          <w:rFonts w:ascii="Times New Roman" w:eastAsia="Times New Roman" w:hAnsi="Times New Roman" w:cs="Times New Roman"/>
          <w:b w:val="0"/>
        </w:rPr>
        <w:t xml:space="preserve"> </w:t>
      </w:r>
    </w:p>
    <w:p w14:paraId="2D54CDE5" w14:textId="77777777" w:rsidR="00E071E3" w:rsidRDefault="00E071E3" w:rsidP="00E071E3">
      <w:pPr>
        <w:spacing w:after="306" w:line="256" w:lineRule="auto"/>
        <w:ind w:left="-5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(2.)    Orgán riadenia: Riaditeľ - Marián Urban </w:t>
      </w:r>
    </w:p>
    <w:p w14:paraId="296B9D4A" w14:textId="77777777" w:rsidR="00E071E3" w:rsidRDefault="00E071E3" w:rsidP="00E071E3">
      <w:pPr>
        <w:spacing w:after="246" w:line="256" w:lineRule="auto"/>
        <w:ind w:left="241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Výbor - Ivo </w:t>
      </w:r>
      <w:proofErr w:type="spellStart"/>
      <w:r>
        <w:rPr>
          <w:rFonts w:ascii="Times New Roman" w:eastAsia="Times New Roman" w:hAnsi="Times New Roman" w:cs="Times New Roman"/>
          <w:sz w:val="24"/>
        </w:rPr>
        <w:t>Brachtl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(predseda),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Dubecký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Patrik </w:t>
      </w:r>
      <w:proofErr w:type="spellStart"/>
      <w:r>
        <w:rPr>
          <w:rFonts w:ascii="Times New Roman" w:eastAsia="Times New Roman" w:hAnsi="Times New Roman" w:cs="Times New Roman"/>
          <w:sz w:val="24"/>
        </w:rPr>
        <w:t>Pašš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Marián Urban </w:t>
      </w:r>
    </w:p>
    <w:p w14:paraId="207DE438" w14:textId="77777777" w:rsidR="00E071E3" w:rsidRDefault="00E071E3" w:rsidP="00E071E3">
      <w:pPr>
        <w:spacing w:after="116" w:line="259" w:lineRule="auto"/>
        <w:ind w:left="0" w:firstLine="0"/>
        <w:jc w:val="left"/>
      </w:pPr>
      <w:r>
        <w:t xml:space="preserve"> </w:t>
      </w:r>
    </w:p>
    <w:p w14:paraId="18A90500" w14:textId="77777777" w:rsidR="00E071E3" w:rsidRDefault="00E071E3" w:rsidP="00E071E3">
      <w:pPr>
        <w:numPr>
          <w:ilvl w:val="0"/>
          <w:numId w:val="2"/>
        </w:numPr>
        <w:spacing w:after="310"/>
        <w:ind w:hanging="295"/>
        <w:jc w:val="left"/>
      </w:pPr>
      <w:r>
        <w:rPr>
          <w:sz w:val="24"/>
        </w:rPr>
        <w:t xml:space="preserve">Opis činnosti, na účel ktorej bola účtovná jednotka zriadená a opis druhu podnikateľskej činnosti, ak ju účtovná jednotka vykonáva. </w:t>
      </w:r>
    </w:p>
    <w:p w14:paraId="27317D82" w14:textId="77777777" w:rsidR="00E071E3" w:rsidRDefault="00E071E3" w:rsidP="00E071E3">
      <w:pPr>
        <w:spacing w:after="223" w:line="256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Ochrana a kolektívna správa práv slovenských a zahraničných producentov, majiteľov a správcov práv v slovenskom audiovizuálnom prostredí na základe licencie na výkon kolektívnej správy podľa autorského zákona. Spolupráca s európskymi organizáciami a inštitúciami ako AGICOA, </w:t>
      </w:r>
      <w:proofErr w:type="spellStart"/>
      <w:r>
        <w:rPr>
          <w:rFonts w:ascii="Times New Roman" w:eastAsia="Times New Roman" w:hAnsi="Times New Roman" w:cs="Times New Roman"/>
          <w:sz w:val="24"/>
        </w:rPr>
        <w:t>Eurocopya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FIAPF a asociáciami producentov na celom svete. Podpora prezentácie projektov slovenských producentov doma aj v zahraničí. Vývoj, spolupráca a príprava nového systému podpory audiovizuálnej tvorby. Reprezentácia slovenskej kinematografie v zahraničí. </w:t>
      </w:r>
    </w:p>
    <w:p w14:paraId="30A8BA05" w14:textId="77777777" w:rsidR="00E071E3" w:rsidRDefault="00E071E3" w:rsidP="00E071E3">
      <w:pPr>
        <w:numPr>
          <w:ilvl w:val="0"/>
          <w:numId w:val="2"/>
        </w:numPr>
        <w:spacing w:after="93"/>
        <w:ind w:hanging="295"/>
        <w:jc w:val="left"/>
      </w:pPr>
      <w:r>
        <w:rPr>
          <w:sz w:val="24"/>
        </w:rPr>
        <w:t xml:space="preserve">Priemerný prepočítaný počet zamestnancov: </w:t>
      </w:r>
    </w:p>
    <w:p w14:paraId="53F52AD5" w14:textId="77777777" w:rsidR="00E071E3" w:rsidRDefault="00E071E3" w:rsidP="00E071E3">
      <w:pPr>
        <w:ind w:left="-5"/>
      </w:pPr>
      <w:r>
        <w:t xml:space="preserve">       Bežné obdobie :  1 zamestnanec                                      Predchádzajúce obdobie :  1 zamestnanec     </w:t>
      </w:r>
    </w:p>
    <w:p w14:paraId="7F78FF1F" w14:textId="77777777" w:rsidR="00E071E3" w:rsidRDefault="00E071E3" w:rsidP="00E071E3">
      <w:pPr>
        <w:numPr>
          <w:ilvl w:val="0"/>
          <w:numId w:val="2"/>
        </w:numPr>
        <w:ind w:hanging="295"/>
        <w:jc w:val="left"/>
      </w:pPr>
      <w:r>
        <w:t xml:space="preserve">Informácia o organizáciách v zriaďovateľskej pôsobnosti účtovnej jednotky - žiadna </w:t>
      </w:r>
    </w:p>
    <w:p w14:paraId="5FE04EFB" w14:textId="77777777" w:rsidR="00E071E3" w:rsidRDefault="00E071E3" w:rsidP="00E071E3">
      <w:pPr>
        <w:numPr>
          <w:ilvl w:val="0"/>
          <w:numId w:val="2"/>
        </w:numPr>
        <w:ind w:hanging="295"/>
        <w:jc w:val="left"/>
      </w:pPr>
      <w:r>
        <w:t xml:space="preserve">Údaje podľa odseku  4 a čl. III a IV  sa uvádzajú v textovej podobe a tabuľkovej podobe.  </w:t>
      </w:r>
    </w:p>
    <w:p w14:paraId="3B42E3CD" w14:textId="77777777" w:rsidR="00E071E3" w:rsidRDefault="00E071E3" w:rsidP="00E071E3">
      <w:pPr>
        <w:spacing w:after="98" w:line="259" w:lineRule="auto"/>
        <w:ind w:left="0" w:firstLine="0"/>
        <w:jc w:val="left"/>
      </w:pPr>
      <w:r>
        <w:t xml:space="preserve"> </w:t>
      </w:r>
    </w:p>
    <w:p w14:paraId="102A098A" w14:textId="77777777" w:rsidR="00E071E3" w:rsidRDefault="00E071E3" w:rsidP="00E071E3">
      <w:pPr>
        <w:pStyle w:val="Nadpis1"/>
        <w:ind w:right="5"/>
      </w:pPr>
      <w:r>
        <w:t xml:space="preserve">Čl. II Informácie o účtovných zásadách a účtovných metódach </w:t>
      </w:r>
    </w:p>
    <w:p w14:paraId="37BCB359" w14:textId="77777777" w:rsidR="00E071E3" w:rsidRDefault="00E071E3" w:rsidP="00E071E3">
      <w:pPr>
        <w:spacing w:after="98" w:line="259" w:lineRule="auto"/>
        <w:ind w:left="48" w:firstLine="0"/>
        <w:jc w:val="center"/>
      </w:pPr>
      <w:r>
        <w:rPr>
          <w:b/>
        </w:rPr>
        <w:t xml:space="preserve"> </w:t>
      </w:r>
    </w:p>
    <w:p w14:paraId="5D392A5B" w14:textId="77777777" w:rsidR="00E071E3" w:rsidRDefault="00E071E3" w:rsidP="00E071E3">
      <w:pPr>
        <w:numPr>
          <w:ilvl w:val="0"/>
          <w:numId w:val="3"/>
        </w:numPr>
        <w:ind w:right="1432" w:hanging="271"/>
      </w:pPr>
      <w:r>
        <w:t xml:space="preserve">Účtovná závierka je zostavená za  predpokladu, že účtovná jednotka bude nepretržite pokračovať vo svojej činnosti.  </w:t>
      </w:r>
    </w:p>
    <w:p w14:paraId="751ADAC5" w14:textId="77777777" w:rsidR="00E071E3" w:rsidRDefault="00E071E3" w:rsidP="00E071E3">
      <w:pPr>
        <w:numPr>
          <w:ilvl w:val="0"/>
          <w:numId w:val="3"/>
        </w:numPr>
        <w:spacing w:after="1" w:line="352" w:lineRule="auto"/>
        <w:ind w:right="1432" w:hanging="271"/>
      </w:pPr>
      <w:r>
        <w:lastRenderedPageBreak/>
        <w:t xml:space="preserve">Zmeny účtovných zásad a zmeny účtovných metód v hodnotenom obdobie nenastali. (3) Spôsob oceňovania jednotlivých položiek majetku a záväzkov v členení na </w:t>
      </w:r>
    </w:p>
    <w:p w14:paraId="22479F1F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nehmotný majetok obstaraný kúpou – spoločnosť nevlastní </w:t>
      </w:r>
    </w:p>
    <w:p w14:paraId="30B01CF0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nehmotný majetok obstaraný vlastnou činnosťou -  spoločnosť nevlastní </w:t>
      </w:r>
    </w:p>
    <w:p w14:paraId="6F52F143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nehmotný majetok obstaraný iným spôsobom – spoločnosť nevlastní </w:t>
      </w:r>
    </w:p>
    <w:p w14:paraId="5BFE7B85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hmotný majetok obstaraný kúpou – v zostatkovej hodnote 0 </w:t>
      </w:r>
    </w:p>
    <w:p w14:paraId="4CD5719C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hmotný majetok obstaraný vlastnou činnosťou – spoločnosť nevlastní </w:t>
      </w:r>
    </w:p>
    <w:p w14:paraId="337454C6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hmotný majetok obstaraný iným spôsobom - spoločnosť nevlastní </w:t>
      </w:r>
    </w:p>
    <w:p w14:paraId="10E50760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dlhodobý finančný majetok - spoločnosť nevlastní </w:t>
      </w:r>
    </w:p>
    <w:p w14:paraId="3D58A061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zásoby obstarané kúpou - spoločnosť nevlastní </w:t>
      </w:r>
    </w:p>
    <w:p w14:paraId="0C0D6D0D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zásoby vytvorené vlastnou činnosťou - spoločnosť nevlastní </w:t>
      </w:r>
    </w:p>
    <w:p w14:paraId="7A1D4DF5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zásoby obstarané iným spôsobom - spoločnosť nevlastní </w:t>
      </w:r>
    </w:p>
    <w:p w14:paraId="51449FB9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pohľadávky – ocenené nominálnou hodnotou </w:t>
      </w:r>
    </w:p>
    <w:p w14:paraId="50B04F74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krátkodobý finančný majetok - spoločnosť nevlastní </w:t>
      </w:r>
    </w:p>
    <w:p w14:paraId="16E4E76A" w14:textId="77777777" w:rsidR="00E071E3" w:rsidRDefault="00E071E3" w:rsidP="00E071E3">
      <w:pPr>
        <w:numPr>
          <w:ilvl w:val="0"/>
          <w:numId w:val="4"/>
        </w:numPr>
        <w:ind w:hanging="261"/>
      </w:pPr>
      <w:r>
        <w:t xml:space="preserve">časové rozlíšenie na strane aktív – príjmy BO </w:t>
      </w:r>
    </w:p>
    <w:p w14:paraId="668E91EA" w14:textId="77777777" w:rsidR="00E071E3" w:rsidRDefault="00E071E3" w:rsidP="00E071E3">
      <w:pPr>
        <w:spacing w:after="98" w:line="259" w:lineRule="auto"/>
        <w:ind w:left="0" w:firstLine="0"/>
        <w:jc w:val="left"/>
      </w:pPr>
      <w:r>
        <w:t xml:space="preserve"> </w:t>
      </w:r>
    </w:p>
    <w:p w14:paraId="0680B7FF" w14:textId="77777777" w:rsidR="00E071E3" w:rsidRDefault="00E071E3" w:rsidP="00E071E3">
      <w:pPr>
        <w:numPr>
          <w:ilvl w:val="0"/>
          <w:numId w:val="5"/>
        </w:numPr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  - spoločnosť má len odpísané dlhodobý hmotný majetok </w:t>
      </w:r>
    </w:p>
    <w:p w14:paraId="131F5A07" w14:textId="77777777" w:rsidR="00E071E3" w:rsidRDefault="00E071E3" w:rsidP="00E071E3">
      <w:pPr>
        <w:numPr>
          <w:ilvl w:val="0"/>
          <w:numId w:val="5"/>
        </w:numPr>
      </w:pPr>
      <w:r>
        <w:t xml:space="preserve">Zásady pre zohľadnenie zníženia hodnoty majetku. Uvádza sa, či účtovná jednotka uplatňuje opravné položky a rezervy – rezervy sa tvoria na nevyčerpané dovolenky , audit a účtovnú závierku. </w:t>
      </w:r>
    </w:p>
    <w:p w14:paraId="34CD6E59" w14:textId="77777777" w:rsidR="00E071E3" w:rsidRDefault="00E071E3" w:rsidP="00E071E3">
      <w:pPr>
        <w:spacing w:after="98" w:line="259" w:lineRule="auto"/>
        <w:ind w:left="0" w:firstLine="0"/>
        <w:jc w:val="left"/>
      </w:pPr>
      <w:r>
        <w:t xml:space="preserve"> </w:t>
      </w:r>
    </w:p>
    <w:p w14:paraId="480F21D3" w14:textId="77777777" w:rsidR="00E071E3" w:rsidRDefault="00E071E3" w:rsidP="00E071E3">
      <w:pPr>
        <w:pStyle w:val="Nadpis1"/>
      </w:pPr>
      <w:r>
        <w:t xml:space="preserve">Čl. III Informácie, ktoré dopĺňajú a vysvetľujú údaje v súvahe </w:t>
      </w:r>
    </w:p>
    <w:p w14:paraId="07917F29" w14:textId="77777777" w:rsidR="00E071E3" w:rsidRDefault="00E071E3" w:rsidP="00E071E3">
      <w:pPr>
        <w:ind w:left="-5"/>
      </w:pPr>
      <w:r>
        <w:t xml:space="preserve">(1) Údaje o dlhodobom nehmotnom majetku a dlhodobom hmotnom majetku za bežné účtovné obdobie, a to </w:t>
      </w:r>
    </w:p>
    <w:p w14:paraId="73C803C2" w14:textId="77777777" w:rsidR="00E071E3" w:rsidRDefault="00E071E3" w:rsidP="00E071E3">
      <w:pPr>
        <w:ind w:left="-5"/>
      </w:pPr>
      <w:r>
        <w:t xml:space="preserve"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 žiadny prírastok ani úbytok, len odpísaný dlhodobý majetok </w:t>
      </w:r>
    </w:p>
    <w:p w14:paraId="5B452EB3" w14:textId="77777777" w:rsidR="00E071E3" w:rsidRDefault="00E071E3" w:rsidP="00E071E3">
      <w:pPr>
        <w:ind w:left="-5"/>
      </w:pPr>
      <w:r>
        <w:t xml:space="preserve">(2)Prehľad dlhodobého majetku, na ktorý je zriadené záložné právo a dlhodobého majetku, pri ktorom má účtovná jednotka obmedzené právo s ním nakladať – nie je zriadené žiadne záložné právo. </w:t>
      </w:r>
    </w:p>
    <w:p w14:paraId="081D615F" w14:textId="77777777" w:rsidR="00E071E3" w:rsidRDefault="00E071E3" w:rsidP="00E071E3">
      <w:pPr>
        <w:numPr>
          <w:ilvl w:val="0"/>
          <w:numId w:val="6"/>
        </w:numPr>
      </w:pPr>
      <w:r>
        <w:t xml:space="preserve">Údaje o spôsobe a výške poistenia dlhodobého nehmotného majetku a dlhodobého hmotného majetku – majetok nie je poistený. </w:t>
      </w:r>
    </w:p>
    <w:p w14:paraId="6A2D32E8" w14:textId="77777777" w:rsidR="00E071E3" w:rsidRDefault="00E071E3" w:rsidP="00E071E3">
      <w:pPr>
        <w:numPr>
          <w:ilvl w:val="0"/>
          <w:numId w:val="6"/>
        </w:numPr>
      </w:pPr>
      <w:r>
        <w:t xml:space="preserve">Údaje o štruktúre dlhodobého finančného majetku za bežné účtovné obdobie a jeho umiestnenie v členení podľa položiek súvahy a o zmenách, ktoré sa uskutočnili v priebehu </w:t>
      </w:r>
      <w:r>
        <w:lastRenderedPageBreak/>
        <w:t xml:space="preserve">bežného účtovného obdobia v jednotlivých položkách dlhodobého  finančného  majetku – spoločnosť nevlastní. </w:t>
      </w:r>
    </w:p>
    <w:p w14:paraId="6306CD5D" w14:textId="77777777" w:rsidR="00E071E3" w:rsidRDefault="00E071E3" w:rsidP="00E071E3">
      <w:pPr>
        <w:numPr>
          <w:ilvl w:val="0"/>
          <w:numId w:val="6"/>
        </w:numPr>
      </w:pPr>
      <w:r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 – zásoby spoločnosť nemá </w:t>
      </w:r>
    </w:p>
    <w:p w14:paraId="170155E2" w14:textId="77777777" w:rsidR="00E071E3" w:rsidRDefault="00E071E3" w:rsidP="00E071E3">
      <w:pPr>
        <w:numPr>
          <w:ilvl w:val="0"/>
          <w:numId w:val="6"/>
        </w:numPr>
      </w:pPr>
      <w:r>
        <w:t xml:space="preserve">Opis významných pohľadávok v nadväznosti na položky súvahy a v členení na pohľadávky za hlavnú nezdaňovanú  činnosť,  zdaňovanú činnosť a podnikateľskú činnosť – spoločnosť má pohľadávky len z nezdaňovanej činnosti, zdaňovanú činnosť nevykonáva. </w:t>
      </w:r>
    </w:p>
    <w:p w14:paraId="29488490" w14:textId="77777777" w:rsidR="00E071E3" w:rsidRDefault="00E071E3" w:rsidP="00E071E3">
      <w:pPr>
        <w:numPr>
          <w:ilvl w:val="0"/>
          <w:numId w:val="6"/>
        </w:numPr>
      </w:pPr>
      <w:r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 – opravné položky spoločnosť netvorí.. </w:t>
      </w:r>
    </w:p>
    <w:p w14:paraId="5E124A66" w14:textId="77777777" w:rsidR="00E071E3" w:rsidRDefault="00E071E3" w:rsidP="00E071E3">
      <w:pPr>
        <w:spacing w:after="101" w:line="259" w:lineRule="auto"/>
        <w:ind w:left="48" w:firstLine="0"/>
        <w:jc w:val="center"/>
      </w:pPr>
      <w:r>
        <w:t xml:space="preserve"> </w:t>
      </w:r>
    </w:p>
    <w:p w14:paraId="524ABE45" w14:textId="77777777" w:rsidR="00213F91" w:rsidRDefault="00213F91"/>
    <w:sectPr w:rsidR="00213F91" w:rsidSect="00420A85">
      <w:pgSz w:w="12240" w:h="15840" w:code="1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55FDB"/>
    <w:multiLevelType w:val="hybridMultilevel"/>
    <w:tmpl w:val="5862087A"/>
    <w:lvl w:ilvl="0" w:tplc="81563454">
      <w:start w:val="2"/>
      <w:numFmt w:val="lowerLetter"/>
      <w:lvlText w:val="%1)"/>
      <w:lvlJc w:val="left"/>
      <w:pPr>
        <w:ind w:left="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C6A892">
      <w:start w:val="1"/>
      <w:numFmt w:val="lowerLetter"/>
      <w:lvlText w:val="%2"/>
      <w:lvlJc w:val="left"/>
      <w:pPr>
        <w:ind w:left="1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A65056">
      <w:start w:val="1"/>
      <w:numFmt w:val="lowerRoman"/>
      <w:lvlText w:val="%3"/>
      <w:lvlJc w:val="left"/>
      <w:pPr>
        <w:ind w:left="2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10CE46">
      <w:start w:val="1"/>
      <w:numFmt w:val="decimal"/>
      <w:lvlText w:val="%4"/>
      <w:lvlJc w:val="left"/>
      <w:pPr>
        <w:ind w:left="3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22B65C">
      <w:start w:val="1"/>
      <w:numFmt w:val="lowerLetter"/>
      <w:lvlText w:val="%5"/>
      <w:lvlJc w:val="left"/>
      <w:pPr>
        <w:ind w:left="3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7C1E0E">
      <w:start w:val="1"/>
      <w:numFmt w:val="lowerRoman"/>
      <w:lvlText w:val="%6"/>
      <w:lvlJc w:val="left"/>
      <w:pPr>
        <w:ind w:left="4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FAAED0">
      <w:start w:val="1"/>
      <w:numFmt w:val="decimal"/>
      <w:lvlText w:val="%7"/>
      <w:lvlJc w:val="left"/>
      <w:pPr>
        <w:ind w:left="5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FCE98C">
      <w:start w:val="1"/>
      <w:numFmt w:val="lowerLetter"/>
      <w:lvlText w:val="%8"/>
      <w:lvlJc w:val="left"/>
      <w:pPr>
        <w:ind w:left="6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A7834">
      <w:start w:val="1"/>
      <w:numFmt w:val="lowerRoman"/>
      <w:lvlText w:val="%9"/>
      <w:lvlJc w:val="left"/>
      <w:pPr>
        <w:ind w:left="6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52C3249"/>
    <w:multiLevelType w:val="hybridMultilevel"/>
    <w:tmpl w:val="C360E892"/>
    <w:lvl w:ilvl="0" w:tplc="AC88891E">
      <w:start w:val="1"/>
      <w:numFmt w:val="lowerLetter"/>
      <w:lvlText w:val="%1)"/>
      <w:lvlJc w:val="left"/>
      <w:pPr>
        <w:ind w:left="2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AA45B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4C20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6AAA2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76248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6AF4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82B37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FE927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D616C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BC3605"/>
    <w:multiLevelType w:val="hybridMultilevel"/>
    <w:tmpl w:val="184EBE50"/>
    <w:lvl w:ilvl="0" w:tplc="8852496A">
      <w:start w:val="3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DEDED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F84C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DAA6C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68FD4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06E7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40FD9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1A2C6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0FA37D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69B29F5"/>
    <w:multiLevelType w:val="hybridMultilevel"/>
    <w:tmpl w:val="87DA330A"/>
    <w:lvl w:ilvl="0" w:tplc="926A563A">
      <w:start w:val="1"/>
      <w:numFmt w:val="decimal"/>
      <w:lvlText w:val="(%1)"/>
      <w:lvlJc w:val="left"/>
      <w:pPr>
        <w:ind w:left="2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88A48E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86205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22770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382929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AE2B1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B2D92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EABD7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10E97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7E21A50"/>
    <w:multiLevelType w:val="hybridMultilevel"/>
    <w:tmpl w:val="61EAECF8"/>
    <w:lvl w:ilvl="0" w:tplc="8256C6DE">
      <w:start w:val="3"/>
      <w:numFmt w:val="decimal"/>
      <w:lvlText w:val="(%1)"/>
      <w:lvlJc w:val="left"/>
      <w:pPr>
        <w:ind w:left="2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A0A6FA4">
      <w:start w:val="1"/>
      <w:numFmt w:val="lowerLetter"/>
      <w:lvlText w:val="%2"/>
      <w:lvlJc w:val="left"/>
      <w:pPr>
        <w:ind w:left="11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24CE6">
      <w:start w:val="1"/>
      <w:numFmt w:val="lowerRoman"/>
      <w:lvlText w:val="%3"/>
      <w:lvlJc w:val="left"/>
      <w:pPr>
        <w:ind w:left="18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5A3B38">
      <w:start w:val="1"/>
      <w:numFmt w:val="decimal"/>
      <w:lvlText w:val="%4"/>
      <w:lvlJc w:val="left"/>
      <w:pPr>
        <w:ind w:left="25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D4FD16">
      <w:start w:val="1"/>
      <w:numFmt w:val="lowerLetter"/>
      <w:lvlText w:val="%5"/>
      <w:lvlJc w:val="left"/>
      <w:pPr>
        <w:ind w:left="32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F66040">
      <w:start w:val="1"/>
      <w:numFmt w:val="lowerRoman"/>
      <w:lvlText w:val="%6"/>
      <w:lvlJc w:val="left"/>
      <w:pPr>
        <w:ind w:left="39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5E67016">
      <w:start w:val="1"/>
      <w:numFmt w:val="decimal"/>
      <w:lvlText w:val="%7"/>
      <w:lvlJc w:val="left"/>
      <w:pPr>
        <w:ind w:left="47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16B7B6">
      <w:start w:val="1"/>
      <w:numFmt w:val="lowerLetter"/>
      <w:lvlText w:val="%8"/>
      <w:lvlJc w:val="left"/>
      <w:pPr>
        <w:ind w:left="54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D080EC">
      <w:start w:val="1"/>
      <w:numFmt w:val="lowerRoman"/>
      <w:lvlText w:val="%9"/>
      <w:lvlJc w:val="left"/>
      <w:pPr>
        <w:ind w:left="61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3F57DDE"/>
    <w:multiLevelType w:val="hybridMultilevel"/>
    <w:tmpl w:val="EDEE7BF2"/>
    <w:lvl w:ilvl="0" w:tplc="61E859B6">
      <w:start w:val="4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B4F100">
      <w:start w:val="1"/>
      <w:numFmt w:val="lowerLetter"/>
      <w:lvlText w:val="%2"/>
      <w:lvlJc w:val="left"/>
      <w:pPr>
        <w:ind w:left="11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5673A2">
      <w:start w:val="1"/>
      <w:numFmt w:val="lowerRoman"/>
      <w:lvlText w:val="%3"/>
      <w:lvlJc w:val="left"/>
      <w:pPr>
        <w:ind w:left="18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61A9FA6">
      <w:start w:val="1"/>
      <w:numFmt w:val="decimal"/>
      <w:lvlText w:val="%4"/>
      <w:lvlJc w:val="left"/>
      <w:pPr>
        <w:ind w:left="25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D26777C">
      <w:start w:val="1"/>
      <w:numFmt w:val="lowerLetter"/>
      <w:lvlText w:val="%5"/>
      <w:lvlJc w:val="left"/>
      <w:pPr>
        <w:ind w:left="32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96D0A0">
      <w:start w:val="1"/>
      <w:numFmt w:val="lowerRoman"/>
      <w:lvlText w:val="%6"/>
      <w:lvlJc w:val="left"/>
      <w:pPr>
        <w:ind w:left="39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8A0D3E">
      <w:start w:val="1"/>
      <w:numFmt w:val="decimal"/>
      <w:lvlText w:val="%7"/>
      <w:lvlJc w:val="left"/>
      <w:pPr>
        <w:ind w:left="47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4EA8EA">
      <w:start w:val="1"/>
      <w:numFmt w:val="lowerLetter"/>
      <w:lvlText w:val="%8"/>
      <w:lvlJc w:val="left"/>
      <w:pPr>
        <w:ind w:left="54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445D72">
      <w:start w:val="1"/>
      <w:numFmt w:val="lowerRoman"/>
      <w:lvlText w:val="%9"/>
      <w:lvlJc w:val="left"/>
      <w:pPr>
        <w:ind w:left="61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59873473">
    <w:abstractNumId w:val="0"/>
  </w:num>
  <w:num w:numId="2" w16cid:durableId="1177504900">
    <w:abstractNumId w:val="4"/>
  </w:num>
  <w:num w:numId="3" w16cid:durableId="688145422">
    <w:abstractNumId w:val="3"/>
  </w:num>
  <w:num w:numId="4" w16cid:durableId="170948745">
    <w:abstractNumId w:val="1"/>
  </w:num>
  <w:num w:numId="5" w16cid:durableId="1848204395">
    <w:abstractNumId w:val="5"/>
  </w:num>
  <w:num w:numId="6" w16cid:durableId="7543290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1E3"/>
    <w:rsid w:val="00213F91"/>
    <w:rsid w:val="00420A85"/>
    <w:rsid w:val="00A3034C"/>
    <w:rsid w:val="00B3709D"/>
    <w:rsid w:val="00E07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2884F"/>
  <w15:chartTrackingRefBased/>
  <w15:docId w15:val="{C3AE3192-870A-4ACD-A628-B90D11AC7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071E3"/>
    <w:pPr>
      <w:spacing w:after="109" w:line="249" w:lineRule="auto"/>
      <w:ind w:left="10" w:hanging="10"/>
      <w:jc w:val="both"/>
    </w:pPr>
    <w:rPr>
      <w:rFonts w:ascii="Arial CE" w:eastAsia="Arial CE" w:hAnsi="Arial CE" w:cs="Arial CE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qFormat/>
    <w:rsid w:val="00E071E3"/>
    <w:pPr>
      <w:keepNext/>
      <w:keepLines/>
      <w:spacing w:after="100" w:line="259" w:lineRule="auto"/>
      <w:ind w:left="10" w:right="3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071E3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E071E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ulture.gov.sk/extdoc/2017/opravnenie_Sap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ulture.gov.sk/extdoc/2017/opravnenie_Sap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lovakproducers.com/" TargetMode="External"/><Relationship Id="rId5" Type="http://schemas.openxmlformats.org/officeDocument/2006/relationships/hyperlink" Target="http://www.slovakproducers.com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800</Words>
  <Characters>4563</Characters>
  <Application>Microsoft Office Word</Application>
  <DocSecurity>0</DocSecurity>
  <Lines>38</Lines>
  <Paragraphs>10</Paragraphs>
  <ScaleCrop>false</ScaleCrop>
  <Company/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2024-07-01T15:53:00Z</dcterms:created>
  <dcterms:modified xsi:type="dcterms:W3CDTF">2024-07-01T15:54:00Z</dcterms:modified>
</cp:coreProperties>
</file>