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A.)  Všeobecná časť</w:t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widowControl/>
        <w:numPr>
          <w:ilvl w:val="0"/>
          <w:numId w:val="4"/>
        </w:numPr>
        <w:tabs>
          <w:tab w:val="clear" w:pos="708"/>
          <w:tab w:val="left" w:pos="284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ANGARA   s.r.o.</w:t>
      </w:r>
    </w:p>
    <w:p>
      <w:pPr>
        <w:pStyle w:val="Standard"/>
        <w:widowControl/>
        <w:tabs>
          <w:tab w:val="clear" w:pos="708"/>
          <w:tab w:val="left" w:pos="284" w:leader="none"/>
        </w:tabs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Pod Dráhami 1703/1</w:t>
      </w:r>
    </w:p>
    <w:p>
      <w:pPr>
        <w:pStyle w:val="Standard"/>
        <w:widowControl/>
        <w:tabs>
          <w:tab w:val="clear" w:pos="708"/>
          <w:tab w:val="left" w:pos="284" w:leader="none"/>
        </w:tabs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960 01</w:t>
      </w:r>
    </w:p>
    <w:p>
      <w:pPr>
        <w:pStyle w:val="Standard"/>
        <w:ind w:left="4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84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bola založená a vznikla  13.5.2009</w:t>
      </w:r>
    </w:p>
    <w:p>
      <w:pPr>
        <w:pStyle w:val="Standard"/>
        <w:keepNext w:val="true"/>
        <w:spacing w:before="0" w:after="60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Standard"/>
        <w:numPr>
          <w:ilvl w:val="0"/>
          <w:numId w:val="4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Predmet podnikania:      </w:t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1"/>
        <w:gridCol w:w="3196"/>
      </w:tblGrid>
      <w:tr>
        <w:trPr/>
        <w:tc>
          <w:tcPr>
            <w:tcW w:w="6441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80"/>
              <w:gridCol w:w="2130"/>
            </w:tblGrid>
            <w:tr>
              <w:trPr/>
              <w:tc>
                <w:tcPr>
                  <w:tcW w:w="4280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vnútroštátna nákladná cestná doprava</w:t>
                  </w:r>
                </w:p>
              </w:tc>
              <w:tc>
                <w:tcPr>
                  <w:tcW w:w="2130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  </w:t>
                  </w: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(od: 13.05.2009)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80"/>
              <w:gridCol w:w="2130"/>
            </w:tblGrid>
            <w:tr>
              <w:trPr/>
              <w:tc>
                <w:tcPr>
                  <w:tcW w:w="4280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nákladná cestná doprava vykonávaná vozidlami s celkovou hmotnosťou do 3,5 t vrátane prípojného vozidla</w:t>
                  </w:r>
                </w:p>
              </w:tc>
              <w:tc>
                <w:tcPr>
                  <w:tcW w:w="2130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  </w:t>
                  </w: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(od: 13.05.2009)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80"/>
              <w:gridCol w:w="2130"/>
            </w:tblGrid>
            <w:tr>
              <w:trPr/>
              <w:tc>
                <w:tcPr>
                  <w:tcW w:w="4280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prenájom hnuteľných vecí</w:t>
                  </w:r>
                </w:p>
              </w:tc>
              <w:tc>
                <w:tcPr>
                  <w:tcW w:w="2130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  </w:t>
                  </w: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(od: 13.05.2009)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80"/>
              <w:gridCol w:w="2130"/>
            </w:tblGrid>
            <w:tr>
              <w:trPr/>
              <w:tc>
                <w:tcPr>
                  <w:tcW w:w="4280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2130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  </w:t>
                  </w: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(od: 13.05.2009)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80"/>
              <w:gridCol w:w="2130"/>
            </w:tblGrid>
            <w:tr>
              <w:trPr/>
              <w:tc>
                <w:tcPr>
                  <w:tcW w:w="4280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činnosť podnikateľských, organizačných a ekonomických poradcov</w:t>
                  </w:r>
                </w:p>
              </w:tc>
              <w:tc>
                <w:tcPr>
                  <w:tcW w:w="2130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  </w:t>
                  </w: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(od: 13.05.2009)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80"/>
              <w:gridCol w:w="2130"/>
            </w:tblGrid>
            <w:tr>
              <w:trPr/>
              <w:tc>
                <w:tcPr>
                  <w:tcW w:w="4280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poskytovanie služieb rýchleho občerstvenia v spojení s predajom na priamu konzumáciu</w:t>
                  </w:r>
                </w:p>
              </w:tc>
              <w:tc>
                <w:tcPr>
                  <w:tcW w:w="2130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  </w:t>
                  </w: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(od: 13.05.2009)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80"/>
              <w:gridCol w:w="2130"/>
            </w:tblGrid>
            <w:tr>
              <w:trPr/>
              <w:tc>
                <w:tcPr>
                  <w:tcW w:w="4280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sprostredkovateľská činnosť v oblasti služieb</w:t>
                  </w:r>
                </w:p>
              </w:tc>
              <w:tc>
                <w:tcPr>
                  <w:tcW w:w="2130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  </w:t>
                  </w: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(od: 13.05.2009)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80"/>
              <w:gridCol w:w="2130"/>
            </w:tblGrid>
            <w:tr>
              <w:trPr/>
              <w:tc>
                <w:tcPr>
                  <w:tcW w:w="4280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sprostredkovateľská činnosť v oblasti obchodu</w:t>
                  </w:r>
                </w:p>
              </w:tc>
              <w:tc>
                <w:tcPr>
                  <w:tcW w:w="2130" w:type="dxa"/>
                  <w:tcBorders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  </w:t>
                  </w: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>(od: 13.05.2009)</w:t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vanish/>
                <w:kern w:val="0"/>
                <w:lang w:eastAsia="sk-SK" w:bidi="ar-SA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11"/>
            </w:tblGrid>
            <w:tr>
              <w:trPr/>
              <w:tc>
                <w:tcPr>
                  <w:tcW w:w="6411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  <w:t xml:space="preserve">prevádzkovanie výdajne stravy                        </w:t>
                  </w:r>
                  <w:r>
                    <w:rPr>
                      <w:rStyle w:val="Ra"/>
                    </w:rPr>
                    <w:t>(od: 20.05.2009)</w:t>
                  </w:r>
                </w:p>
              </w:tc>
            </w:tr>
            <w:tr>
              <w:trPr/>
              <w:tc>
                <w:tcPr>
                  <w:tcW w:w="6411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</w:r>
                </w:p>
              </w:tc>
            </w:tr>
            <w:tr>
              <w:trPr/>
              <w:tc>
                <w:tcPr>
                  <w:tcW w:w="6411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suppressAutoHyphens w:val="false"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sk-SK" w:bidi="ar-SA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  <w:tc>
          <w:tcPr>
            <w:tcW w:w="3196" w:type="dxa"/>
            <w:tcBorders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</w:tr>
    </w:tbl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p>
      <w:pPr>
        <w:pStyle w:val="ListParagraph"/>
        <w:numPr>
          <w:ilvl w:val="0"/>
          <w:numId w:val="4"/>
        </w:numPr>
        <w:suppressAutoHyphens w:val="false"/>
        <w:rPr>
          <w:rFonts w:eastAsia="Times New Roman"/>
          <w:vanish/>
          <w:kern w:val="0"/>
          <w:lang w:eastAsia="sk-SK"/>
        </w:rPr>
      </w:pPr>
      <w:r>
        <w:rPr>
          <w:rFonts w:eastAsia="Times New Roman"/>
          <w:vanish/>
          <w:kern w:val="0"/>
          <w:lang w:eastAsia="sk-SK"/>
        </w:rPr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38"/>
      </w:tblGrid>
      <w:tr>
        <w:trPr/>
        <w:tc>
          <w:tcPr>
            <w:tcW w:w="9638" w:type="dxa"/>
            <w:tcBorders/>
            <w:vAlign w:val="center"/>
          </w:tcPr>
          <w:p>
            <w:pPr>
              <w:pStyle w:val="Normal"/>
              <w:widowControl w:val="false"/>
              <w:suppressAutoHyphens w:val="false"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</w:r>
          </w:p>
        </w:tc>
      </w:tr>
    </w:tbl>
    <w:p>
      <w:pPr>
        <w:pStyle w:val="Standard"/>
        <w:ind w:left="72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    </w:t>
      </w:r>
    </w:p>
    <w:p>
      <w:pPr>
        <w:pStyle w:val="Nzov"/>
        <w:numPr>
          <w:ilvl w:val="0"/>
          <w:numId w:val="54"/>
        </w:numPr>
        <w:ind w:left="360" w:hanging="36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665"/>
        <w:gridCol w:w="2621"/>
        <w:gridCol w:w="2856"/>
      </w:tblGrid>
      <w:tr>
        <w:trPr/>
        <w:tc>
          <w:tcPr>
            <w:tcW w:w="36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5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6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</w:t>
            </w:r>
          </w:p>
        </w:tc>
        <w:tc>
          <w:tcPr>
            <w:tcW w:w="285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Stav zamestnancov ku dňu, ku ktorému sa zostavuje účtovná závierka, z toho:</w:t>
            </w:r>
          </w:p>
        </w:tc>
        <w:tc>
          <w:tcPr>
            <w:tcW w:w="26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</w:t>
            </w:r>
          </w:p>
        </w:tc>
        <w:tc>
          <w:tcPr>
            <w:tcW w:w="285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počet vedúcich zamestnancov</w:t>
            </w:r>
          </w:p>
        </w:tc>
        <w:tc>
          <w:tcPr>
            <w:tcW w:w="26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285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1</w:t>
            </w:r>
          </w:p>
        </w:tc>
      </w:tr>
    </w:tbl>
    <w:p>
      <w:pPr>
        <w:pStyle w:val="Standard"/>
        <w:tabs>
          <w:tab w:val="clear" w:pos="708"/>
          <w:tab w:val="left" w:pos="14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4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d)   Spoločnosť  nevlastnila a nevlastní žiadne majetkové podiely v iných firmách.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e)  Angara s.r.o. predkladá riadnu účtovnú závierku za rok 2022 v zmysle zákona č.431/2002 Z. z. o účtovníctve v znení neskorších predpisov.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993" w:leader="none"/>
        </w:tabs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6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1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0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B.)   Ďalšie informácie</w:t>
      </w:r>
    </w:p>
    <w:p>
      <w:pPr>
        <w:pStyle w:val="Standard"/>
        <w:jc w:val="both"/>
        <w:rPr>
          <w:rFonts w:ascii="Arial Narrow" w:hAnsi="Arial Narrow" w:cs="Arial Narrow"/>
          <w:i/>
          <w:i/>
          <w:iCs/>
          <w:sz w:val="22"/>
          <w:szCs w:val="22"/>
        </w:rPr>
      </w:pPr>
      <w:r>
        <w:rPr>
          <w:rFonts w:cs="Arial Narrow" w:ascii="Arial Narrow" w:hAnsi="Arial Narrow"/>
          <w:i/>
          <w:iCs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</w:t>
        <w:tab/>
        <w:t>V priebehu účtovného obdobia za rok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účtovníctvo spoločnosti bolo vedené v zmysle zákona o účtovníctve č.431/2002 Z. z. v plnom znení, účtovnej osnovy a postupov účtovníctva pre podnikateľov platnými od 01.01.2003 v plnom znení .</w:t>
      </w:r>
    </w:p>
    <w:p>
      <w:pPr>
        <w:pStyle w:val="Standard"/>
        <w:ind w:left="993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 rámci uvedených predpisov hlavný dôraz bol kladený na základné účtovné zásady, a to najmä na: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časovú a vecnú súvislosť účtovných prípadov,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nepretržitosť vedenia účtovníctva,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zásadu vecného a pravdivého obrazu účtovnej závierky,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celistvosť účtovníctva – vedenie účtovníctva za firmu ako celok,</w:t>
      </w:r>
    </w:p>
    <w:p>
      <w:pPr>
        <w:pStyle w:val="Standard"/>
        <w:numPr>
          <w:ilvl w:val="0"/>
          <w:numId w:val="1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vedenie účtovníctva formou sústavy účtovných zápisov, podložených účtovnými dokladmi,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vedenie účtovníctva a  zostavenie účtovnej závierky v peňažných jednotkách v mene euro a v štátnom jazyku,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 inventarizovania majetku, záväzkov a rozdielu majetku a záväzkov,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2127" w:leader="none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 viesť účtovníctvo správne, úplne, preukázateľne, zrozumiteľne a spôsobom  zaručujúcim trvanlivosť účtovných záznamov.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- l) Ďalšie informácie o údajoch vykázaných v súvahe, o výnosoch, nákladoch, daniach z príjmov, o údajoch na podsúvahových účtoch, iných aktívach a pasívach, spriaznených osobách, o skutočnostiach, ktoré nastali medzi dňom, ku ktorému sa zostavuje účtovná závierka a dňom jej zostavenia, o prehľade zmien vlastného imania a prehľade peňažných tokov sú postupne uvádzané v nasledujúcich bodoch.</w:t>
      </w:r>
    </w:p>
    <w:p>
      <w:pPr>
        <w:pStyle w:val="Nadpis1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 xml:space="preserve">C.)    Konkretizácia použitých účtovných zásad a účtovných metód  </w:t>
      </w:r>
    </w:p>
    <w:p>
      <w:pPr>
        <w:pStyle w:val="Nadpis1"/>
        <w:numPr>
          <w:ilvl w:val="0"/>
          <w:numId w:val="55"/>
        </w:numPr>
        <w:ind w:left="426" w:hanging="426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Spoločnosť nepretržite pokračuje vo svojej činnosti a  súčasne má vytvorené všetky predpoklady nepretržite pokračovať v podnikaní aj v budúcich rokoch.</w:t>
      </w:r>
    </w:p>
    <w:p>
      <w:pPr>
        <w:pStyle w:val="Nadpis1"/>
        <w:numPr>
          <w:ilvl w:val="0"/>
          <w:numId w:val="56"/>
        </w:numPr>
        <w:tabs>
          <w:tab w:val="clear" w:pos="708"/>
          <w:tab w:val="left" w:pos="1135" w:leader="none"/>
        </w:tabs>
        <w:ind w:left="426" w:hanging="426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V roku 202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>3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nenastali zmeny účtovných zásad a účtovných metód.</w:t>
      </w:r>
    </w:p>
    <w:p>
      <w:pPr>
        <w:pStyle w:val="Nadpis1"/>
        <w:numPr>
          <w:ilvl w:val="0"/>
          <w:numId w:val="57"/>
        </w:numPr>
        <w:tabs>
          <w:tab w:val="clear" w:pos="708"/>
          <w:tab w:val="left" w:pos="720" w:leader="none"/>
        </w:tabs>
        <w:ind w:left="360" w:hanging="360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Spôsob oceňovania jednotlivých zložiek majetku :</w:t>
      </w:r>
    </w:p>
    <w:p>
      <w:pPr>
        <w:pStyle w:val="Nadpis1"/>
        <w:tabs>
          <w:tab w:val="clear" w:pos="708"/>
          <w:tab w:val="left" w:pos="1560" w:leader="none"/>
        </w:tabs>
        <w:ind w:left="780" w:hanging="360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1.</w:t>
        <w:tab/>
        <w:t>Dlhodobý nehmotný majetok spoločnosť v roku 202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>3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nebol obstaraný.</w:t>
      </w:r>
    </w:p>
    <w:p>
      <w:pPr>
        <w:pStyle w:val="Standard"/>
        <w:tabs>
          <w:tab w:val="clear" w:pos="708"/>
          <w:tab w:val="left" w:pos="5786" w:leader="none"/>
        </w:tabs>
        <w:jc w:val="both"/>
        <w:rPr/>
      </w:pPr>
      <w:r>
        <w:rPr>
          <w:rFonts w:cs="Arial Narrow" w:ascii="Arial Narrow" w:hAnsi="Arial Narrow"/>
          <w:sz w:val="22"/>
          <w:szCs w:val="22"/>
        </w:rPr>
        <w:tab/>
      </w:r>
    </w:p>
    <w:p>
      <w:pPr>
        <w:pStyle w:val="Standard"/>
        <w:tabs>
          <w:tab w:val="clear" w:pos="708"/>
          <w:tab w:val="left" w:pos="360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104" w:leader="none"/>
        </w:tabs>
        <w:ind w:left="544" w:hanging="9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05" w:leader="none"/>
        </w:tabs>
        <w:ind w:left="445" w:hanging="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073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1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>F.)    Údaje vykázané na strane aktív súvahy</w:t>
      </w:r>
    </w:p>
    <w:p>
      <w:pPr>
        <w:pStyle w:val="Standard"/>
        <w:keepNext w:val="true"/>
        <w:tabs>
          <w:tab w:val="clear" w:pos="708"/>
          <w:tab w:val="left" w:pos="360" w:leader="none"/>
        </w:tabs>
        <w:rPr/>
      </w:pPr>
      <w:r>
        <w:rPr>
          <w:rFonts w:cs="Arial Narrow" w:ascii="Arial Narrow" w:hAnsi="Arial Narrow"/>
          <w:bCs/>
          <w:sz w:val="22"/>
          <w:szCs w:val="22"/>
        </w:rPr>
        <w:t>a)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dlhodobom nehmotnom majetku</w:t>
      </w:r>
    </w:p>
    <w:p>
      <w:pPr>
        <w:pStyle w:val="Standard"/>
        <w:numPr>
          <w:ilvl w:val="0"/>
          <w:numId w:val="58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 pohybe dlhodobého majetku v €</w:t>
      </w:r>
    </w:p>
    <w:p>
      <w:pPr>
        <w:pStyle w:val="Standard"/>
        <w:numPr>
          <w:ilvl w:val="0"/>
          <w:numId w:val="59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oprávok a opravných položiek  dlhodobého majetku v  €</w:t>
      </w:r>
    </w:p>
    <w:p>
      <w:pPr>
        <w:pStyle w:val="Standard"/>
        <w:numPr>
          <w:ilvl w:val="0"/>
          <w:numId w:val="60"/>
        </w:numPr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Prehľad o zostatkových hodnotách dlhodobého majetku v  €</w:t>
      </w:r>
    </w:p>
    <w:p>
      <w:pPr>
        <w:pStyle w:val="Nzov"/>
        <w:numPr>
          <w:ilvl w:val="0"/>
          <w:numId w:val="61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05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851"/>
        <w:gridCol w:w="997"/>
        <w:gridCol w:w="851"/>
        <w:gridCol w:w="862"/>
        <w:gridCol w:w="975"/>
        <w:gridCol w:w="706"/>
        <w:gridCol w:w="848"/>
        <w:gridCol w:w="1069"/>
        <w:gridCol w:w="945"/>
      </w:tblGrid>
      <w:tr>
        <w:trPr>
          <w:trHeight w:val="334" w:hRule="atLeast"/>
        </w:trPr>
        <w:tc>
          <w:tcPr>
            <w:tcW w:w="185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3" w:type="dxa"/>
            <w:gridSpan w:val="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5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6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6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0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9105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851"/>
        <w:gridCol w:w="997"/>
        <w:gridCol w:w="851"/>
        <w:gridCol w:w="862"/>
        <w:gridCol w:w="975"/>
        <w:gridCol w:w="669"/>
        <w:gridCol w:w="37"/>
        <w:gridCol w:w="848"/>
        <w:gridCol w:w="1069"/>
        <w:gridCol w:w="945"/>
      </w:tblGrid>
      <w:tr>
        <w:trPr>
          <w:trHeight w:val="334" w:hRule="atLeast"/>
        </w:trPr>
        <w:tc>
          <w:tcPr>
            <w:tcW w:w="185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3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5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6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6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6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650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104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5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7" w:hRule="atLeast"/>
        </w:trPr>
        <w:tc>
          <w:tcPr>
            <w:tcW w:w="185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62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6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jc w:val="left"/>
        <w:rPr>
          <w:szCs w:val="22"/>
        </w:rPr>
      </w:pPr>
      <w:r>
        <w:rPr>
          <w:szCs w:val="22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Standard"/>
        <w:spacing w:lineRule="auto" w:line="276"/>
        <w:rPr>
          <w:szCs w:val="36"/>
        </w:rPr>
      </w:pPr>
      <w:r>
        <w:rPr>
          <w:szCs w:val="36"/>
        </w:rPr>
      </w:r>
    </w:p>
    <w:p>
      <w:pPr>
        <w:pStyle w:val="Nzov"/>
        <w:numPr>
          <w:ilvl w:val="0"/>
          <w:numId w:val="62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c) o dlhodobom nehmotnom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399"/>
        <w:gridCol w:w="2742"/>
      </w:tblGrid>
      <w:tr>
        <w:trPr>
          <w:trHeight w:val="340" w:hRule="atLeast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Dlhodobý nehmotný majetok, na ktorý je zriadené záložné právo</w:t>
            </w:r>
          </w:p>
        </w:tc>
        <w:tc>
          <w:tcPr>
            <w:tcW w:w="274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 xml:space="preserve">                           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455" w:leader="none"/>
        </w:tabs>
        <w:spacing w:before="0" w:after="200"/>
        <w:ind w:left="1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55" w:leader="none"/>
        </w:tabs>
        <w:spacing w:lineRule="auto" w:line="276" w:before="0" w:after="200"/>
        <w:ind w:left="15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Na dlhodobý nehmotný majetok vykazovaný v účtovníctve v bezprostredne predchádzajúcom účtovnom období nebolo zriadené záložné právo ani obmedzené právo s nim nakladať.</w:t>
      </w:r>
    </w:p>
    <w:p>
      <w:pPr>
        <w:pStyle w:val="Nadpis1"/>
        <w:tabs>
          <w:tab w:val="clear" w:pos="708"/>
          <w:tab w:val="left" w:pos="360" w:leader="none"/>
        </w:tabs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  <w:t>F.)</w:t>
      </w:r>
    </w:p>
    <w:p>
      <w:pPr>
        <w:pStyle w:val="Standard"/>
        <w:tabs>
          <w:tab w:val="clear" w:pos="708"/>
          <w:tab w:val="left" w:pos="360" w:leader="none"/>
        </w:tabs>
        <w:rPr/>
      </w:pPr>
      <w:r>
        <w:rPr>
          <w:rFonts w:cs="Arial Narrow" w:ascii="Arial Narrow" w:hAnsi="Arial Narrow"/>
          <w:bCs/>
          <w:sz w:val="22"/>
          <w:szCs w:val="22"/>
        </w:rPr>
        <w:t>a)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dlhodobom hmotnom majetku</w:t>
      </w:r>
    </w:p>
    <w:p>
      <w:pPr>
        <w:pStyle w:val="Standard"/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1) Prehľad o pohybe dlhodobého majetku v €</w:t>
      </w:r>
    </w:p>
    <w:p>
      <w:pPr>
        <w:pStyle w:val="Standard"/>
        <w:tabs>
          <w:tab w:val="clear" w:pos="708"/>
          <w:tab w:val="left" w:pos="1680" w:leader="none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2) Prehľad oprávok a opravných položiek  dlhodobého majetku v  €</w:t>
      </w:r>
    </w:p>
    <w:p>
      <w:pPr>
        <w:pStyle w:val="Standard"/>
        <w:tabs>
          <w:tab w:val="clear" w:pos="708"/>
          <w:tab w:val="left" w:pos="1680" w:leader="none"/>
        </w:tabs>
        <w:spacing w:lineRule="auto" w:line="276" w:before="0" w:after="200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3) Prehľad o zostatkových hodnotách dlhodobého majetku v  €</w:t>
      </w:r>
    </w:p>
    <w:p>
      <w:pPr>
        <w:pStyle w:val="Nzov"/>
        <w:numPr>
          <w:ilvl w:val="0"/>
          <w:numId w:val="6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0" w:type="dxa"/>
        </w:tblCellMar>
        <w:tblLook w:val="0000"/>
      </w:tblPr>
      <w:tblGrid>
        <w:gridCol w:w="1534"/>
        <w:gridCol w:w="1037"/>
        <w:gridCol w:w="846"/>
        <w:gridCol w:w="847"/>
        <w:gridCol w:w="25"/>
        <w:gridCol w:w="856"/>
        <w:gridCol w:w="965"/>
        <w:gridCol w:w="745"/>
        <w:gridCol w:w="690"/>
        <w:gridCol w:w="779"/>
        <w:gridCol w:w="888"/>
      </w:tblGrid>
      <w:tr>
        <w:trPr>
          <w:trHeight w:val="278" w:hRule="atLeast"/>
        </w:trPr>
        <w:tc>
          <w:tcPr>
            <w:tcW w:w="1534" w:type="dxa"/>
            <w:vMerge w:val="restart"/>
            <w:tcBorders>
              <w:top w:val="single" w:sz="6" w:space="0" w:color="000001"/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8" w:type="dxa"/>
            <w:gridSpan w:val="10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278" w:hRule="atLeast"/>
        </w:trPr>
        <w:tc>
          <w:tcPr>
            <w:tcW w:w="1534" w:type="dxa"/>
            <w:vMerge w:val="continue"/>
            <w:tcBorders>
              <w:top w:val="single" w:sz="6" w:space="0" w:color="000001"/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037" w:type="dxa"/>
            <w:tcBorders>
              <w:lef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7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Samos-tatné hnuteľné veci 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1" w:type="dxa"/>
            <w:gridSpan w:val="2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5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5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79" w:type="dxa"/>
            <w:tcBorders>
              <w:lef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Poskyt-nuté pred-davky na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left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>
        <w:trPr>
          <w:trHeight w:val="278" w:hRule="atLeast"/>
        </w:trPr>
        <w:tc>
          <w:tcPr>
            <w:tcW w:w="153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7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7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1" w:type="dxa"/>
            <w:gridSpan w:val="2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5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5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79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153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037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7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1" w:type="dxa"/>
            <w:gridSpan w:val="2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15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rPr/>
              <w:br/>
            </w: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42984</w:t>
            </w:r>
          </w:p>
        </w:tc>
        <w:tc>
          <w:tcPr>
            <w:tcW w:w="85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12600</w:t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34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7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30384</w:t>
            </w:r>
          </w:p>
        </w:tc>
        <w:tc>
          <w:tcPr>
            <w:tcW w:w="85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6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7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2</w:t>
      </w:r>
    </w:p>
    <w:p>
      <w:pPr>
        <w:pStyle w:val="Textbody"/>
        <w:rPr/>
      </w:pPr>
      <w:r>
        <w:rPr/>
      </w:r>
    </w:p>
    <w:p>
      <w:pPr>
        <w:pStyle w:val="ListParagraph"/>
        <w:numPr>
          <w:ilvl w:val="0"/>
          <w:numId w:val="64"/>
        </w:numPr>
        <w:ind w:left="360" w:hanging="360"/>
        <w:rPr>
          <w:b/>
          <w:b/>
          <w:szCs w:val="22"/>
        </w:rPr>
      </w:pPr>
      <w:r>
        <w:rPr>
          <w:b/>
          <w:szCs w:val="22"/>
        </w:rPr>
        <w:t>Informácie k prílohe č. 3 časti F. písm. c) o dlhodobom hmotnom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117"/>
        <w:gridCol w:w="3024"/>
      </w:tblGrid>
      <w:tr>
        <w:trPr/>
        <w:tc>
          <w:tcPr>
            <w:tcW w:w="61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Dlhodobý hmotný majetok, na ktorý je zriadené záložné právo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284" w:hanging="45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Textbody"/>
        <w:rPr/>
      </w:pPr>
      <w:r>
        <w:rPr/>
      </w:r>
    </w:p>
    <w:p>
      <w:pPr>
        <w:pStyle w:val="Standard"/>
        <w:ind w:hanging="142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hanging="142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sz w:val="22"/>
          <w:szCs w:val="22"/>
        </w:rPr>
        <w:t>F .)</w:t>
      </w:r>
    </w:p>
    <w:p>
      <w:pPr>
        <w:pStyle w:val="Standard"/>
        <w:ind w:hanging="142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d)    Účtovná jednotka v roku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neevidovala dlhodobý majetok, pri ktorom vlastnícke právo nadobudol veriteľ zmluvou o zabezpečovacom prevode práva, využívaný firmou na základe zmluvy o výpožičke.</w:t>
      </w:r>
    </w:p>
    <w:p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e)</w:t>
        <w:tab/>
        <w:t>Spoločnosť neevidovala ani nevyužívala dlhodobý nehnuteľný majetok, pri ktorom nebolo vlastnícke právo zapísané vkladom do katastra nehnuteľností k 31.12.202</w:t>
      </w:r>
      <w:r>
        <w:rPr>
          <w:rFonts w:cs="Arial Narrow" w:ascii="Arial Narrow" w:hAnsi="Arial Narrow"/>
          <w:sz w:val="22"/>
          <w:szCs w:val="22"/>
        </w:rPr>
        <w:t xml:space="preserve">3 </w:t>
      </w:r>
      <w:r>
        <w:rPr>
          <w:rFonts w:cs="Arial Narrow" w:ascii="Arial Narrow" w:hAnsi="Arial Narrow"/>
          <w:sz w:val="22"/>
          <w:szCs w:val="22"/>
        </w:rPr>
        <w:t>ani v  bezprostredne predchádzajúcom účtovnom období.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f)</w:t>
        <w:tab/>
        <w:t>Účtovná jednotka v roku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nevlastnila ani neevidovala nehmotný majetok – goodwil.</w:t>
      </w:r>
    </w:p>
    <w:p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g)</w:t>
        <w:tab/>
        <w:t>Účtovná jednotka v roku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nepoužívala účet 097 – opravná položka k nadobudnutému majetku.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h)</w:t>
        <w:tab/>
        <w:t>Účtovná jednotka v roku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nerealizovala výskumnú a vývojovú činnosť.</w:t>
      </w:r>
    </w:p>
    <w:p>
      <w:pPr>
        <w:pStyle w:val="Standard"/>
        <w:ind w:left="709" w:hanging="70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i – n) Spoločnosť v roku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nevlastnila ani neevidovala dlhodobý finančný majetok.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zov"/>
        <w:ind w:left="360" w:hanging="36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65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299"/>
        <w:gridCol w:w="1129"/>
        <w:gridCol w:w="1085"/>
        <w:gridCol w:w="45"/>
        <w:gridCol w:w="885"/>
        <w:gridCol w:w="103"/>
        <w:gridCol w:w="849"/>
        <w:gridCol w:w="705"/>
        <w:gridCol w:w="848"/>
        <w:gridCol w:w="661"/>
        <w:gridCol w:w="883"/>
        <w:gridCol w:w="720"/>
      </w:tblGrid>
      <w:tr>
        <w:trPr>
          <w:trHeight w:val="277" w:hRule="atLeast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>
          <w:trHeight w:val="1393" w:hRule="atLeast"/>
        </w:trPr>
        <w:tc>
          <w:tcPr>
            <w:tcW w:w="129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  <w:br/>
              <w:t>v kons. celku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Ob-stará-vaný</w:t>
              <w:br/>
              <w:t>DFM</w:t>
            </w:r>
          </w:p>
        </w:tc>
        <w:tc>
          <w:tcPr>
            <w:tcW w:w="8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Poskyt-nuté pred-davky na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h</w:t>
            </w:r>
          </w:p>
        </w:tc>
        <w:tc>
          <w:tcPr>
            <w:tcW w:w="8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9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  <w:t>Tabuľka č. 2</w:t>
      </w:r>
    </w:p>
    <w:tbl>
      <w:tblPr>
        <w:tblW w:w="9213" w:type="dxa"/>
        <w:jc w:val="left"/>
        <w:tblInd w:w="-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299"/>
        <w:gridCol w:w="1129"/>
        <w:gridCol w:w="1085"/>
        <w:gridCol w:w="45"/>
        <w:gridCol w:w="885"/>
        <w:gridCol w:w="103"/>
        <w:gridCol w:w="849"/>
        <w:gridCol w:w="705"/>
        <w:gridCol w:w="848"/>
        <w:gridCol w:w="661"/>
        <w:gridCol w:w="883"/>
        <w:gridCol w:w="720"/>
      </w:tblGrid>
      <w:tr>
        <w:trPr>
          <w:trHeight w:val="277" w:hRule="atLeast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>
        <w:trPr>
          <w:trHeight w:val="1393" w:hRule="atLeast"/>
        </w:trPr>
        <w:tc>
          <w:tcPr>
            <w:tcW w:w="129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  <w:br/>
              <w:t>v kons. celku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Ob-stará-vaný</w:t>
              <w:br/>
              <w:t>DFM</w:t>
            </w:r>
          </w:p>
        </w:tc>
        <w:tc>
          <w:tcPr>
            <w:tcW w:w="8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Poskyt-nuté pred-davky na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8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h</w:t>
            </w:r>
          </w:p>
        </w:tc>
        <w:tc>
          <w:tcPr>
            <w:tcW w:w="8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78" w:hRule="atLeast"/>
        </w:trPr>
        <w:tc>
          <w:tcPr>
            <w:tcW w:w="9212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2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290" w:hRule="atLeast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2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66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8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Nzov"/>
        <w:widowControl w:val="false"/>
        <w:numPr>
          <w:ilvl w:val="0"/>
          <w:numId w:val="66"/>
        </w:numPr>
        <w:ind w:left="36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>časti F. písm. m) o dlhodobom finančnom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257"/>
        <w:gridCol w:w="2884"/>
      </w:tblGrid>
      <w:tr>
        <w:trPr>
          <w:trHeight w:val="340" w:hRule="atLeast"/>
        </w:trPr>
        <w:tc>
          <w:tcPr>
            <w:tcW w:w="62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>
                <w:color w:val="666666"/>
              </w:rPr>
              <w:t xml:space="preserve">Hodnota </w:t>
            </w:r>
            <w:r>
              <w:rPr>
                <w:bCs w:val="false"/>
                <w:color w:val="666666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5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Dlhodobý finančný majetok, na ktorý je zriadené záložné právo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Nzov"/>
        <w:numPr>
          <w:ilvl w:val="0"/>
          <w:numId w:val="6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907"/>
        <w:gridCol w:w="1116"/>
        <w:gridCol w:w="1686"/>
        <w:gridCol w:w="1441"/>
        <w:gridCol w:w="1655"/>
        <w:gridCol w:w="1336"/>
      </w:tblGrid>
      <w:tr>
        <w:trPr/>
        <w:tc>
          <w:tcPr>
            <w:tcW w:w="1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Obchodné meno a sídlo spoločnosti, v ktorej má ÚJ umiestnený DFM</w:t>
            </w:r>
          </w:p>
        </w:tc>
        <w:tc>
          <w:tcPr>
            <w:tcW w:w="7234" w:type="dxa"/>
            <w:gridSpan w:val="5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>
          <w:trHeight w:val="1394" w:hRule="atLeast"/>
        </w:trPr>
        <w:tc>
          <w:tcPr>
            <w:tcW w:w="1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 ÚJ na ZI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  %</w:t>
            </w:r>
          </w:p>
        </w:tc>
        <w:tc>
          <w:tcPr>
            <w:tcW w:w="16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Podiel ÚJ na hlasovacích právach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 %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  vlastného imania ÚJ, v ktorej má ÚJ umiestnený DFM</w:t>
            </w:r>
          </w:p>
        </w:tc>
        <w:tc>
          <w:tcPr>
            <w:tcW w:w="165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Výsledok hospodárenia ÚJ, v ktorej má ÚJ umiestnený DFM</w:t>
            </w:r>
          </w:p>
        </w:tc>
        <w:tc>
          <w:tcPr>
            <w:tcW w:w="133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1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6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6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33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2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Ostatné realizovateľné CP a podiely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9141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33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DFM spolu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8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5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33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Nzov"/>
        <w:widowControl w:val="false"/>
        <w:numPr>
          <w:ilvl w:val="0"/>
          <w:numId w:val="6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 prílohe č. 3 časti F. písm. j) a l) o dlhových CP držaných do splatnosti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439"/>
        <w:gridCol w:w="725"/>
        <w:gridCol w:w="1266"/>
        <w:gridCol w:w="1123"/>
        <w:gridCol w:w="1127"/>
        <w:gridCol w:w="1407"/>
        <w:gridCol w:w="1054"/>
      </w:tblGrid>
      <w:tr>
        <w:trPr>
          <w:trHeight w:val="644" w:hRule="atLeast"/>
        </w:trPr>
        <w:tc>
          <w:tcPr>
            <w:tcW w:w="24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Dlhové CP</w:t>
              <w:br/>
              <w:t xml:space="preserve"> držané do splatnosti</w:t>
            </w:r>
          </w:p>
        </w:tc>
        <w:tc>
          <w:tcPr>
            <w:tcW w:w="7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Druh CP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na začiatku účtovného obdobia</w:t>
            </w:r>
          </w:p>
        </w:tc>
        <w:tc>
          <w:tcPr>
            <w:tcW w:w="11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Vyradenie dlhového CP z účtovníctva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účtovnom období</w:t>
            </w:r>
          </w:p>
        </w:tc>
        <w:tc>
          <w:tcPr>
            <w:tcW w:w="105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7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1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12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  <w:tc>
          <w:tcPr>
            <w:tcW w:w="105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72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 viac ako tri roky a najviac päť rokov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43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Dlhové CP držané do splatnosti spolu</w:t>
            </w:r>
          </w:p>
        </w:tc>
        <w:tc>
          <w:tcPr>
            <w:tcW w:w="72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spacing w:before="0" w:after="120"/>
        <w:rPr/>
      </w:pPr>
      <w:r>
        <w:rPr/>
      </w:r>
    </w:p>
    <w:p>
      <w:pPr>
        <w:pStyle w:val="Nzov"/>
        <w:widowControl w:val="false"/>
        <w:numPr>
          <w:ilvl w:val="0"/>
          <w:numId w:val="69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156" w:type="dxa"/>
        <w:jc w:val="left"/>
        <w:tblInd w:w="-71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59"/>
        <w:gridCol w:w="1449"/>
        <w:gridCol w:w="1131"/>
        <w:gridCol w:w="1104"/>
        <w:gridCol w:w="1512"/>
        <w:gridCol w:w="1200"/>
      </w:tblGrid>
      <w:tr>
        <w:trPr>
          <w:trHeight w:val="996" w:hRule="atLeast"/>
        </w:trPr>
        <w:tc>
          <w:tcPr>
            <w:tcW w:w="27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Dlhodobé pôžičky</w:t>
            </w:r>
          </w:p>
        </w:tc>
        <w:tc>
          <w:tcPr>
            <w:tcW w:w="14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 začiatku účtovného obdobia</w:t>
            </w:r>
          </w:p>
        </w:tc>
        <w:tc>
          <w:tcPr>
            <w:tcW w:w="113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4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113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1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2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5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144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tri roky a najviac päť rokov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75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Dlhodobé pôžičky spolu</w:t>
            </w:r>
          </w:p>
        </w:tc>
        <w:tc>
          <w:tcPr>
            <w:tcW w:w="144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o)</w:t>
        <w:tab/>
      </w:r>
    </w:p>
    <w:p>
      <w:pPr>
        <w:pStyle w:val="Nzov"/>
        <w:numPr>
          <w:ilvl w:val="0"/>
          <w:numId w:val="70"/>
        </w:numPr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330"/>
        <w:gridCol w:w="1396"/>
        <w:gridCol w:w="983"/>
        <w:gridCol w:w="1687"/>
        <w:gridCol w:w="1558"/>
        <w:gridCol w:w="1187"/>
      </w:tblGrid>
      <w:tr>
        <w:trPr/>
        <w:tc>
          <w:tcPr>
            <w:tcW w:w="233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6811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>
        <w:trPr/>
        <w:tc>
          <w:tcPr>
            <w:tcW w:w="233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 OP na začiatku účtovného obdobia</w:t>
            </w:r>
          </w:p>
        </w:tc>
        <w:tc>
          <w:tcPr>
            <w:tcW w:w="9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Tvorba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opodstatnenosti</w:t>
            </w:r>
          </w:p>
        </w:tc>
        <w:tc>
          <w:tcPr>
            <w:tcW w:w="15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Zúčtovanie OP z dôvodu vyradenia majetku </w:t>
              <w:br/>
              <w:t>z účtovníctva</w:t>
            </w:r>
          </w:p>
        </w:tc>
        <w:tc>
          <w:tcPr>
            <w:tcW w:w="11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3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9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5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Materiál</w:t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Nedokončená výroba a polotovary vlastnej výroby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Tovar</w:t>
            </w:r>
          </w:p>
        </w:tc>
        <w:tc>
          <w:tcPr>
            <w:tcW w:w="139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Nehnuteľnosť na predaj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Poskytnuté preddavky  na zásoby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Zásoby spolu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8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Účtovná jednotka k 31.12.2022 nevytvárala opravné položky k zásobám.</w:t>
      </w:r>
    </w:p>
    <w:p>
      <w:pPr>
        <w:pStyle w:val="Standard"/>
        <w:tabs>
          <w:tab w:val="clear" w:pos="708"/>
          <w:tab w:val="left" w:pos="440" w:leader="none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rPr/>
      </w:pPr>
      <w:r>
        <w:rPr/>
        <w:t>Tabuľka č. 2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960"/>
        <w:gridCol w:w="2181"/>
      </w:tblGrid>
      <w:tr>
        <w:trPr/>
        <w:tc>
          <w:tcPr>
            <w:tcW w:w="6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Nehnuteľnosť na predaj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</w:t>
            </w:r>
          </w:p>
        </w:tc>
      </w:tr>
      <w:tr>
        <w:trPr>
          <w:trHeight w:val="340" w:hRule="atLeast"/>
        </w:trPr>
        <w:tc>
          <w:tcPr>
            <w:tcW w:w="6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obstarávanie nehnuteľnosti  na predaj za účtovné obdobie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696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obstaranie nehnuteľnosti na predaj od začiatku obstarávania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  <w:r>
        <w:br w:type="page"/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p)</w:t>
        <w:tab/>
      </w:r>
    </w:p>
    <w:p>
      <w:pPr>
        <w:pStyle w:val="Nzov"/>
        <w:numPr>
          <w:ilvl w:val="0"/>
          <w:numId w:val="71"/>
        </w:numPr>
        <w:ind w:left="357" w:hanging="357"/>
        <w:jc w:val="both"/>
        <w:rPr>
          <w:szCs w:val="22"/>
        </w:rPr>
      </w:pPr>
      <w:r>
        <w:rPr>
          <w:szCs w:val="22"/>
        </w:rPr>
        <w:t>Informácie k prílohe č. 3  časti F. písm. p) o zásobách, na ktoré je zriadené záložné právo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960"/>
        <w:gridCol w:w="2181"/>
      </w:tblGrid>
      <w:tr>
        <w:trPr/>
        <w:tc>
          <w:tcPr>
            <w:tcW w:w="6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Zásoby, na ktoré je zriadené záložné právo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Na zásoby vykazované v účtovníctve v roku 202</w:t>
      </w:r>
      <w:r>
        <w:rPr>
          <w:rFonts w:cs="Arial Narrow" w:ascii="Arial Narrow" w:hAnsi="Arial Narrow"/>
          <w:sz w:val="22"/>
          <w:szCs w:val="22"/>
        </w:rPr>
        <w:t xml:space="preserve">3 </w:t>
      </w:r>
      <w:r>
        <w:rPr>
          <w:rFonts w:cs="Arial Narrow" w:ascii="Arial Narrow" w:hAnsi="Arial Narrow"/>
          <w:sz w:val="22"/>
          <w:szCs w:val="22"/>
        </w:rPr>
        <w:t>nebolo zriadené záložné právo ani obmedzené právo s nimi nakladať.</w:t>
      </w:r>
    </w:p>
    <w:p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50" w:hanging="465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 xml:space="preserve"> q)</w:t>
        <w:tab/>
      </w:r>
    </w:p>
    <w:p>
      <w:pPr>
        <w:pStyle w:val="Nzov"/>
        <w:numPr>
          <w:ilvl w:val="0"/>
          <w:numId w:val="7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189"/>
        <w:gridCol w:w="1680"/>
        <w:gridCol w:w="2135"/>
        <w:gridCol w:w="2175"/>
      </w:tblGrid>
      <w:tr>
        <w:trPr/>
        <w:tc>
          <w:tcPr>
            <w:tcW w:w="318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1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1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Výnosy zo zákazkovej výroby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zákazkovú výrobu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029"/>
        <w:gridCol w:w="2381"/>
        <w:gridCol w:w="2770"/>
      </w:tblGrid>
      <w:tr>
        <w:trPr/>
        <w:tc>
          <w:tcPr>
            <w:tcW w:w="40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Hodnota zákazkovej výroby</w:t>
            </w:r>
          </w:p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7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výrobe</w:t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3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65"/>
        <w:gridCol w:w="1963"/>
        <w:gridCol w:w="1821"/>
        <w:gridCol w:w="2630"/>
      </w:tblGrid>
      <w:tr>
        <w:trPr/>
        <w:tc>
          <w:tcPr>
            <w:tcW w:w="27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9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6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/>
        <w:tc>
          <w:tcPr>
            <w:tcW w:w="27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Výnosy zo zákazkovej výstavby nehnuteľnosti určenej na predaj</w:t>
            </w:r>
          </w:p>
        </w:tc>
        <w:tc>
          <w:tcPr>
            <w:tcW w:w="19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/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Náklady na zákazkovú výstavbu nehnuteľnosti určenej na predaj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>
          <w:szCs w:val="22"/>
        </w:rPr>
      </w:pPr>
      <w:r>
        <w:rPr>
          <w:szCs w:val="22"/>
        </w:rPr>
      </w:r>
      <w:r>
        <w:br w:type="page"/>
      </w:r>
    </w:p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</w:r>
    </w:p>
    <w:p>
      <w:pPr>
        <w:pStyle w:val="Standard"/>
        <w:rPr>
          <w:szCs w:val="22"/>
        </w:rPr>
      </w:pPr>
      <w:r>
        <w:rPr>
          <w:szCs w:val="22"/>
        </w:rPr>
        <w:t>Tabuľka č. 4</w:t>
      </w:r>
    </w:p>
    <w:tbl>
      <w:tblPr>
        <w:tblW w:w="9165" w:type="dxa"/>
        <w:jc w:val="left"/>
        <w:tblInd w:w="-112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290"/>
        <w:gridCol w:w="2383"/>
        <w:gridCol w:w="2492"/>
      </w:tblGrid>
      <w:tr>
        <w:trPr/>
        <w:tc>
          <w:tcPr>
            <w:tcW w:w="42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Hodnota zákazkovej výstavby nehnuteľnosti určenej na predaj</w:t>
            </w:r>
          </w:p>
        </w:tc>
        <w:tc>
          <w:tcPr>
            <w:tcW w:w="23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49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49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/>
        <w:tc>
          <w:tcPr>
            <w:tcW w:w="42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výstavbe nehnuteľnosti určenej na predaj</w:t>
            </w:r>
          </w:p>
        </w:tc>
        <w:tc>
          <w:tcPr>
            <w:tcW w:w="23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/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450" w:hanging="46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0" w:hanging="3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v roku 2022 nerealizovala zákazkovú výrobu ani zákazkovú  výstavbu nehnuteľnosti určenej na predaj.</w:t>
      </w:r>
    </w:p>
    <w:p>
      <w:pPr>
        <w:pStyle w:val="Standard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r)</w:t>
      </w:r>
    </w:p>
    <w:p>
      <w:pPr>
        <w:pStyle w:val="Nzov"/>
        <w:numPr>
          <w:ilvl w:val="0"/>
          <w:numId w:val="7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r) o vývoji opravnej položky k pohľadávkam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035"/>
        <w:gridCol w:w="1268"/>
        <w:gridCol w:w="1211"/>
        <w:gridCol w:w="1678"/>
        <w:gridCol w:w="1650"/>
        <w:gridCol w:w="1299"/>
      </w:tblGrid>
      <w:tr>
        <w:trPr/>
        <w:tc>
          <w:tcPr>
            <w:tcW w:w="203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106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35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fill="FFFFFF" w:val="clear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shd w:fill="FFFFFF" w:val="clear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20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0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1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Nzov"/>
        <w:widowControl w:val="false"/>
        <w:jc w:val="left"/>
        <w:rPr>
          <w:szCs w:val="22"/>
        </w:rPr>
      </w:pPr>
      <w:r>
        <w:rPr>
          <w:szCs w:val="22"/>
        </w:rPr>
      </w:r>
    </w:p>
    <w:p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Opravná položka k nekonkurzným nedobytným pohľadávkam v roku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nebola  evidovaná.</w:t>
      </w:r>
    </w:p>
    <w:p>
      <w:pPr>
        <w:pStyle w:val="Standard"/>
        <w:rPr/>
      </w:pPr>
      <w:r>
        <w:rPr/>
      </w:r>
    </w:p>
    <w:p>
      <w:pPr>
        <w:pStyle w:val="Standard"/>
        <w:rPr>
          <w:rFonts w:ascii="Arial Narrow" w:hAnsi="Arial Narrow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s) Veková štruktúra pohľadávok rok 202</w:t>
      </w:r>
      <w:r>
        <w:rPr>
          <w:rFonts w:ascii="Arial Narrow" w:hAnsi="Arial Narrow"/>
          <w:szCs w:val="22"/>
        </w:rPr>
        <w:t>3</w:t>
      </w:r>
    </w:p>
    <w:p>
      <w:pPr>
        <w:pStyle w:val="Standard"/>
        <w:rPr/>
      </w:pPr>
      <w:r>
        <w:rPr/>
      </w:r>
    </w:p>
    <w:p>
      <w:pPr>
        <w:pStyle w:val="Nzov"/>
        <w:widowControl w:val="false"/>
        <w:numPr>
          <w:ilvl w:val="0"/>
          <w:numId w:val="74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F. písm. s) o vekovej štruktúre pohľadávok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468"/>
        <w:gridCol w:w="1961"/>
        <w:gridCol w:w="1821"/>
        <w:gridCol w:w="1929"/>
      </w:tblGrid>
      <w:tr>
        <w:trPr/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179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Dlhodobé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9179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92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</w:tbl>
    <w:p>
      <w:pPr>
        <w:pStyle w:val="Standard"/>
        <w:jc w:val="both"/>
        <w:rPr/>
      </w:pPr>
      <w:r>
        <w:rPr/>
      </w:r>
    </w:p>
    <w:p>
      <w:pPr>
        <w:pStyle w:val="Nzov"/>
        <w:numPr>
          <w:ilvl w:val="0"/>
          <w:numId w:val="75"/>
        </w:numPr>
        <w:ind w:left="360" w:hanging="360"/>
        <w:jc w:val="both"/>
        <w:rPr>
          <w:i/>
          <w:i/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</w:t>
      </w:r>
      <w:r>
        <w:rPr>
          <w:i/>
          <w:szCs w:val="22"/>
        </w:rPr>
        <w:t>formou zabezpečenia 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Pohľadávky, zabezpečené záložným právom alebo inou formou zabezpečenia v roku 2022</w:t>
      </w:r>
    </w:p>
    <w:p>
      <w:pPr>
        <w:pStyle w:val="Standard"/>
        <w:ind w:left="220" w:hanging="22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709"/>
        <w:gridCol w:w="2248"/>
        <w:gridCol w:w="2185"/>
      </w:tblGrid>
      <w:tr>
        <w:trPr/>
        <w:tc>
          <w:tcPr>
            <w:tcW w:w="470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Opis predmetu záložného práva</w:t>
            </w:r>
          </w:p>
        </w:tc>
        <w:tc>
          <w:tcPr>
            <w:tcW w:w="4433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>
        <w:trPr/>
        <w:tc>
          <w:tcPr>
            <w:tcW w:w="470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Hodnota predmetu záložného práva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0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-</w:t>
            </w:r>
          </w:p>
        </w:tc>
      </w:tr>
    </w:tbl>
    <w:p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  <w:r>
        <w:br w:type="page"/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Pohľadávky, zabezpečené záložným právom alebo inou formou zabezpečenia v roku 2022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709"/>
        <w:gridCol w:w="2248"/>
        <w:gridCol w:w="2185"/>
      </w:tblGrid>
      <w:tr>
        <w:trPr/>
        <w:tc>
          <w:tcPr>
            <w:tcW w:w="470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433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470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0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Pohľadávky kryté záložným právom alebo inou formou zabezpečenia</w:t>
            </w:r>
          </w:p>
        </w:tc>
        <w:tc>
          <w:tcPr>
            <w:tcW w:w="22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Hodnota pohľadávok, na ktoré sa zriadilo záložné právo</w:t>
            </w:r>
          </w:p>
        </w:tc>
        <w:tc>
          <w:tcPr>
            <w:tcW w:w="22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600" w:hanging="63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 </w:t>
      </w:r>
      <w:r>
        <w:rPr>
          <w:rFonts w:cs="Arial Narrow" w:ascii="Arial Narrow" w:hAnsi="Arial Narrow"/>
          <w:sz w:val="22"/>
          <w:szCs w:val="22"/>
        </w:rPr>
        <w:t>v) Spoločnosť neeviduje k 31.12.202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daňovú pohľadávku ani odložený daňový záväzok.</w:t>
      </w:r>
    </w:p>
    <w:p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220" w:hanging="22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>w)</w:t>
      </w:r>
    </w:p>
    <w:p>
      <w:pPr>
        <w:pStyle w:val="Nzov"/>
        <w:numPr>
          <w:ilvl w:val="0"/>
          <w:numId w:val="76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w) o krátkodobom finančnom majetku</w:t>
      </w:r>
    </w:p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186"/>
        <w:gridCol w:w="2616"/>
        <w:gridCol w:w="2378"/>
      </w:tblGrid>
      <w:tr>
        <w:trPr/>
        <w:tc>
          <w:tcPr>
            <w:tcW w:w="41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8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Pokladnica, ceniny</w:t>
            </w:r>
          </w:p>
        </w:tc>
        <w:tc>
          <w:tcPr>
            <w:tcW w:w="26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37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</w:tr>
      <w:tr>
        <w:trPr>
          <w:trHeight w:val="526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Bežné účty v banke alebo v pobočke zahraničnej banky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Vkladové účty v banke alebo v pobočke zahraničnej banky termínované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Peniaze na ceste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8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61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b/>
                <w:b/>
                <w:bCs/>
                <w:color w:val="auto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</w:tbl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Tabuľka č. 2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802"/>
        <w:gridCol w:w="1455"/>
        <w:gridCol w:w="1152"/>
        <w:gridCol w:w="930"/>
        <w:gridCol w:w="1204"/>
        <w:gridCol w:w="1598"/>
      </w:tblGrid>
      <w:tr>
        <w:trPr/>
        <w:tc>
          <w:tcPr>
            <w:tcW w:w="2802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Krátkodobý finančný majetok</w:t>
            </w:r>
          </w:p>
        </w:tc>
        <w:tc>
          <w:tcPr>
            <w:tcW w:w="6339" w:type="dxa"/>
            <w:gridSpan w:val="5"/>
            <w:tcBorders>
              <w:top w:val="single" w:sz="12" w:space="0" w:color="000001"/>
              <w:left w:val="single" w:sz="4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Bežné účtovné obdobie</w:t>
            </w:r>
          </w:p>
        </w:tc>
      </w:tr>
      <w:tr>
        <w:trPr/>
        <w:tc>
          <w:tcPr>
            <w:tcW w:w="2802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5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Stav</w:t>
              <w:br/>
              <w:t> na začiatku účtovného obdobia</w:t>
            </w:r>
          </w:p>
        </w:tc>
        <w:tc>
          <w:tcPr>
            <w:tcW w:w="11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Prírastky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Úbytky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2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Presuny</w:t>
            </w:r>
          </w:p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0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b</w:t>
            </w:r>
          </w:p>
        </w:tc>
        <w:tc>
          <w:tcPr>
            <w:tcW w:w="11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c</w:t>
            </w:r>
          </w:p>
        </w:tc>
        <w:tc>
          <w:tcPr>
            <w:tcW w:w="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d</w:t>
            </w:r>
          </w:p>
        </w:tc>
        <w:tc>
          <w:tcPr>
            <w:tcW w:w="12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e</w:t>
            </w:r>
          </w:p>
        </w:tc>
        <w:tc>
          <w:tcPr>
            <w:tcW w:w="15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000000"/>
              </w:rPr>
            </w:pPr>
            <w:r>
              <w:rPr>
                <w:b w:val="false"/>
                <w:color w:val="000000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45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Emisné kvóty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Dlhové CP so splatnosťou do  jedného roka držané</w:t>
            </w:r>
            <w:r>
              <w:rPr>
                <w:color w:val="000000"/>
              </w:rPr>
              <w:br/>
            </w: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do splatnosti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280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8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000000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5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00000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highlight w:val="yellow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highlight w:val="yellow"/>
          <w:lang w:eastAsia="sk-SK"/>
        </w:rPr>
      </w:r>
    </w:p>
    <w:p>
      <w:pPr>
        <w:pStyle w:val="Textbody"/>
        <w:widowControl w:val="false"/>
        <w:jc w:val="left"/>
        <w:rPr>
          <w:rFonts w:ascii="Arial Narrow" w:hAnsi="Arial Narrow" w:cs="Arial Narrow"/>
          <w:i/>
          <w:i/>
          <w:sz w:val="22"/>
          <w:szCs w:val="22"/>
          <w:lang w:eastAsia="sk-SK"/>
        </w:rPr>
      </w:pPr>
      <w:r>
        <w:rPr>
          <w:rFonts w:cs="Arial Narrow" w:ascii="Arial Narrow" w:hAnsi="Arial Narrow"/>
          <w:i/>
          <w:sz w:val="22"/>
          <w:szCs w:val="22"/>
          <w:lang w:eastAsia="sk-SK"/>
        </w:rPr>
      </w:r>
    </w:p>
    <w:p>
      <w:pPr>
        <w:pStyle w:val="Textbody"/>
        <w:widowControl w:val="false"/>
        <w:jc w:val="left"/>
        <w:rPr/>
      </w:pPr>
      <w:r>
        <w:rPr>
          <w:rFonts w:cs="Arial Narrow" w:ascii="Arial Narrow" w:hAnsi="Arial Narrow"/>
          <w:i/>
          <w:sz w:val="22"/>
          <w:szCs w:val="22"/>
          <w:lang w:eastAsia="sk-SK"/>
        </w:rPr>
        <w:t xml:space="preserve">F .) </w:t>
      </w:r>
      <w:r>
        <w:rPr>
          <w:b w:val="false"/>
          <w:bCs w:val="false"/>
          <w:szCs w:val="22"/>
          <w:lang w:eastAsia="sk-SK"/>
        </w:rPr>
        <w:t>x)</w:t>
      </w:r>
    </w:p>
    <w:p>
      <w:pPr>
        <w:pStyle w:val="Nzov"/>
        <w:widowControl w:val="false"/>
        <w:numPr>
          <w:ilvl w:val="0"/>
          <w:numId w:val="77"/>
        </w:numPr>
        <w:ind w:left="36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21"/>
        <w:gridCol w:w="1426"/>
        <w:gridCol w:w="985"/>
        <w:gridCol w:w="1407"/>
        <w:gridCol w:w="1408"/>
        <w:gridCol w:w="1194"/>
      </w:tblGrid>
      <w:tr>
        <w:trPr/>
        <w:tc>
          <w:tcPr>
            <w:tcW w:w="27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Krátkodobý finančný majetok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na začiatku účtovného obdobia</w:t>
            </w:r>
          </w:p>
        </w:tc>
        <w:tc>
          <w:tcPr>
            <w:tcW w:w="9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Tvorba </w:t>
              <w:br/>
              <w:t>OP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opodstatne-nosti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4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Zúčtovanie OP z dôvodu vyradenia majetku z účtovníctva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</w:r>
          </w:p>
        </w:tc>
        <w:tc>
          <w:tcPr>
            <w:tcW w:w="119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Stav  OP na konci účtovného obdobia</w:t>
            </w:r>
          </w:p>
        </w:tc>
      </w:tr>
      <w:tr>
        <w:trPr/>
        <w:tc>
          <w:tcPr>
            <w:tcW w:w="27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9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e</w:t>
            </w:r>
          </w:p>
        </w:tc>
        <w:tc>
          <w:tcPr>
            <w:tcW w:w="119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2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4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8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/>
        <w:tc>
          <w:tcPr>
            <w:tcW w:w="27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Spoločnosť v roku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 netvorila opravné položky ku krátkodobému finančnému majetku.</w:t>
      </w:r>
    </w:p>
    <w:p>
      <w:pPr>
        <w:pStyle w:val="Nadpis4"/>
        <w:rPr/>
      </w:pPr>
      <w:r>
        <w:rPr>
          <w:rFonts w:cs="Arial Narrow"/>
          <w:i/>
          <w:sz w:val="22"/>
          <w:szCs w:val="22"/>
        </w:rPr>
        <w:t xml:space="preserve">F .) </w:t>
      </w:r>
      <w:r>
        <w:rPr>
          <w:b w:val="false"/>
          <w:bCs w:val="false"/>
          <w:sz w:val="22"/>
          <w:szCs w:val="22"/>
        </w:rPr>
        <w:t>y)</w:t>
      </w:r>
    </w:p>
    <w:p>
      <w:pPr>
        <w:pStyle w:val="Nzov"/>
        <w:numPr>
          <w:ilvl w:val="0"/>
          <w:numId w:val="78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F. písm. y) o krátkodobom finančnom majetku, na ktorý bolo zriadené záložné právo</w:t>
      </w:r>
    </w:p>
    <w:tbl>
      <w:tblPr>
        <w:tblW w:w="9142" w:type="dxa"/>
        <w:jc w:val="left"/>
        <w:tblInd w:w="-84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819"/>
        <w:gridCol w:w="2322"/>
      </w:tblGrid>
      <w:tr>
        <w:trPr>
          <w:trHeight w:val="397" w:hRule="atLeast"/>
        </w:trPr>
        <w:tc>
          <w:tcPr>
            <w:tcW w:w="68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1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Krátkodobý  finančný majetok, na ktorý bolo zriadené záložné právo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852" w:leader="none"/>
        </w:tabs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426" w:leader="none"/>
        </w:tabs>
        <w:ind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V roku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nevzniklo záložné právo na finančnom majetku ani obmedzenie práva s ním nakladať.</w:t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880" w:leader="none"/>
        </w:tabs>
        <w:ind w:left="440" w:hanging="44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F .) </w:t>
      </w:r>
      <w:r>
        <w:rPr>
          <w:rFonts w:cs="Arial Narrow" w:ascii="Arial Narrow" w:hAnsi="Arial Narrow"/>
          <w:sz w:val="22"/>
          <w:szCs w:val="22"/>
        </w:rPr>
        <w:t>z)    a.)</w:t>
      </w:r>
    </w:p>
    <w:p>
      <w:pPr>
        <w:pStyle w:val="Nzov"/>
        <w:numPr>
          <w:ilvl w:val="0"/>
          <w:numId w:val="79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358"/>
        <w:gridCol w:w="1791"/>
        <w:gridCol w:w="2240"/>
        <w:gridCol w:w="1790"/>
      </w:tblGrid>
      <w:tr>
        <w:trPr/>
        <w:tc>
          <w:tcPr>
            <w:tcW w:w="33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Krátkodobý finančný  majetok</w:t>
            </w:r>
          </w:p>
        </w:tc>
        <w:tc>
          <w:tcPr>
            <w:tcW w:w="179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Zvýšenie/ zníženie hodnoty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(+/-)</w:t>
            </w:r>
          </w:p>
        </w:tc>
        <w:tc>
          <w:tcPr>
            <w:tcW w:w="22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Vplyv ocenenia</w:t>
              <w:br/>
              <w:t>na výsledok hospodá-renia bežného účtovného obdobia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Vplyv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ocenenia</w:t>
              <w:br/>
              <w:t>na vlastné imanie</w:t>
            </w:r>
          </w:p>
        </w:tc>
      </w:tr>
      <w:tr>
        <w:trPr/>
        <w:tc>
          <w:tcPr>
            <w:tcW w:w="33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a</w:t>
            </w:r>
          </w:p>
        </w:tc>
        <w:tc>
          <w:tcPr>
            <w:tcW w:w="179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b</w:t>
            </w:r>
          </w:p>
        </w:tc>
        <w:tc>
          <w:tcPr>
            <w:tcW w:w="22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c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  <w:color w:val="666666"/>
              </w:rPr>
            </w:pPr>
            <w:r>
              <w:rPr>
                <w:b w:val="false"/>
                <w:color w:val="666666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79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Emisné kvóty (komodity)</w:t>
            </w:r>
          </w:p>
        </w:tc>
        <w:tc>
          <w:tcPr>
            <w:tcW w:w="17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335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7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24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highlight w:val="yellow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1125" w:hanging="117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  <w:highlight w:val="yellow"/>
        </w:rPr>
      </w:pPr>
      <w:r>
        <w:rPr>
          <w:rFonts w:cs="Arial Narrow" w:ascii="Arial Narrow" w:hAnsi="Arial Narrow"/>
          <w:b/>
          <w:bCs/>
          <w:i/>
          <w:sz w:val="22"/>
          <w:szCs w:val="22"/>
          <w:highlight w:val="yellow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36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ind w:left="1125" w:hanging="117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rPr/>
      </w:pPr>
      <w:r>
        <w:rPr>
          <w:rFonts w:eastAsia="Arial Narrow" w:cs="Arial Narrow" w:ascii="Arial Narrow" w:hAnsi="Arial Narrow"/>
          <w:b/>
          <w:bCs/>
          <w:i/>
          <w:sz w:val="22"/>
          <w:szCs w:val="22"/>
        </w:rPr>
        <w:t xml:space="preserve">F .) </w:t>
      </w:r>
    </w:p>
    <w:p>
      <w:pPr>
        <w:pStyle w:val="Nzov"/>
        <w:numPr>
          <w:ilvl w:val="0"/>
          <w:numId w:val="80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11"/>
        <w:gridCol w:w="1271"/>
        <w:gridCol w:w="1687"/>
        <w:gridCol w:w="1061"/>
        <w:gridCol w:w="1191"/>
        <w:gridCol w:w="1552"/>
        <w:gridCol w:w="906"/>
      </w:tblGrid>
      <w:tr>
        <w:trPr>
          <w:trHeight w:val="660" w:hRule="atLeast"/>
        </w:trPr>
        <w:tc>
          <w:tcPr>
            <w:tcW w:w="15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</w:t>
              <w:br/>
              <w:t>položky</w:t>
            </w:r>
          </w:p>
        </w:tc>
        <w:tc>
          <w:tcPr>
            <w:tcW w:w="401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  <w:tc>
          <w:tcPr>
            <w:tcW w:w="364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1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1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  <w:tc>
          <w:tcPr>
            <w:tcW w:w="3649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</w:tr>
      <w:tr>
        <w:trPr>
          <w:trHeight w:val="345" w:hRule="atLeast"/>
        </w:trPr>
        <w:tc>
          <w:tcPr>
            <w:tcW w:w="151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7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10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  <w:tc>
          <w:tcPr>
            <w:tcW w:w="119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5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9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</w:tr>
      <w:tr>
        <w:trPr>
          <w:trHeight w:val="74" w:hRule="atLeast"/>
        </w:trPr>
        <w:tc>
          <w:tcPr>
            <w:tcW w:w="151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7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6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9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7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61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06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151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Finančný výnos</w:t>
            </w:r>
          </w:p>
        </w:tc>
        <w:tc>
          <w:tcPr>
            <w:tcW w:w="127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687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061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52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906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15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color w:val="666666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7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7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61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91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2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06" w:type="dxa"/>
            <w:tcBorders>
              <w:top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567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567" w:leader="none"/>
        </w:tabs>
        <w:jc w:val="both"/>
        <w:rPr/>
      </w:pPr>
      <w:r>
        <w:rPr>
          <w:rFonts w:cs="Arial Narrow" w:ascii="Arial Narrow" w:hAnsi="Arial Narrow"/>
          <w:sz w:val="22"/>
          <w:szCs w:val="22"/>
        </w:rPr>
        <w:t>Účtovná jednotka v roku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neevidovala majetok daný do prenájmu</w:t>
      </w:r>
    </w:p>
    <w:p>
      <w:pPr>
        <w:pStyle w:val="Standard"/>
        <w:tabs>
          <w:tab w:val="clear" w:pos="708"/>
          <w:tab w:val="left" w:pos="870" w:leader="none"/>
        </w:tabs>
        <w:ind w:left="435" w:hanging="43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870" w:leader="none"/>
        </w:tabs>
        <w:ind w:left="435" w:hanging="43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  <w:t>G.)   Údaje vykázané na strane pasív súvahy</w:t>
      </w:r>
    </w:p>
    <w:p>
      <w:pPr>
        <w:pStyle w:val="Standard"/>
        <w:numPr>
          <w:ilvl w:val="0"/>
          <w:numId w:val="81"/>
        </w:numPr>
        <w:tabs>
          <w:tab w:val="clear" w:pos="708"/>
          <w:tab w:val="left" w:pos="720" w:leader="none"/>
        </w:tabs>
        <w:ind w:left="360" w:hanging="360"/>
        <w:jc w:val="both"/>
        <w:rPr>
          <w:rFonts w:ascii="Arial Narrow" w:hAnsi="Arial Narrow" w:cs="Arial Narrow"/>
          <w:bCs/>
        </w:rPr>
      </w:pPr>
      <w:r>
        <w:rPr>
          <w:rFonts w:cs="Arial Narrow" w:ascii="Arial Narrow" w:hAnsi="Arial Narrow"/>
          <w:bCs/>
        </w:rPr>
        <w:t>Vlastné imanie</w:t>
      </w:r>
    </w:p>
    <w:p>
      <w:pPr>
        <w:pStyle w:val="Standard"/>
        <w:tabs>
          <w:tab w:val="clear" w:pos="708"/>
          <w:tab w:val="left" w:pos="1572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Stav základného imania k 31.12.202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tvoril 9000,- € </w:t>
      </w:r>
      <w:r>
        <w:br w:type="page"/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tabs>
          <w:tab w:val="clear" w:pos="708"/>
          <w:tab w:val="left" w:pos="1572" w:leader="none"/>
        </w:tabs>
        <w:ind w:left="786" w:hanging="765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a) 3.</w:t>
      </w:r>
    </w:p>
    <w:p>
      <w:pPr>
        <w:pStyle w:val="Nzov"/>
        <w:numPr>
          <w:ilvl w:val="0"/>
          <w:numId w:val="8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G. písm. a) tretiemu bodu o rozdelení účtovného zisku alebo o vysporiadaní účtovnej straty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691"/>
        <w:gridCol w:w="2488"/>
      </w:tblGrid>
      <w:tr>
        <w:trPr>
          <w:trHeight w:val="76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Účtovný zisk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Rozdelenie účtovného zisku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zákonného rezervného fondu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štatutárnych a ostatných fondov</w:t>
            </w:r>
          </w:p>
        </w:tc>
        <w:tc>
          <w:tcPr>
            <w:tcW w:w="2488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do sociálneho fondu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Prídel na zvýšenie základného imania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Úhrada straty minulých období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Prevod do nerozdeleného zisku minulých rokov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Rozdelenie podielu na zisku spoločníkom, členom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6691"/>
        <w:gridCol w:w="2488"/>
      </w:tblGrid>
      <w:tr>
        <w:trPr>
          <w:trHeight w:val="330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Názov položky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Účtovná strata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425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Vysporiadanie účtovnej straty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 zákonného rezervného fondu</w:t>
            </w:r>
          </w:p>
        </w:tc>
        <w:tc>
          <w:tcPr>
            <w:tcW w:w="248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Zo štatutárnych a ostatných fondov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 nerozdeleného zisku minulých rokov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Úhrada straty spoločníkmi, členmi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Prevod na účet neuhradenej straty minulých rokov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tabs>
          <w:tab w:val="clear" w:pos="708"/>
          <w:tab w:val="left" w:pos="725" w:leader="none"/>
          <w:tab w:val="left" w:pos="1335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tabs>
          <w:tab w:val="clear" w:pos="708"/>
          <w:tab w:val="left" w:pos="1556" w:leader="none"/>
        </w:tabs>
        <w:ind w:left="786" w:hanging="360"/>
        <w:jc w:val="both"/>
        <w:rPr/>
      </w:pPr>
      <w:r>
        <w:rPr/>
      </w:r>
    </w:p>
    <w:p>
      <w:pPr>
        <w:pStyle w:val="Standard"/>
        <w:jc w:val="both"/>
        <w:rPr/>
      </w:pPr>
      <w:r>
        <w:rPr>
          <w:rFonts w:eastAsia="Arial Narrow" w:cs="Arial Narrow" w:ascii="Arial Narrow" w:hAnsi="Arial Narrow"/>
          <w:b/>
          <w:bCs/>
          <w:i/>
          <w:sz w:val="22"/>
          <w:szCs w:val="22"/>
        </w:rPr>
        <w:t xml:space="preserve">G .) </w:t>
      </w:r>
      <w:r>
        <w:rPr>
          <w:rFonts w:eastAsia="Arial Narrow" w:cs="Arial Narrow" w:ascii="Arial Narrow" w:hAnsi="Arial Narrow"/>
          <w:i/>
          <w:sz w:val="22"/>
          <w:szCs w:val="22"/>
        </w:rPr>
        <w:t>b</w:t>
      </w:r>
      <w:r>
        <w:rPr>
          <w:rFonts w:eastAsia="Arial Narrow" w:cs="Arial Narrow" w:ascii="Arial Narrow" w:hAnsi="Arial Narrow"/>
          <w:sz w:val="22"/>
          <w:szCs w:val="22"/>
        </w:rPr>
        <w:t xml:space="preserve">)  </w:t>
      </w:r>
    </w:p>
    <w:p>
      <w:pPr>
        <w:pStyle w:val="Nzov"/>
        <w:numPr>
          <w:ilvl w:val="0"/>
          <w:numId w:val="8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52" w:type="dxa"/>
        <w:jc w:val="left"/>
        <w:tblInd w:w="-97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460"/>
        <w:gridCol w:w="1934"/>
        <w:gridCol w:w="1005"/>
        <w:gridCol w:w="1126"/>
        <w:gridCol w:w="1109"/>
        <w:gridCol w:w="1517"/>
      </w:tblGrid>
      <w:tr>
        <w:trPr>
          <w:trHeight w:val="330" w:hRule="atLeast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91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60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obch. a ekon. riziká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4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1"/>
              <w:bottom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pPr>
            <w:r>
              <w:rPr>
                <w:rFonts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pPr>
            <w:r>
              <w:rPr>
                <w:rFonts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Rezerva na poradenstvo pre  AUDIT</w:t>
            </w:r>
          </w:p>
        </w:tc>
        <w:tc>
          <w:tcPr>
            <w:tcW w:w="193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2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</w:tbl>
    <w:p>
      <w:pPr>
        <w:pStyle w:val="Standard"/>
        <w:spacing w:before="120" w:after="0"/>
        <w:rPr/>
      </w:pPr>
      <w:r>
        <w:rPr/>
      </w:r>
    </w:p>
    <w:p>
      <w:pPr>
        <w:pStyle w:val="Standard"/>
        <w:spacing w:before="120" w:after="0"/>
        <w:rPr/>
      </w:pPr>
      <w:r>
        <w:rPr/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</w:t>
      </w:r>
      <w:r>
        <w:rPr>
          <w:rFonts w:cs="Arial Narrow" w:ascii="Arial Narrow" w:hAnsi="Arial Narrow"/>
          <w:i/>
          <w:sz w:val="22"/>
          <w:szCs w:val="22"/>
        </w:rPr>
        <w:t>c-d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numPr>
          <w:ilvl w:val="0"/>
          <w:numId w:val="84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707"/>
        <w:gridCol w:w="2887"/>
        <w:gridCol w:w="2586"/>
      </w:tblGrid>
      <w:tr>
        <w:trPr>
          <w:trHeight w:val="920" w:hRule="atLeast"/>
        </w:trPr>
        <w:tc>
          <w:tcPr>
            <w:tcW w:w="37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Dlhodobé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2586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nad päť rokov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6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jeden rok až päť rokov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6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7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2586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b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b/>
                <w:bCs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70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so zostatkovou dobou splatnosti do jedného roka vrátane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2586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70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Záväzky po lehote splatnosti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586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rPr/>
      </w:pPr>
      <w:r>
        <w:rPr/>
      </w:r>
    </w:p>
    <w:tbl>
      <w:tblPr>
        <w:tblW w:w="2219" w:type="dxa"/>
        <w:jc w:val="left"/>
        <w:tblInd w:w="12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219"/>
      </w:tblGrid>
      <w:tr>
        <w:trPr>
          <w:trHeight w:val="345" w:hRule="atLeast"/>
        </w:trPr>
        <w:tc>
          <w:tcPr>
            <w:tcW w:w="2219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Textbody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e) Spoločnosť  v roku 202</w:t>
      </w:r>
      <w:r>
        <w:rPr>
          <w:rFonts w:ascii="Arial Narrow" w:hAnsi="Arial Narrow"/>
          <w:b w:val="false"/>
          <w:sz w:val="22"/>
          <w:szCs w:val="22"/>
        </w:rPr>
        <w:t>3</w:t>
      </w:r>
      <w:r>
        <w:rPr>
          <w:rFonts w:ascii="Arial Narrow" w:hAnsi="Arial Narrow"/>
          <w:b w:val="false"/>
          <w:sz w:val="22"/>
          <w:szCs w:val="22"/>
        </w:rPr>
        <w:t xml:space="preserve"> neevidovala záväzky zabezpečené záložným právom, alebo inou formou zabezpečenia.</w:t>
      </w:r>
    </w:p>
    <w:p>
      <w:pPr>
        <w:pStyle w:val="Textbody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ind w:left="264" w:hanging="264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</w:t>
      </w:r>
      <w:r>
        <w:rPr>
          <w:b w:val="false"/>
          <w:sz w:val="22"/>
          <w:szCs w:val="22"/>
        </w:rPr>
        <w:t>f)</w:t>
      </w:r>
    </w:p>
    <w:p>
      <w:pPr>
        <w:pStyle w:val="Nzov"/>
        <w:widowControl w:val="false"/>
        <w:numPr>
          <w:ilvl w:val="0"/>
          <w:numId w:val="85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4925"/>
        <w:gridCol w:w="2183"/>
        <w:gridCol w:w="2072"/>
      </w:tblGrid>
      <w:tr>
        <w:trPr>
          <w:trHeight w:val="990" w:hRule="atLeast"/>
        </w:trPr>
        <w:tc>
          <w:tcPr>
            <w:tcW w:w="49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8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7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2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Dočasné rozdiely medzi účtovnou hodnotou majetku a daňovou základňou, z toho:</w:t>
            </w:r>
          </w:p>
        </w:tc>
        <w:tc>
          <w:tcPr>
            <w:tcW w:w="21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720" w:hanging="0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63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Dočasné rozdiely medzi účtovnou hodnotou záväzkov a daňovou základňou, z toho: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49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Možnosť umorovať daňovú stratu v budúcnosti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Možnosť previesť nevyužité daňové odpočty</w:t>
            </w:r>
          </w:p>
        </w:tc>
        <w:tc>
          <w:tcPr>
            <w:tcW w:w="2183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Sadzba dane z príjmov ( v %)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Odložená daňová pohľadávka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Uplatnená daňová pohľadávka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Odložený daňový záväzok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Zmena odloženého daňového záväzku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72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40" w:hRule="atLeast"/>
        </w:trPr>
        <w:tc>
          <w:tcPr>
            <w:tcW w:w="492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18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72" w:type="dxa"/>
            <w:tcBorders>
              <w:top w:val="single" w:sz="4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  <w:r>
        <w:rPr>
          <w:rFonts w:eastAsia="Arial Narrow"/>
          <w:sz w:val="22"/>
          <w:szCs w:val="22"/>
        </w:rPr>
      </w:r>
    </w:p>
    <w:p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  <w:r>
        <w:rPr>
          <w:rFonts w:eastAsia="Arial Narrow"/>
          <w:sz w:val="22"/>
          <w:szCs w:val="22"/>
        </w:rPr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g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numPr>
          <w:ilvl w:val="0"/>
          <w:numId w:val="86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07"/>
        <w:gridCol w:w="2618"/>
        <w:gridCol w:w="2655"/>
      </w:tblGrid>
      <w:tr>
        <w:trPr>
          <w:trHeight w:val="825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</w:tbl>
    <w:p>
      <w:pPr>
        <w:pStyle w:val="Standard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>h</w:t>
      </w:r>
      <w:r>
        <w:rPr>
          <w:rFonts w:cs="Arial Narrow" w:ascii="Arial Narrow" w:hAnsi="Arial Narrow"/>
          <w:sz w:val="22"/>
          <w:szCs w:val="22"/>
        </w:rPr>
        <w:t>)</w:t>
      </w:r>
    </w:p>
    <w:p>
      <w:pPr>
        <w:pStyle w:val="Nzov"/>
        <w:widowControl w:val="false"/>
        <w:numPr>
          <w:ilvl w:val="0"/>
          <w:numId w:val="8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164"/>
        <w:gridCol w:w="1405"/>
        <w:gridCol w:w="1401"/>
        <w:gridCol w:w="1401"/>
        <w:gridCol w:w="1402"/>
        <w:gridCol w:w="1406"/>
      </w:tblGrid>
      <w:tr>
        <w:trPr>
          <w:trHeight w:val="345" w:hRule="atLeast"/>
        </w:trPr>
        <w:tc>
          <w:tcPr>
            <w:tcW w:w="21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6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6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widowControl w:val="false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Dlhopisy spoločnosť v roku 202</w:t>
      </w:r>
      <w:r>
        <w:rPr>
          <w:rFonts w:ascii="Arial Narrow" w:hAnsi="Arial Narrow"/>
          <w:b w:val="false"/>
          <w:sz w:val="22"/>
          <w:szCs w:val="22"/>
        </w:rPr>
        <w:t>3</w:t>
      </w:r>
      <w:r>
        <w:rPr>
          <w:rFonts w:ascii="Arial Narrow" w:hAnsi="Arial Narrow"/>
          <w:b w:val="false"/>
          <w:sz w:val="22"/>
          <w:szCs w:val="22"/>
        </w:rPr>
        <w:t xml:space="preserve"> neemitovala.</w:t>
      </w:r>
    </w:p>
    <w:p>
      <w:pPr>
        <w:pStyle w:val="Textbody"/>
        <w:widowControl w:val="false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Standard"/>
        <w:ind w:left="1125" w:hanging="117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 </w:t>
      </w:r>
      <w:r>
        <w:rPr>
          <w:rFonts w:cs="Arial Narrow" w:ascii="Arial Narrow" w:hAnsi="Arial Narrow"/>
          <w:sz w:val="22"/>
          <w:szCs w:val="22"/>
        </w:rPr>
        <w:t>i )</w:t>
      </w:r>
    </w:p>
    <w:p>
      <w:pPr>
        <w:pStyle w:val="Nzov"/>
        <w:widowControl w:val="false"/>
        <w:numPr>
          <w:ilvl w:val="0"/>
          <w:numId w:val="88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40"/>
        <w:gridCol w:w="842"/>
        <w:gridCol w:w="1253"/>
        <w:gridCol w:w="1399"/>
        <w:gridCol w:w="1561"/>
        <w:gridCol w:w="1079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5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left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07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ind w:left="284" w:hanging="28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70"/>
        <w:gridCol w:w="812"/>
        <w:gridCol w:w="1261"/>
        <w:gridCol w:w="1401"/>
        <w:gridCol w:w="1119"/>
        <w:gridCol w:w="1511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 </w:t>
            </w:r>
            <w:r>
              <w:rPr>
                <w:color w:val="666666"/>
              </w:rPr>
              <w:t>za bežné účtovné obdobie</w:t>
            </w:r>
          </w:p>
        </w:tc>
        <w:tc>
          <w:tcPr>
            <w:tcW w:w="15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5" w:hRule="atLeast"/>
        </w:trPr>
        <w:tc>
          <w:tcPr>
            <w:tcW w:w="9179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40"/>
        <w:gridCol w:w="842"/>
        <w:gridCol w:w="1253"/>
        <w:gridCol w:w="1399"/>
        <w:gridCol w:w="1561"/>
        <w:gridCol w:w="1079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4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5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extbody"/>
              <w:widowControl w:val="false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4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84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center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5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Textbody"/>
              <w:widowControl w:val="false"/>
              <w:jc w:val="left"/>
              <w:rPr>
                <w:rFonts w:ascii="Arial Narrow" w:hAnsi="Arial Narrow"/>
                <w:b w:val="false"/>
                <w:b w:val="false"/>
                <w:sz w:val="22"/>
                <w:szCs w:val="22"/>
              </w:rPr>
            </w:pPr>
            <w:r>
              <w:rPr>
                <w:rFonts w:ascii="Arial Narrow" w:hAnsi="Arial Narrow"/>
                <w:b w:val="false"/>
                <w:sz w:val="22"/>
                <w:szCs w:val="22"/>
              </w:rPr>
            </w:r>
          </w:p>
        </w:tc>
        <w:tc>
          <w:tcPr>
            <w:tcW w:w="107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Textbody"/>
        <w:widowControl w:val="false"/>
        <w:ind w:left="284" w:hanging="28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205"/>
        <w:gridCol w:w="870"/>
        <w:gridCol w:w="812"/>
        <w:gridCol w:w="1261"/>
        <w:gridCol w:w="1401"/>
        <w:gridCol w:w="1119"/>
        <w:gridCol w:w="1511"/>
      </w:tblGrid>
      <w:tr>
        <w:trPr>
          <w:trHeight w:val="990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 xml:space="preserve"> </w:t>
            </w:r>
            <w:r>
              <w:rPr>
                <w:color w:val="666666"/>
              </w:rPr>
              <w:t>za bežné účtovné obdobie</w:t>
            </w:r>
          </w:p>
        </w:tc>
        <w:tc>
          <w:tcPr>
            <w:tcW w:w="15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30" w:hRule="atLeast"/>
        </w:trPr>
        <w:tc>
          <w:tcPr>
            <w:tcW w:w="9179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45" w:hRule="atLeast"/>
        </w:trPr>
        <w:tc>
          <w:tcPr>
            <w:tcW w:w="9179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2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  <w:tc>
          <w:tcPr>
            <w:tcW w:w="1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color w:val="666666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ind w:left="1125" w:hanging="1170"/>
        <w:jc w:val="both"/>
        <w:rPr/>
      </w:pPr>
      <w:r>
        <w:rPr/>
      </w:r>
    </w:p>
    <w:p>
      <w:pPr>
        <w:pStyle w:val="Standard"/>
        <w:spacing w:before="0" w:after="120"/>
        <w:ind w:left="690" w:hanging="690"/>
        <w:jc w:val="both"/>
        <w:rPr>
          <w:rFonts w:ascii="Arial Narrow" w:hAnsi="Arial Narrow" w:cs="Arial Narrow"/>
          <w:b/>
          <w:b/>
          <w:bCs/>
          <w:i/>
          <w:i/>
          <w:sz w:val="22"/>
          <w:szCs w:val="22"/>
        </w:rPr>
      </w:pPr>
      <w:r>
        <w:rPr>
          <w:rFonts w:cs="Arial Narrow" w:ascii="Arial Narrow" w:hAnsi="Arial Narrow"/>
          <w:b/>
          <w:bCs/>
          <w:i/>
          <w:sz w:val="22"/>
          <w:szCs w:val="22"/>
        </w:rPr>
      </w:r>
    </w:p>
    <w:p>
      <w:pPr>
        <w:pStyle w:val="Standard"/>
        <w:spacing w:before="0" w:after="120"/>
        <w:ind w:left="690" w:hanging="69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G .)  </w:t>
      </w:r>
      <w:r>
        <w:rPr>
          <w:rFonts w:cs="Arial Narrow" w:ascii="Arial Narrow" w:hAnsi="Arial Narrow"/>
          <w:i/>
          <w:sz w:val="22"/>
          <w:szCs w:val="22"/>
        </w:rPr>
        <w:t xml:space="preserve">j </w:t>
      </w:r>
      <w:r>
        <w:rPr>
          <w:rFonts w:cs="Arial Narrow" w:ascii="Arial Narrow" w:hAnsi="Arial Narrow"/>
          <w:sz w:val="22"/>
          <w:szCs w:val="22"/>
        </w:rPr>
        <w:t xml:space="preserve">) </w:t>
      </w:r>
      <w:r>
        <w:rPr>
          <w:rFonts w:cs="Arial Narrow" w:ascii="Arial Narrow" w:hAnsi="Arial Narrow"/>
          <w:b/>
          <w:bCs/>
          <w:sz w:val="22"/>
          <w:szCs w:val="22"/>
        </w:rPr>
        <w:t>Informácie k časti G. písm. j) prílohy č. 3 o významných položkách časového rozlíšenia na strane pasív</w:t>
      </w:r>
    </w:p>
    <w:p>
      <w:pPr>
        <w:pStyle w:val="Nzov"/>
        <w:numPr>
          <w:ilvl w:val="0"/>
          <w:numId w:val="89"/>
        </w:numPr>
        <w:ind w:left="360" w:hanging="360"/>
        <w:jc w:val="both"/>
        <w:rPr>
          <w:szCs w:val="22"/>
        </w:rPr>
      </w:pPr>
      <w:r>
        <w:rPr>
          <w:szCs w:val="22"/>
        </w:rPr>
        <w:t>Informácie k prílohe č. 3 časti  G. písm. k) o významných položkách derivátov za bežné účtovné obdobie</w:t>
      </w:r>
    </w:p>
    <w:p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16"/>
        <w:gridCol w:w="1472"/>
        <w:gridCol w:w="1612"/>
        <w:gridCol w:w="2179"/>
      </w:tblGrid>
      <w:tr>
        <w:trPr>
          <w:trHeight w:val="278" w:hRule="atLeast"/>
        </w:trPr>
        <w:tc>
          <w:tcPr>
            <w:tcW w:w="391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7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16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47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pohľadávky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záväzku</w:t>
            </w:r>
          </w:p>
        </w:tc>
        <w:tc>
          <w:tcPr>
            <w:tcW w:w="2179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6" w:hRule="atLeast"/>
        </w:trPr>
        <w:tc>
          <w:tcPr>
            <w:tcW w:w="39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47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Deriváty určené na obchodovanie, z toho:</w:t>
            </w:r>
          </w:p>
        </w:tc>
        <w:tc>
          <w:tcPr>
            <w:tcW w:w="147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161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  <w:tc>
          <w:tcPr>
            <w:tcW w:w="21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Tabuľka č. 2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3907"/>
        <w:gridCol w:w="1664"/>
        <w:gridCol w:w="978"/>
        <w:gridCol w:w="1679"/>
        <w:gridCol w:w="952"/>
      </w:tblGrid>
      <w:tr>
        <w:trPr>
          <w:trHeight w:val="622" w:hRule="atLeast"/>
        </w:trPr>
        <w:tc>
          <w:tcPr>
            <w:tcW w:w="3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3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31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07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6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9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6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Deriváty určené na obchodovanie, z toho: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7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52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79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95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390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7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7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52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widowControl w:val="false"/>
        <w:ind w:left="360" w:hanging="360"/>
        <w:jc w:val="lef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/>
      </w:pPr>
      <w:r>
        <w:rPr>
          <w:rFonts w:ascii="Arial Narrow" w:hAnsi="Arial Narrow"/>
          <w:b w:val="false"/>
          <w:sz w:val="22"/>
          <w:szCs w:val="22"/>
        </w:rPr>
        <w:t>Spoločnosť v roku 202</w:t>
      </w:r>
      <w:r>
        <w:rPr>
          <w:rFonts w:ascii="Arial Narrow" w:hAnsi="Arial Narrow"/>
          <w:b w:val="false"/>
          <w:sz w:val="22"/>
          <w:szCs w:val="22"/>
        </w:rPr>
        <w:t>3</w:t>
      </w:r>
      <w:r>
        <w:rPr>
          <w:rFonts w:ascii="Arial Narrow" w:hAnsi="Arial Narrow"/>
          <w:b w:val="false"/>
          <w:sz w:val="22"/>
          <w:szCs w:val="22"/>
        </w:rPr>
        <w:t xml:space="preserve">  neevidovala deriváty.</w:t>
      </w:r>
    </w:p>
    <w:p>
      <w:pPr>
        <w:pStyle w:val="Textbody"/>
        <w:widowControl w:val="false"/>
        <w:ind w:left="360" w:hanging="360"/>
        <w:jc w:val="left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 w:cs="Arial Narrow"/>
          <w:i/>
          <w:i/>
          <w:sz w:val="22"/>
          <w:szCs w:val="22"/>
        </w:rPr>
      </w:pPr>
      <w:r>
        <w:rPr>
          <w:rFonts w:cs="Arial Narrow" w:ascii="Arial Narrow" w:hAnsi="Arial Narrow"/>
          <w:i/>
          <w:sz w:val="22"/>
          <w:szCs w:val="22"/>
        </w:rPr>
      </w:r>
    </w:p>
    <w:p>
      <w:pPr>
        <w:pStyle w:val="Textbody"/>
        <w:widowControl w:val="false"/>
        <w:jc w:val="left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  </w:t>
      </w:r>
      <w:r>
        <w:rPr>
          <w:b w:val="false"/>
          <w:sz w:val="22"/>
          <w:szCs w:val="22"/>
        </w:rPr>
        <w:t xml:space="preserve">l)   </w:t>
      </w:r>
    </w:p>
    <w:p>
      <w:pPr>
        <w:pStyle w:val="Nzov"/>
        <w:widowControl w:val="false"/>
        <w:numPr>
          <w:ilvl w:val="0"/>
          <w:numId w:val="90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238"/>
        <w:gridCol w:w="1960"/>
        <w:gridCol w:w="1982"/>
      </w:tblGrid>
      <w:tr>
        <w:trPr>
          <w:trHeight w:val="352" w:hRule="atLeast"/>
        </w:trPr>
        <w:tc>
          <w:tcPr>
            <w:tcW w:w="52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94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23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9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Majetok vykázaný v súvahe</w:t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Záväzok vykázaný v súvahe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Zmluvy, ktoré sa neúčtujú na súvahových účtoch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Očakávané budúce obchody dosiaľ zmluvne nezabezpečené</w:t>
            </w:r>
          </w:p>
        </w:tc>
        <w:tc>
          <w:tcPr>
            <w:tcW w:w="19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8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ind w:left="709" w:hanging="709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Majetok a záväzky zabezpečené derivátmi účtovná jednotka v roku 202</w:t>
      </w:r>
      <w:r>
        <w:rPr>
          <w:rFonts w:ascii="Arial Narrow" w:hAnsi="Arial Narrow"/>
          <w:b w:val="false"/>
          <w:sz w:val="22"/>
          <w:szCs w:val="22"/>
        </w:rPr>
        <w:t>3</w:t>
      </w:r>
      <w:r>
        <w:rPr>
          <w:rFonts w:ascii="Arial Narrow" w:hAnsi="Arial Narrow"/>
          <w:b w:val="false"/>
          <w:sz w:val="22"/>
          <w:szCs w:val="22"/>
        </w:rPr>
        <w:t xml:space="preserve"> neevidovala.</w:t>
      </w:r>
    </w:p>
    <w:p>
      <w:pPr>
        <w:pStyle w:val="Textbody"/>
        <w:widowControl w:val="false"/>
        <w:ind w:left="360" w:hanging="360"/>
        <w:jc w:val="left"/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</w:r>
    </w:p>
    <w:p>
      <w:pPr>
        <w:pStyle w:val="Textbody"/>
        <w:ind w:left="709" w:hanging="709"/>
        <w:rPr/>
      </w:pPr>
      <w:r>
        <w:rPr>
          <w:rFonts w:cs="Arial Narrow" w:ascii="Arial Narrow" w:hAnsi="Arial Narrow"/>
          <w:i/>
          <w:sz w:val="22"/>
          <w:szCs w:val="22"/>
        </w:rPr>
        <w:t xml:space="preserve">G .)   </w:t>
      </w:r>
      <w:r>
        <w:rPr>
          <w:b w:val="false"/>
          <w:sz w:val="22"/>
          <w:szCs w:val="22"/>
        </w:rPr>
        <w:t>m)</w:t>
      </w:r>
    </w:p>
    <w:p>
      <w:pPr>
        <w:pStyle w:val="Nzov"/>
        <w:widowControl w:val="false"/>
        <w:numPr>
          <w:ilvl w:val="0"/>
          <w:numId w:val="91"/>
        </w:numPr>
        <w:ind w:left="360" w:hanging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1578"/>
        <w:gridCol w:w="1205"/>
        <w:gridCol w:w="1452"/>
        <w:gridCol w:w="1098"/>
        <w:gridCol w:w="1224"/>
        <w:gridCol w:w="1503"/>
        <w:gridCol w:w="1119"/>
      </w:tblGrid>
      <w:tr>
        <w:trPr>
          <w:trHeight w:val="571" w:hRule="atLeast"/>
        </w:trPr>
        <w:tc>
          <w:tcPr>
            <w:tcW w:w="157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55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7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755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78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0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7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4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0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45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9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2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0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Finančný náklad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452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503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19" w:type="dxa"/>
            <w:tcBorders>
              <w:bottom w:val="single" w:sz="4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157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 </w:t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52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24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03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9" w:type="dxa"/>
            <w:tcBorders>
              <w:bottom w:val="single" w:sz="12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rPr>
          <w:vanish/>
        </w:rPr>
      </w:pPr>
      <w:r>
        <w:rPr>
          <w:vanish/>
        </w:rPr>
      </w:r>
    </w:p>
    <w:p>
      <w:pPr>
        <w:pStyle w:val="Standard"/>
        <w:spacing w:before="0" w:after="120"/>
        <w:ind w:left="360" w:hanging="360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i/>
          <w:sz w:val="22"/>
          <w:szCs w:val="22"/>
        </w:rPr>
        <w:t xml:space="preserve">  b</w:t>
      </w:r>
      <w:r>
        <w:rPr>
          <w:rFonts w:cs="Arial Narrow" w:ascii="Arial Narrow" w:hAnsi="Arial Narrow"/>
          <w:bCs/>
          <w:sz w:val="22"/>
          <w:szCs w:val="22"/>
        </w:rPr>
        <w:t>)</w:t>
      </w:r>
    </w:p>
    <w:p>
      <w:pPr>
        <w:pStyle w:val="Nzov"/>
        <w:widowControl w:val="false"/>
        <w:numPr>
          <w:ilvl w:val="0"/>
          <w:numId w:val="92"/>
        </w:numPr>
        <w:ind w:left="360" w:hanging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286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501"/>
        <w:gridCol w:w="1127"/>
        <w:gridCol w:w="1243"/>
        <w:gridCol w:w="1399"/>
        <w:gridCol w:w="1121"/>
        <w:gridCol w:w="1894"/>
      </w:tblGrid>
      <w:tr>
        <w:trPr>
          <w:trHeight w:val="990" w:hRule="atLeast"/>
        </w:trPr>
        <w:tc>
          <w:tcPr>
            <w:tcW w:w="250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42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301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stavu vnútroorganizačných</w:t>
            </w:r>
          </w:p>
          <w:p>
            <w:pPr>
              <w:pStyle w:val="TopHeader"/>
              <w:widowControl w:val="false"/>
              <w:rPr/>
            </w:pPr>
            <w:r>
              <w:rPr/>
              <w:t>zásob</w:t>
            </w:r>
          </w:p>
        </w:tc>
      </w:tr>
      <w:tr>
        <w:trPr>
          <w:trHeight w:val="930" w:hRule="atLeast"/>
        </w:trPr>
        <w:tc>
          <w:tcPr>
            <w:tcW w:w="2501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0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12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24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2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89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0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Nedokončená výroba 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 polotovary vlastnej výroby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6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127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  <w:tc>
          <w:tcPr>
            <w:tcW w:w="139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Manká a škody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Reprezentačné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Dary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50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12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705" w:hRule="atLeast"/>
        </w:trPr>
        <w:tc>
          <w:tcPr>
            <w:tcW w:w="25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Zmena stavu vnútroorganizačných zásob vo výkaze ziskov a strát</w:t>
            </w:r>
          </w:p>
        </w:tc>
        <w:tc>
          <w:tcPr>
            <w:tcW w:w="112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39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  <w:r>
        <w:br w:type="page"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Rok 2017</w:t>
      </w:r>
    </w:p>
    <w:tbl>
      <w:tblPr>
        <w:tblW w:w="9538" w:type="dxa"/>
        <w:jc w:val="left"/>
        <w:tblInd w:w="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555"/>
        <w:gridCol w:w="1202"/>
        <w:gridCol w:w="1254"/>
        <w:gridCol w:w="1302"/>
        <w:gridCol w:w="1268"/>
        <w:gridCol w:w="1956"/>
      </w:tblGrid>
      <w:tr>
        <w:trPr>
          <w:trHeight w:val="729" w:hRule="atLeast"/>
        </w:trPr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202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25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2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Zmena stavu vnútroorganizačných zásob</w:t>
            </w:r>
          </w:p>
        </w:tc>
      </w:tr>
      <w:tr>
        <w:trPr>
          <w:trHeight w:val="796" w:hRule="atLeast"/>
        </w:trPr>
        <w:tc>
          <w:tcPr>
            <w:tcW w:w="2555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02" w:type="dxa"/>
            <w:vMerge w:val="continue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Začiatočný stav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55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02" w:type="dxa"/>
            <w:tcBorders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54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02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68" w:type="dxa"/>
            <w:tcBorders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e</w:t>
            </w:r>
          </w:p>
        </w:tc>
        <w:tc>
          <w:tcPr>
            <w:tcW w:w="195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f</w:t>
            </w:r>
          </w:p>
        </w:tc>
      </w:tr>
      <w:tr>
        <w:trPr>
          <w:trHeight w:val="349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Polotovary vlastnej výroby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ind w:left="360" w:hanging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555" w:type="dxa"/>
            <w:tcBorders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Výrobky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5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color w:val="000000"/>
                <w:sz w:val="22"/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Manká a škody</w:t>
            </w:r>
          </w:p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  <w:tr>
        <w:trPr>
          <w:trHeight w:val="705" w:hRule="atLeast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Standard"/>
        <w:spacing w:before="215" w:after="221"/>
        <w:ind w:left="709" w:hanging="709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215" w:after="221"/>
        <w:ind w:left="990" w:hanging="975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sz w:val="22"/>
          <w:szCs w:val="22"/>
        </w:rPr>
        <w:t>c – e)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o výnosoch pri aktivácii nákladov a výnosoch z hospodárskej činnosti, finančnej činnosti a mimoriadnej činnosti</w:t>
      </w:r>
    </w:p>
    <w:p>
      <w:pPr>
        <w:pStyle w:val="Standard"/>
        <w:keepNext w:val="true"/>
        <w:spacing w:before="0" w:after="2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220"/>
        <w:ind w:left="360" w:hanging="360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sz w:val="22"/>
          <w:szCs w:val="22"/>
        </w:rPr>
        <w:t>f) O výnosoch, ktoré majú výnimočný rozsah alebo výskyt v roku 202</w:t>
      </w:r>
      <w:r>
        <w:rPr>
          <w:rFonts w:cs="Arial Narrow" w:ascii="Arial Narrow" w:hAnsi="Arial Narrow"/>
          <w:bCs/>
          <w:sz w:val="22"/>
          <w:szCs w:val="22"/>
        </w:rPr>
        <w:t>3</w:t>
      </w:r>
      <w:r>
        <w:rPr>
          <w:rFonts w:cs="Arial Narrow" w:ascii="Arial Narrow" w:hAnsi="Arial Narrow"/>
          <w:bCs/>
          <w:sz w:val="22"/>
          <w:szCs w:val="22"/>
        </w:rPr>
        <w:t xml:space="preserve"> účtovná jednotka neúčtovala.</w:t>
      </w:r>
    </w:p>
    <w:p>
      <w:pPr>
        <w:pStyle w:val="Standard"/>
        <w:spacing w:before="0" w:after="1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Standard"/>
        <w:spacing w:before="0" w:after="120"/>
        <w:ind w:left="360" w:hanging="360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H.)</w:t>
      </w:r>
      <w:r>
        <w:rPr>
          <w:rFonts w:cs="Arial Narrow" w:ascii="Arial Narrow" w:hAnsi="Arial Narrow"/>
          <w:bCs/>
          <w:i/>
          <w:sz w:val="22"/>
          <w:szCs w:val="22"/>
        </w:rPr>
        <w:t xml:space="preserve">  g</w:t>
      </w:r>
      <w:r>
        <w:rPr>
          <w:rFonts w:cs="Arial Narrow" w:ascii="Arial Narrow" w:hAnsi="Arial Narrow"/>
          <w:bCs/>
          <w:sz w:val="22"/>
          <w:szCs w:val="22"/>
        </w:rPr>
        <w:t>)</w:t>
      </w:r>
    </w:p>
    <w:p>
      <w:pPr>
        <w:pStyle w:val="Nzov"/>
        <w:numPr>
          <w:ilvl w:val="0"/>
          <w:numId w:val="93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817"/>
        <w:gridCol w:w="1681"/>
        <w:gridCol w:w="1682"/>
      </w:tblGrid>
      <w:tr>
        <w:trPr>
          <w:trHeight w:val="1005" w:hRule="atLeast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za vlastné výrobky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 predaja služieb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124264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Arial Narrow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  <w:t>156171</w:t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Tržby za tovar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zo zákazky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z nehnuteľnosti na predaj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 výnosy súvisiace s bežnou činnosťou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69" w:hRule="atLeast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b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b/>
                <w:bCs/>
                <w:sz w:val="22"/>
                <w:szCs w:val="22"/>
                <w:lang w:eastAsia="en-US" w:bidi="ar-SA"/>
              </w:rPr>
              <w:t>Čistý obrat celkom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  <w:t>120264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  <w:t>1</w:t>
            </w:r>
            <w:r>
              <w:rPr>
                <w:rFonts w:eastAsia="SimSun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  <w:t>39671</w:t>
            </w:r>
          </w:p>
        </w:tc>
      </w:tr>
    </w:tbl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I.)   Náklady</w:t>
      </w:r>
    </w:p>
    <w:p>
      <w:pPr>
        <w:pStyle w:val="Textbody"/>
        <w:rPr/>
      </w:pPr>
      <w:r>
        <w:rPr/>
      </w:r>
    </w:p>
    <w:p>
      <w:pPr>
        <w:pStyle w:val="Standard"/>
        <w:keepNext w:val="true"/>
        <w:rPr/>
      </w:pPr>
      <w:r>
        <w:rPr>
          <w:rFonts w:cs="Arial Narrow" w:ascii="Arial Narrow" w:hAnsi="Arial Narrow"/>
          <w:bCs/>
          <w:sz w:val="22"/>
          <w:szCs w:val="22"/>
        </w:rPr>
        <w:t>I)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Informácie k časti I. prílohy č. 3 o nákladoch</w:t>
      </w:r>
    </w:p>
    <w:p>
      <w:pPr>
        <w:pStyle w:val="Standard"/>
        <w:keepNext w:val="true"/>
        <w:ind w:left="284" w:hanging="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 Špecifikácia významných položiek nákladov na poskytnuté služby</w:t>
      </w:r>
    </w:p>
    <w:p>
      <w:pPr>
        <w:pStyle w:val="Standard"/>
        <w:keepNext w:val="true"/>
        <w:ind w:firstLine="284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Špecifikácia významných položiek ostatných nákladov z hosp. činností</w:t>
      </w:r>
    </w:p>
    <w:p>
      <w:pPr>
        <w:pStyle w:val="Textbody"/>
        <w:ind w:firstLine="284"/>
        <w:rPr/>
      </w:pPr>
      <w:r>
        <w:rPr>
          <w:b w:val="false"/>
          <w:sz w:val="22"/>
          <w:szCs w:val="22"/>
        </w:rPr>
        <w:t xml:space="preserve">c) </w:t>
      </w:r>
      <w:r>
        <w:rPr>
          <w:rFonts w:ascii="Arial Narrow" w:hAnsi="Arial Narrow"/>
          <w:b w:val="false"/>
          <w:sz w:val="22"/>
          <w:szCs w:val="22"/>
        </w:rPr>
        <w:t>Špecifikácia významných položiek finančných nákladov</w:t>
      </w:r>
    </w:p>
    <w:tbl>
      <w:tblPr>
        <w:tblW w:w="9571" w:type="dxa"/>
        <w:jc w:val="left"/>
        <w:tblInd w:w="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287"/>
        <w:gridCol w:w="2180"/>
        <w:gridCol w:w="2104"/>
      </w:tblGrid>
      <w:tr>
        <w:trPr>
          <w:trHeight w:val="857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  <w:t>Náklady za poskytnuté služby spolu</w:t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b/>
                <w:b/>
                <w:bCs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b/>
                <w:bCs/>
                <w:color w:val="000000"/>
                <w:kern w:val="2"/>
                <w:sz w:val="22"/>
                <w:szCs w:val="22"/>
                <w:lang w:val="sk-SK" w:eastAsia="zh-CN" w:bidi="hi-IN"/>
              </w:rPr>
            </w:r>
          </w:p>
        </w:tc>
      </w:tr>
      <w:tr>
        <w:trPr>
          <w:trHeight w:val="377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551" w:right="7" w:hanging="577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1046" w:right="7" w:hanging="1055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ind w:left="492" w:right="12" w:hanging="510"/>
              <w:rPr/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  <w:t>Ostatné významné položky nákladov za poskytnuté služby spolu</w:t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  <w:t>Spotreba materiálu, energie a nesklad. dodávok</w:t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SimSun" w:cs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pPr>
            <w:r>
              <w:rPr>
                <w:rFonts w:eastAsia="SimSun" w:cs="Arial Narrow" w:ascii="Arial Narrow" w:hAnsi="Arial Narrow"/>
                <w:color w:val="000000"/>
                <w:kern w:val="2"/>
                <w:sz w:val="22"/>
                <w:szCs w:val="22"/>
                <w:lang w:val="sk-SK" w:eastAsia="zh-CN" w:bidi="hi-IN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Times New Roman" w:hAnsi="Times New Roman"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pPr>
            <w:r>
              <w:rPr>
                <w:rFonts w:eastAsia="SimSun" w:cs="Mangal"/>
                <w:color w:val="auto"/>
                <w:kern w:val="2"/>
                <w:sz w:val="24"/>
                <w:szCs w:val="24"/>
                <w:lang w:val="sk-SK" w:eastAsia="zh-CN" w:bidi="hi-IN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747" w:right="-3" w:hanging="0"/>
              <w:jc w:val="both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747" w:right="-3" w:hanging="0"/>
              <w:jc w:val="both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57" w:hRule="atLeast"/>
        </w:trPr>
        <w:tc>
          <w:tcPr>
            <w:tcW w:w="5287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ind w:left="522" w:right="-3" w:hanging="0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bottom"/>
          </w:tcPr>
          <w:p>
            <w:pPr>
              <w:pStyle w:val="Standard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/>
            </w:pPr>
            <w:r>
              <w:rPr/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287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180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tcW w:w="2104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rPr>
                <w:rFonts w:ascii="Arial Narrow" w:hAnsi="Arial Narrow" w:cs="Arial Narrow"/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pStyle w:val="Textbody"/>
        <w:numPr>
          <w:ilvl w:val="0"/>
          <w:numId w:val="2"/>
        </w:numPr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Dane z príjmov</w:t>
      </w:r>
    </w:p>
    <w:p>
      <w:pPr>
        <w:pStyle w:val="Textbody"/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i/>
          <w:sz w:val="22"/>
          <w:szCs w:val="22"/>
        </w:rPr>
        <w:t xml:space="preserve">J.)  </w:t>
      </w:r>
      <w:r>
        <w:rPr>
          <w:b w:val="false"/>
          <w:sz w:val="22"/>
          <w:szCs w:val="22"/>
        </w:rPr>
        <w:t>a-e)</w:t>
      </w:r>
    </w:p>
    <w:p>
      <w:pPr>
        <w:pStyle w:val="Nzov"/>
        <w:numPr>
          <w:ilvl w:val="0"/>
          <w:numId w:val="94"/>
        </w:numPr>
        <w:shd w:val="clear" w:color="auto" w:fill="FFFFFF"/>
        <w:ind w:left="360" w:hanging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5709"/>
        <w:gridCol w:w="1612"/>
        <w:gridCol w:w="34"/>
        <w:gridCol w:w="1825"/>
      </w:tblGrid>
      <w:tr>
        <w:trPr>
          <w:trHeight w:val="840" w:hRule="atLeast"/>
        </w:trPr>
        <w:tc>
          <w:tcPr>
            <w:tcW w:w="570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46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5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46" w:type="dxa"/>
            <w:gridSpan w:val="2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46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 xml:space="preserve">Suma odloženého daňového záväzku, ktorý vznikol 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46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8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46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567" w:hRule="atLeast"/>
        </w:trPr>
        <w:tc>
          <w:tcPr>
            <w:tcW w:w="570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46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</w:tbl>
    <w:p>
      <w:pPr>
        <w:pStyle w:val="Textbody"/>
        <w:rPr>
          <w:b w:val="false"/>
          <w:b w:val="false"/>
          <w:sz w:val="22"/>
          <w:szCs w:val="22"/>
        </w:rPr>
      </w:pPr>
      <w:r>
        <w:rPr>
          <w:b w:val="false"/>
          <w:sz w:val="22"/>
          <w:szCs w:val="22"/>
        </w:rPr>
      </w:r>
    </w:p>
    <w:p>
      <w:pPr>
        <w:pStyle w:val="Textbody"/>
        <w:shd w:val="clear" w:color="auto" w:fill="FFFFFF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i/>
          <w:sz w:val="22"/>
          <w:szCs w:val="22"/>
        </w:rPr>
        <w:t>J.)</w:t>
      </w:r>
    </w:p>
    <w:p>
      <w:pPr>
        <w:pStyle w:val="Textbody"/>
        <w:numPr>
          <w:ilvl w:val="0"/>
          <w:numId w:val="3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Spoločnosť v roku 202</w:t>
      </w:r>
      <w:r>
        <w:rPr>
          <w:rFonts w:ascii="Arial Narrow" w:hAnsi="Arial Narrow"/>
          <w:b w:val="false"/>
          <w:sz w:val="22"/>
          <w:szCs w:val="22"/>
        </w:rPr>
        <w:t>3</w:t>
      </w:r>
      <w:r>
        <w:rPr>
          <w:rFonts w:ascii="Arial Narrow" w:hAnsi="Arial Narrow"/>
          <w:b w:val="false"/>
          <w:sz w:val="22"/>
          <w:szCs w:val="22"/>
        </w:rPr>
        <w:t xml:space="preserve"> neevidovala odloženú daňovú pohľadávku týkajúcu sa umorenia daňovej straty, nevyužitých daňových odpočtov, iných nárokov ako aj dočasných rozdielov z predchádzajúcich účtovných období neevidovala .</w:t>
      </w:r>
    </w:p>
    <w:p>
      <w:pPr>
        <w:pStyle w:val="Textbody"/>
        <w:numPr>
          <w:ilvl w:val="0"/>
          <w:numId w:val="3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Účtovná jednotka v roku 202</w:t>
      </w:r>
      <w:r>
        <w:rPr>
          <w:rFonts w:ascii="Arial Narrow" w:hAnsi="Arial Narrow"/>
          <w:b w:val="false"/>
          <w:sz w:val="22"/>
          <w:szCs w:val="22"/>
        </w:rPr>
        <w:t>3</w:t>
      </w:r>
      <w:r>
        <w:rPr>
          <w:rFonts w:ascii="Arial Narrow" w:hAnsi="Arial Narrow"/>
          <w:b w:val="false"/>
          <w:sz w:val="22"/>
          <w:szCs w:val="22"/>
        </w:rPr>
        <w:t xml:space="preserve"> neevidovala odložený daňový záväzok, z dôvodu  neúčtovania tej časti odloženej daňovej pohľadávky v bežnom účtovnom období, o ktorej sa účtovalo v predchádzajúcich  obdobiach.</w:t>
      </w:r>
    </w:p>
    <w:p>
      <w:pPr>
        <w:pStyle w:val="Textbody"/>
        <w:numPr>
          <w:ilvl w:val="0"/>
          <w:numId w:val="95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Spoločnosť  v roku 202</w:t>
      </w:r>
      <w:r>
        <w:rPr>
          <w:rFonts w:ascii="Arial Narrow" w:hAnsi="Arial Narrow"/>
          <w:b w:val="false"/>
          <w:sz w:val="22"/>
          <w:szCs w:val="22"/>
        </w:rPr>
        <w:t>3</w:t>
      </w:r>
      <w:r>
        <w:rPr>
          <w:rFonts w:ascii="Arial Narrow" w:hAnsi="Arial Narrow"/>
          <w:b w:val="false"/>
          <w:sz w:val="22"/>
          <w:szCs w:val="22"/>
        </w:rPr>
        <w:t xml:space="preserve"> neevidovala neuplatnené umorenie daňovej straty, nevyužité daňové odpočty a iné nároky a odpočítateľné dočasné rozdiely, ku ktorým nebola účtovaná odložená účtovná daňová pohľadávka.</w:t>
      </w:r>
    </w:p>
    <w:p>
      <w:pPr>
        <w:pStyle w:val="Textbody"/>
        <w:numPr>
          <w:ilvl w:val="0"/>
          <w:numId w:val="96"/>
        </w:numPr>
        <w:rPr>
          <w:rFonts w:ascii="Arial Narrow" w:hAnsi="Arial Narrow"/>
          <w:b w:val="false"/>
          <w:b w:val="false"/>
          <w:sz w:val="22"/>
          <w:szCs w:val="22"/>
        </w:rPr>
      </w:pPr>
      <w:r>
        <w:rPr>
          <w:rFonts w:ascii="Arial Narrow" w:hAnsi="Arial Narrow"/>
          <w:b w:val="false"/>
          <w:sz w:val="22"/>
          <w:szCs w:val="22"/>
        </w:rPr>
        <w:t>V roku 202</w:t>
      </w:r>
      <w:r>
        <w:rPr>
          <w:rFonts w:ascii="Arial Narrow" w:hAnsi="Arial Narrow"/>
          <w:b w:val="false"/>
          <w:sz w:val="22"/>
          <w:szCs w:val="22"/>
        </w:rPr>
        <w:t>3</w:t>
      </w:r>
      <w:r>
        <w:rPr>
          <w:rFonts w:ascii="Arial Narrow" w:hAnsi="Arial Narrow"/>
          <w:b w:val="false"/>
          <w:sz w:val="22"/>
          <w:szCs w:val="22"/>
        </w:rPr>
        <w:t xml:space="preserve"> nebola účtovaná odložená daň z príjmov, ktorá sa vzťahuje k položkám účtovaným priamo na účty vlastného imania bez účtovania na účty nákladov a výnosov.</w:t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>
          <w:rFonts w:ascii="Arial Narrow" w:hAnsi="Arial Narrow"/>
          <w:i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</w:r>
    </w:p>
    <w:p>
      <w:pPr>
        <w:pStyle w:val="Textbody"/>
        <w:shd w:val="clear" w:color="auto" w:fill="FFFFFF"/>
        <w:rPr/>
      </w:pPr>
      <w:r>
        <w:rPr>
          <w:rFonts w:ascii="Arial Narrow" w:hAnsi="Arial Narrow"/>
          <w:i/>
          <w:sz w:val="22"/>
          <w:szCs w:val="22"/>
        </w:rPr>
        <w:t xml:space="preserve">J.)  </w:t>
      </w:r>
      <w:r>
        <w:rPr>
          <w:rFonts w:ascii="Arial Narrow" w:hAnsi="Arial Narrow"/>
          <w:b w:val="false"/>
          <w:bCs w:val="false"/>
          <w:i/>
          <w:sz w:val="22"/>
          <w:szCs w:val="22"/>
        </w:rPr>
        <w:t>f ) a  g )</w:t>
      </w:r>
    </w:p>
    <w:p>
      <w:pPr>
        <w:pStyle w:val="Nzov"/>
        <w:widowControl w:val="false"/>
        <w:numPr>
          <w:ilvl w:val="0"/>
          <w:numId w:val="97"/>
        </w:numPr>
        <w:ind w:left="360" w:hanging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180" w:type="dxa"/>
        <w:jc w:val="left"/>
        <w:tblInd w:w="-123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val="0000"/>
      </w:tblPr>
      <w:tblGrid>
        <w:gridCol w:w="2765"/>
        <w:gridCol w:w="1683"/>
        <w:gridCol w:w="786"/>
        <w:gridCol w:w="657"/>
        <w:gridCol w:w="1922"/>
        <w:gridCol w:w="706"/>
        <w:gridCol w:w="660"/>
      </w:tblGrid>
      <w:tr>
        <w:trPr>
          <w:trHeight w:val="642" w:hRule="atLeast"/>
        </w:trPr>
        <w:tc>
          <w:tcPr>
            <w:tcW w:w="276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12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8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65" w:type="dxa"/>
            <w:vMerge w:val="continue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9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7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6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92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6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/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Výsledok hospodárenia </w:t>
            </w:r>
            <w:r>
              <w:rPr/>
              <w:br/>
            </w: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pred zdanením, z toho:</w:t>
            </w:r>
          </w:p>
        </w:tc>
        <w:tc>
          <w:tcPr>
            <w:tcW w:w="168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8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06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6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teoretická daň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2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Daňovo neuznané náklady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Výnosy nepodliehajúce dani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Vplyv nevykázanej odloženej daňovej pohľadávky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Umorenie daňovej straty</w:t>
            </w:r>
          </w:p>
        </w:tc>
        <w:tc>
          <w:tcPr>
            <w:tcW w:w="1683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8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5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2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06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6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-</w:t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Zmena sadzby dane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2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2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2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Splatná daň z príjmov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657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2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06" w:type="dxa"/>
            <w:tcBorders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Odložená daň z príjmov</w:t>
            </w:r>
          </w:p>
        </w:tc>
        <w:tc>
          <w:tcPr>
            <w:tcW w:w="168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57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06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97" w:hRule="atLeast"/>
        </w:trPr>
        <w:tc>
          <w:tcPr>
            <w:tcW w:w="276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  <w:t>Celková daň z príjmov</w:t>
            </w:r>
          </w:p>
        </w:tc>
        <w:tc>
          <w:tcPr>
            <w:tcW w:w="168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786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657" w:type="dxa"/>
            <w:tcBorders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1922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eastAsia="SimSun" w:cs="Times New Roman"/>
                <w:color w:val="auto"/>
                <w:kern w:val="2"/>
                <w:sz w:val="22"/>
                <w:szCs w:val="22"/>
                <w:lang w:val="sk-SK" w:eastAsia="en-US" w:bidi="ar-SA"/>
              </w:rPr>
            </w:pPr>
            <w:r>
              <w:rPr>
                <w:rFonts w:eastAsia="SimSun" w:cs="Times New Roman" w:ascii="Arial Narrow" w:hAnsi="Arial Narrow"/>
                <w:color w:val="auto"/>
                <w:kern w:val="2"/>
                <w:sz w:val="22"/>
                <w:szCs w:val="22"/>
                <w:lang w:val="sk-SK" w:eastAsia="en-US" w:bidi="ar-SA"/>
              </w:rPr>
            </w:r>
          </w:p>
        </w:tc>
        <w:tc>
          <w:tcPr>
            <w:tcW w:w="706" w:type="dxa"/>
            <w:tcBorders>
              <w:bottom w:val="single" w:sz="12" w:space="0" w:color="000001"/>
              <w:right w:val="single" w:sz="4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  <w:tc>
          <w:tcPr>
            <w:tcW w:w="660" w:type="dxa"/>
            <w:tcBorders>
              <w:bottom w:val="single" w:sz="12" w:space="0" w:color="000001"/>
              <w:right w:val="single" w:sz="12" w:space="0" w:color="000001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cs="Times New Roman" w:ascii="Arial Narrow" w:hAnsi="Arial Narrow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Standard"/>
        <w:jc w:val="both"/>
        <w:rPr/>
      </w:pPr>
      <w:r>
        <w:rPr/>
        <w:tab/>
      </w:r>
    </w:p>
    <w:p>
      <w:pPr>
        <w:pStyle w:val="Standard"/>
        <w:ind w:left="284" w:hanging="284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Standard"/>
        <w:ind w:left="720" w:hanging="720"/>
        <w:jc w:val="both"/>
        <w:rPr/>
      </w:pPr>
      <w:r>
        <w:rPr>
          <w:rFonts w:cs="Arial Narrow" w:ascii="Arial Narrow" w:hAnsi="Arial Narrow"/>
          <w:b/>
          <w:bCs/>
          <w:i/>
          <w:sz w:val="22"/>
          <w:szCs w:val="22"/>
        </w:rPr>
        <w:t xml:space="preserve">J.) </w:t>
      </w:r>
      <w:r>
        <w:rPr>
          <w:rFonts w:cs="Arial Narrow" w:ascii="Arial Narrow" w:hAnsi="Arial Narrow"/>
          <w:sz w:val="22"/>
          <w:szCs w:val="22"/>
        </w:rPr>
        <w:t>g)</w:t>
        <w:tab/>
        <w:t>V roku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nenastali zmeny sadzby sadzby dane z príjmov a účtovná jednotka  o zmene sadzby dane v roku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neúčtovala.</w:t>
      </w:r>
    </w:p>
    <w:p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N.) Ekonomické vzťahy účtovnej jednotky a spriaznených osôb.</w:t>
      </w:r>
    </w:p>
    <w:p>
      <w:pPr>
        <w:pStyle w:val="Standard"/>
        <w:jc w:val="both"/>
        <w:rPr/>
      </w:pPr>
      <w:r>
        <w:rPr>
          <w:rFonts w:cs="Arial Narrow" w:ascii="Arial Narrow" w:hAnsi="Arial Narrow"/>
          <w:sz w:val="22"/>
          <w:szCs w:val="22"/>
        </w:rPr>
        <w:t>a – c)   Účtovná jednotka  v roku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neevidovala  vo svojej činnosti spriaznené osoby.</w:t>
      </w:r>
    </w:p>
    <w:p>
      <w:pPr>
        <w:pStyle w:val="Standard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O.) Skutočnosti, ktoré nastali po dni, ku ktorému  sa zostavuje účtovná závierka do dňa</w:t>
      </w:r>
    </w:p>
    <w:p>
      <w:pPr>
        <w:pStyle w:val="Standard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zostavenia účtovnej závierky.</w:t>
      </w:r>
    </w:p>
    <w:p>
      <w:pPr>
        <w:pStyle w:val="Standard"/>
        <w:ind w:left="709" w:hanging="709"/>
        <w:jc w:val="both"/>
        <w:rPr/>
      </w:pPr>
      <w:r>
        <w:rPr>
          <w:rFonts w:cs="Arial Narrow" w:ascii="Arial Narrow" w:hAnsi="Arial Narrow"/>
          <w:sz w:val="22"/>
          <w:szCs w:val="22"/>
        </w:rPr>
        <w:t>a– j) Od 01.01.2021 nastali udalosti /</w:t>
      </w:r>
      <w:r>
        <w:rPr>
          <w:rFonts w:cs="Arial Narrow" w:ascii="Arial Narrow" w:hAnsi="Arial Narrow"/>
          <w:i/>
          <w:iCs/>
          <w:sz w:val="22"/>
          <w:szCs w:val="22"/>
        </w:rPr>
        <w:t>Covid19/</w:t>
      </w:r>
      <w:r>
        <w:rPr>
          <w:rFonts w:cs="Arial Narrow" w:ascii="Arial Narrow" w:hAnsi="Arial Narrow"/>
          <w:sz w:val="22"/>
          <w:szCs w:val="22"/>
        </w:rPr>
        <w:t xml:space="preserve"> ktoré mali významný dopad na  ekonomickú alebo finančnú situáciu spoločnosti.</w:t>
      </w:r>
    </w:p>
    <w:p>
      <w:pPr>
        <w:pStyle w:val="Textbody"/>
        <w:rPr>
          <w:lang w:eastAsia="en-US"/>
        </w:rPr>
      </w:pPr>
      <w:r>
        <w:rPr>
          <w:lang w:eastAsia="en-US"/>
        </w:rPr>
      </w:r>
    </w:p>
    <w:p>
      <w:pPr>
        <w:pStyle w:val="Textbody"/>
        <w:rPr>
          <w:lang w:eastAsia="en-US"/>
        </w:rPr>
      </w:pPr>
      <w:r>
        <w:rPr>
          <w:lang w:eastAsia="en-US"/>
        </w:rPr>
      </w:r>
    </w:p>
    <w:p>
      <w:pPr>
        <w:pStyle w:val="Standard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R.) Informácie o prehľade peňažných tokov</w:t>
      </w:r>
    </w:p>
    <w:p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>a)</w:t>
        <w:tab/>
        <w:t>1 – 2 Účtovná jednotka v roku 202</w:t>
      </w:r>
      <w:r>
        <w:rPr>
          <w:rFonts w:cs="Arial Narrow" w:ascii="Arial Narrow" w:hAnsi="Arial Narrow"/>
          <w:sz w:val="22"/>
          <w:szCs w:val="22"/>
        </w:rPr>
        <w:t>3</w:t>
      </w:r>
      <w:r>
        <w:rPr>
          <w:rFonts w:cs="Arial Narrow" w:ascii="Arial Narrow" w:hAnsi="Arial Narrow"/>
          <w:sz w:val="22"/>
          <w:szCs w:val="22"/>
        </w:rPr>
        <w:t xml:space="preserve"> evidovala len pohyb peňažných prostriedkov bezpeňažných  ekvivalentov.</w:t>
      </w:r>
    </w:p>
    <w:p>
      <w:pPr>
        <w:pStyle w:val="Standard"/>
        <w:ind w:left="426" w:hanging="426"/>
        <w:jc w:val="both"/>
        <w:rPr/>
      </w:pPr>
      <w:r>
        <w:rPr/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</w:t>
        <w:tab/>
        <w:t>Prehľad  o peňažných tokoch bol spracovaný v členení: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1. peňažné toky z prevádzkových činností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2. peňažné toky z investičnej činnosti</w:t>
      </w:r>
    </w:p>
    <w:p>
      <w:pPr>
        <w:pStyle w:val="Standard"/>
        <w:tabs>
          <w:tab w:val="clear" w:pos="708"/>
          <w:tab w:val="left" w:pos="6186" w:leader="none"/>
        </w:tabs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3. peňažné toky z finančnej činnosti</w:t>
      </w:r>
    </w:p>
    <w:p>
      <w:pPr>
        <w:pStyle w:val="Standard"/>
        <w:ind w:left="426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c)   Stav, pohyb a štruktúra peňažných prostriedkov je totožná s položkami vykázanými      </w:t>
      </w:r>
    </w:p>
    <w:p>
      <w:pPr>
        <w:pStyle w:val="Standard"/>
        <w:ind w:left="426" w:hanging="426"/>
        <w:jc w:val="both"/>
        <w:rPr/>
      </w:pPr>
      <w:r>
        <w:rPr>
          <w:rFonts w:cs="Arial Narrow" w:ascii="Arial Narrow" w:hAnsi="Arial Narrow"/>
          <w:sz w:val="22"/>
          <w:szCs w:val="22"/>
        </w:rPr>
        <w:t>v súvahe.</w:t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Standard"/>
        <w:rPr/>
      </w:pPr>
      <w:r>
        <w:rPr/>
        <w:t>Vysvetlivky k poznámkam:</w:t>
      </w:r>
    </w:p>
    <w:p>
      <w:pPr>
        <w:pStyle w:val="ListParagraph"/>
        <w:numPr>
          <w:ilvl w:val="0"/>
          <w:numId w:val="98"/>
        </w:numPr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99"/>
        </w:numPr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100"/>
        </w:numPr>
        <w:tabs>
          <w:tab w:val="clear" w:pos="708"/>
          <w:tab w:val="left" w:pos="588" w:leader="none"/>
        </w:tabs>
        <w:ind w:left="294" w:hanging="308"/>
        <w:jc w:val="both"/>
        <w:rPr/>
      </w:pPr>
      <w:r>
        <w:rPr>
          <w:szCs w:val="22"/>
        </w:rPr>
        <w:t xml:space="preserve">Kód SK NACE sa vypĺňa podľa vyhlášky Štatistického úradu Slovenskej republiky </w:t>
      </w:r>
      <w:r>
        <w:rPr/>
        <w:br/>
      </w:r>
      <w:r>
        <w:rPr>
          <w:szCs w:val="22"/>
        </w:rPr>
        <w:t>č. 306/2007 Z. z., ktorou sa vydáva Štatistická klasifikácia ekonomických činností.</w:t>
      </w:r>
    </w:p>
    <w:p>
      <w:pPr>
        <w:pStyle w:val="ListParagraph"/>
        <w:numPr>
          <w:ilvl w:val="0"/>
          <w:numId w:val="101"/>
        </w:numPr>
        <w:tabs>
          <w:tab w:val="clear" w:pos="708"/>
          <w:tab w:val="left" w:pos="588" w:leader="none"/>
        </w:tabs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Standard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Standard"/>
        <w:rPr>
          <w:b/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Standard"/>
        <w:rPr>
          <w:szCs w:val="22"/>
        </w:rPr>
      </w:pPr>
      <w:r>
        <w:rPr>
          <w:szCs w:val="22"/>
        </w:rPr>
        <w:t>CP  - cenný papier</w:t>
      </w:r>
    </w:p>
    <w:p>
      <w:pPr>
        <w:pStyle w:val="Standard"/>
        <w:rPr>
          <w:szCs w:val="22"/>
        </w:rPr>
      </w:pPr>
      <w:r>
        <w:rPr>
          <w:szCs w:val="22"/>
        </w:rPr>
        <w:t>č. - číslo</w:t>
      </w:r>
    </w:p>
    <w:p>
      <w:pPr>
        <w:pStyle w:val="Standard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Standard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Standard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Standard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Standard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Standard"/>
        <w:rPr>
          <w:szCs w:val="22"/>
        </w:rPr>
      </w:pPr>
      <w:r>
        <w:rPr>
          <w:szCs w:val="22"/>
        </w:rPr>
        <w:t>kons. – konsolidovaný</w:t>
      </w:r>
    </w:p>
    <w:p>
      <w:pPr>
        <w:pStyle w:val="Standard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OP – opravná položka</w:t>
      </w:r>
    </w:p>
    <w:p>
      <w:pPr>
        <w:pStyle w:val="Standard"/>
        <w:rPr>
          <w:szCs w:val="22"/>
        </w:rPr>
      </w:pPr>
      <w:r>
        <w:rPr>
          <w:szCs w:val="22"/>
        </w:rPr>
        <w:t>p. a. – per annum</w:t>
      </w:r>
    </w:p>
    <w:p>
      <w:pPr>
        <w:pStyle w:val="Standard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Standard"/>
        <w:rPr>
          <w:szCs w:val="22"/>
        </w:rPr>
      </w:pPr>
      <w:r>
        <w:rPr>
          <w:szCs w:val="22"/>
        </w:rPr>
        <w:t>ÚJ – účtovná jednotka</w:t>
      </w:r>
    </w:p>
    <w:p>
      <w:pPr>
        <w:pStyle w:val="Standard"/>
        <w:rPr>
          <w:szCs w:val="22"/>
        </w:rPr>
      </w:pPr>
      <w:r>
        <w:rPr>
          <w:szCs w:val="22"/>
        </w:rPr>
        <w:t>VI – vlastné imanie</w:t>
      </w:r>
    </w:p>
    <w:p>
      <w:pPr>
        <w:pStyle w:val="Standard"/>
        <w:rPr>
          <w:szCs w:val="22"/>
        </w:rPr>
      </w:pPr>
      <w:r>
        <w:rPr>
          <w:szCs w:val="22"/>
        </w:rPr>
        <w:t>ZI – základné imanie</w:t>
      </w:r>
      <w:r>
        <w:br w:type="page"/>
      </w:r>
    </w:p>
    <w:p>
      <w:pPr>
        <w:pStyle w:val="Standard"/>
        <w:rPr>
          <w:szCs w:val="22"/>
        </w:rPr>
      </w:pPr>
      <w:r>
        <w:rPr/>
      </w:r>
    </w:p>
    <w:sectPr>
      <w:headerReference w:type="default" r:id="rId2"/>
      <w:headerReference w:type="first" r:id="rId3"/>
      <w:footerReference w:type="first" r:id="rId4"/>
      <w:type w:val="nextPage"/>
      <w:pgSz w:w="11906" w:h="16838"/>
      <w:pgMar w:left="1134" w:right="1134" w:header="630" w:top="1215" w:footer="1135" w:bottom="1583" w:gutter="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swiss"/>
    <w:pitch w:val="variable"/>
  </w:font>
  <w:font w:name="Arial Narrow">
    <w:charset w:val="ee"/>
    <w:family w:val="swiss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Arial Narrow">
    <w:charset w:val="ee"/>
    <w:family w:val="roman"/>
    <w:pitch w:val="variable"/>
  </w:font>
  <w:font w:name="Symbol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1</w:t>
    </w:r>
    <w:r>
      <w:rPr>
        <w:szCs w:val="22"/>
        <w:lang w:eastAsia="sk-SK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74" w:type="dxa"/>
      <w:jc w:val="left"/>
      <w:tblInd w:w="-25" w:type="dxa"/>
      <w:tblLayout w:type="fixed"/>
      <w:tblCellMar>
        <w:top w:w="0" w:type="dxa"/>
        <w:left w:w="5" w:type="dxa"/>
        <w:bottom w:w="0" w:type="dxa"/>
        <w:right w:w="5" w:type="dxa"/>
      </w:tblCellMar>
      <w:tblLook w:val="0000"/>
    </w:tblPr>
    <w:tblGrid>
      <w:gridCol w:w="2769"/>
      <w:gridCol w:w="3806"/>
      <w:gridCol w:w="389"/>
      <w:gridCol w:w="274"/>
      <w:gridCol w:w="269"/>
      <w:gridCol w:w="269"/>
      <w:gridCol w:w="271"/>
      <w:gridCol w:w="271"/>
      <w:gridCol w:w="271"/>
      <w:gridCol w:w="275"/>
      <w:gridCol w:w="271"/>
      <w:gridCol w:w="271"/>
      <w:gridCol w:w="267"/>
    </w:tblGrid>
    <w:tr>
      <w:trPr>
        <w:trHeight w:val="343" w:hRule="atLeast"/>
      </w:trPr>
      <w:tc>
        <w:tcPr>
          <w:tcW w:w="276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bottom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6" w:type="dxa"/>
          <w:tcBorders/>
          <w:shd w:color="auto" w:fill="auto" w:val="clear"/>
          <w:vAlign w:val="bottom"/>
        </w:tcPr>
        <w:tbl>
          <w:tblPr>
            <w:tblW w:w="2765" w:type="dxa"/>
            <w:jc w:val="left"/>
            <w:tblInd w:w="921" w:type="dxa"/>
            <w:tblLayout w:type="fixed"/>
            <w:tblCellMar>
              <w:top w:w="55" w:type="dxa"/>
              <w:left w:w="55" w:type="dxa"/>
              <w:bottom w:w="55" w:type="dxa"/>
              <w:right w:w="55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5"/>
            <w:gridCol w:w="285"/>
            <w:gridCol w:w="286"/>
            <w:gridCol w:w="285"/>
            <w:gridCol w:w="277"/>
          </w:tblGrid>
          <w:tr>
            <w:trPr>
              <w:trHeight w:val="204" w:hRule="atLeast"/>
            </w:trPr>
            <w:tc>
              <w:tcPr>
                <w:tcW w:w="4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  <w:vAlign w:val="bottom"/>
              </w:tcPr>
              <w:p>
                <w:pPr>
                  <w:pStyle w:val="Normal"/>
                  <w:widowControl w:val="false"/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cs="Times New Roman" w:ascii="Arial Narrow" w:hAnsi="Arial Narrow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4</w:t>
                </w:r>
              </w:p>
            </w:tc>
            <w:tc>
              <w:tcPr>
                <w:tcW w:w="3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7</w:t>
                </w:r>
              </w:p>
            </w:tc>
            <w:tc>
              <w:tcPr>
                <w:tcW w:w="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8</w:t>
                </w:r>
              </w:p>
            </w:tc>
            <w:tc>
              <w:tcPr>
                <w:tcW w:w="2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8</w:t>
                </w:r>
              </w:p>
            </w:tc>
            <w:tc>
              <w:tcPr>
                <w:tcW w:w="2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7</w:t>
                </w:r>
              </w:p>
            </w:tc>
          </w:tr>
        </w:tbl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</w:r>
        </w:p>
      </w:tc>
      <w:tc>
        <w:tcPr>
          <w:tcW w:w="389" w:type="dxa"/>
          <w:tcBorders/>
          <w:shd w:color="auto" w:fill="auto" w:val="clear"/>
          <w:vAlign w:val="center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6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6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8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5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5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1</w:t>
          </w:r>
        </w:p>
      </w:tc>
      <w:tc>
        <w:tcPr>
          <w:tcW w:w="26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3</w:t>
          </w:r>
        </w:p>
      </w:tc>
    </w:tr>
  </w:tbl>
  <w:p>
    <w:pPr>
      <w:pStyle w:val="Zhlavi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74" w:type="dxa"/>
      <w:jc w:val="left"/>
      <w:tblInd w:w="-25" w:type="dxa"/>
      <w:tblLayout w:type="fixed"/>
      <w:tblCellMar>
        <w:top w:w="0" w:type="dxa"/>
        <w:left w:w="5" w:type="dxa"/>
        <w:bottom w:w="0" w:type="dxa"/>
        <w:right w:w="5" w:type="dxa"/>
      </w:tblCellMar>
      <w:tblLook w:val="0000"/>
    </w:tblPr>
    <w:tblGrid>
      <w:gridCol w:w="2769"/>
      <w:gridCol w:w="3806"/>
      <w:gridCol w:w="389"/>
      <w:gridCol w:w="274"/>
      <w:gridCol w:w="269"/>
      <w:gridCol w:w="269"/>
      <w:gridCol w:w="271"/>
      <w:gridCol w:w="271"/>
      <w:gridCol w:w="271"/>
      <w:gridCol w:w="275"/>
      <w:gridCol w:w="271"/>
      <w:gridCol w:w="271"/>
      <w:gridCol w:w="267"/>
    </w:tblGrid>
    <w:tr>
      <w:trPr>
        <w:trHeight w:val="343" w:hRule="atLeast"/>
      </w:trPr>
      <w:tc>
        <w:tcPr>
          <w:tcW w:w="2769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bottom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6" w:type="dxa"/>
          <w:tcBorders/>
          <w:shd w:color="auto" w:fill="auto" w:val="clear"/>
          <w:vAlign w:val="bottom"/>
        </w:tcPr>
        <w:tbl>
          <w:tblPr>
            <w:tblW w:w="2765" w:type="dxa"/>
            <w:jc w:val="left"/>
            <w:tblInd w:w="921" w:type="dxa"/>
            <w:tblLayout w:type="fixed"/>
            <w:tblCellMar>
              <w:top w:w="55" w:type="dxa"/>
              <w:left w:w="55" w:type="dxa"/>
              <w:bottom w:w="55" w:type="dxa"/>
              <w:right w:w="55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5"/>
            <w:gridCol w:w="285"/>
            <w:gridCol w:w="286"/>
            <w:gridCol w:w="285"/>
            <w:gridCol w:w="277"/>
          </w:tblGrid>
          <w:tr>
            <w:trPr>
              <w:trHeight w:val="204" w:hRule="atLeast"/>
            </w:trPr>
            <w:tc>
              <w:tcPr>
                <w:tcW w:w="44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  <w:vAlign w:val="bottom"/>
              </w:tcPr>
              <w:p>
                <w:pPr>
                  <w:pStyle w:val="Normal"/>
                  <w:widowControl w:val="false"/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cs="Times New Roman" w:ascii="Arial Narrow" w:hAnsi="Arial Narrow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4</w:t>
                </w:r>
              </w:p>
            </w:tc>
            <w:tc>
              <w:tcPr>
                <w:tcW w:w="3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7</w:t>
                </w:r>
              </w:p>
            </w:tc>
            <w:tc>
              <w:tcPr>
                <w:tcW w:w="2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8</w:t>
                </w:r>
              </w:p>
            </w:tc>
            <w:tc>
              <w:tcPr>
                <w:tcW w:w="28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8</w:t>
                </w:r>
              </w:p>
            </w:tc>
            <w:tc>
              <w:tcPr>
                <w:tcW w:w="27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color="auto" w:fill="auto" w:val="clear"/>
              </w:tcPr>
              <w:p>
                <w:pPr>
                  <w:pStyle w:val="Normal"/>
                  <w:widowControl w:val="false"/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cs="Times New Roman" w:ascii="Arial Narrow" w:hAnsi="Arial Narrow"/>
                    <w:sz w:val="22"/>
                    <w:szCs w:val="22"/>
                  </w:rPr>
                  <w:t>7</w:t>
                </w:r>
              </w:p>
            </w:tc>
          </w:tr>
        </w:tbl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</w:r>
        </w:p>
      </w:tc>
      <w:tc>
        <w:tcPr>
          <w:tcW w:w="389" w:type="dxa"/>
          <w:tcBorders/>
          <w:shd w:color="auto" w:fill="auto" w:val="clear"/>
          <w:vAlign w:val="center"/>
        </w:tcPr>
        <w:p>
          <w:pPr>
            <w:pStyle w:val="Normal"/>
            <w:widowControl w:val="false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6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69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8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2</w:t>
          </w:r>
        </w:p>
      </w:tc>
      <w:tc>
        <w:tcPr>
          <w:tcW w:w="275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5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1</w:t>
          </w:r>
        </w:p>
      </w:tc>
      <w:tc>
        <w:tcPr>
          <w:tcW w:w="267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color="auto" w:fill="auto" w:val="clear"/>
          <w:vAlign w:val="center"/>
        </w:tcPr>
        <w:p>
          <w:pPr>
            <w:pStyle w:val="Normal"/>
            <w:widowControl w:val="false"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cs="Times New Roman" w:ascii="Arial Narrow" w:hAnsi="Arial Narrow"/>
              <w:sz w:val="22"/>
              <w:szCs w:val="22"/>
              <w:lang w:eastAsia="sk-SK" w:bidi="ar-SA"/>
            </w:rPr>
            <w:t>3</w:t>
          </w:r>
        </w:p>
      </w:tc>
    </w:tr>
  </w:tbl>
  <w:p>
    <w:pPr>
      <w:pStyle w:val="Standard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z w:val="22"/>
        <w:b w:val="false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>
    <w:lvl w:ilvl="0">
      <w:start w:val="10"/>
      <w:numFmt w:val="upperLetter"/>
      <w:lvlText w:val="%1.)"/>
      <w:lvlJc w:val="left"/>
      <w:pPr>
        <w:tabs>
          <w:tab w:val="num" w:pos="0"/>
        </w:tabs>
        <w:ind w:left="720" w:hanging="360"/>
      </w:pPr>
      <w:rPr>
        <w:rFonts w:ascii="Arial Narrow" w:hAnsi="Arial Narrow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kern w:val="2"/>
        <w:szCs w:val="22"/>
        <w:rFonts w:ascii="Arial Narrow" w:hAnsi="Arial Narrow" w:eastAsia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2">
    <w:lvl w:ilvl="0">
      <w:start w:val="1"/>
      <w:numFmt w:val="lowerLetter"/>
      <w:lvlText w:val="%1)"/>
      <w:lvlJc w:val="left"/>
      <w:pPr>
        <w:tabs>
          <w:tab w:val="num" w:pos="0"/>
        </w:tabs>
        <w:ind w:left="0" w:hanging="0"/>
      </w:pPr>
      <w:rPr>
        <w:sz w:val="22"/>
        <w:b w:val="false"/>
        <w:kern w:val="2"/>
        <w:szCs w:val="22"/>
        <w:bCs w:val="false"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3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6">
    <w:lvl w:ilvl="0">
      <w:start w:val="4"/>
      <w:numFmt w:val="lowerLetter"/>
      <w:lvlText w:val="%1)"/>
      <w:lvlJc w:val="left"/>
      <w:pPr>
        <w:tabs>
          <w:tab w:val="num" w:pos="0"/>
        </w:tabs>
        <w:ind w:left="360" w:hanging="360"/>
      </w:pPr>
      <w:rPr>
        <w:kern w:val="2"/>
        <w:bCs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7">
    <w:lvl w:ilvl="0">
      <w:start w:val="4"/>
      <w:numFmt w:val="lowerLetter"/>
      <w:lvlText w:val="%1)"/>
      <w:lvlJc w:val="left"/>
      <w:pPr>
        <w:tabs>
          <w:tab w:val="num" w:pos="0"/>
        </w:tabs>
        <w:ind w:left="360" w:hanging="360"/>
      </w:pPr>
      <w:rPr>
        <w:kern w:val="2"/>
        <w:bCs/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4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5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"/>
    <w:lvlOverride w:ilvl="0">
      <w:startOverride w:val="1"/>
    </w:lvlOverride>
  </w:num>
  <w:num w:numId="55">
    <w:abstractNumId w:val="6"/>
    <w:lvlOverride w:ilvl="0">
      <w:startOverride w:val="1"/>
    </w:lvlOverride>
  </w:num>
  <w:num w:numId="56">
    <w:abstractNumId w:val="6"/>
  </w:num>
  <w:num w:numId="57">
    <w:abstractNumId w:val="6"/>
  </w:num>
  <w:num w:numId="58">
    <w:abstractNumId w:val="9"/>
    <w:lvlOverride w:ilvl="0">
      <w:startOverride w:val="1"/>
    </w:lvlOverride>
  </w:num>
  <w:num w:numId="59">
    <w:abstractNumId w:val="9"/>
  </w:num>
  <w:num w:numId="60">
    <w:abstractNumId w:val="9"/>
  </w:num>
  <w:num w:numId="61">
    <w:abstractNumId w:val="5"/>
  </w:num>
  <w:num w:numId="62">
    <w:abstractNumId w:val="5"/>
  </w:num>
  <w:num w:numId="63">
    <w:abstractNumId w:val="5"/>
  </w:num>
  <w:num w:numId="64">
    <w:abstractNumId w:val="5"/>
  </w:num>
  <w:num w:numId="65">
    <w:abstractNumId w:val="5"/>
  </w:num>
  <w:num w:numId="66">
    <w:abstractNumId w:val="5"/>
  </w:num>
  <w:num w:numId="67">
    <w:abstractNumId w:val="5"/>
  </w:num>
  <w:num w:numId="68">
    <w:abstractNumId w:val="5"/>
  </w:num>
  <w:num w:numId="69">
    <w:abstractNumId w:val="5"/>
  </w:num>
  <w:num w:numId="70">
    <w:abstractNumId w:val="5"/>
  </w:num>
  <w:num w:numId="71">
    <w:abstractNumId w:val="5"/>
  </w:num>
  <w:num w:numId="72">
    <w:abstractNumId w:val="5"/>
  </w:num>
  <w:num w:numId="73">
    <w:abstractNumId w:val="5"/>
  </w:num>
  <w:num w:numId="74">
    <w:abstractNumId w:val="5"/>
  </w:num>
  <w:num w:numId="75">
    <w:abstractNumId w:val="5"/>
  </w:num>
  <w:num w:numId="76">
    <w:abstractNumId w:val="5"/>
  </w:num>
  <w:num w:numId="77">
    <w:abstractNumId w:val="5"/>
  </w:num>
  <w:num w:numId="78">
    <w:abstractNumId w:val="5"/>
  </w:num>
  <w:num w:numId="79">
    <w:abstractNumId w:val="5"/>
  </w:num>
  <w:num w:numId="80">
    <w:abstractNumId w:val="5"/>
  </w:num>
  <w:num w:numId="81">
    <w:abstractNumId w:val="32"/>
    <w:lvlOverride w:ilvl="0">
      <w:startOverride w:val="1"/>
    </w:lvlOverride>
  </w:num>
  <w:num w:numId="82">
    <w:abstractNumId w:val="5"/>
  </w:num>
  <w:num w:numId="83">
    <w:abstractNumId w:val="5"/>
  </w:num>
  <w:num w:numId="84">
    <w:abstractNumId w:val="5"/>
  </w:num>
  <w:num w:numId="85">
    <w:abstractNumId w:val="5"/>
  </w:num>
  <w:num w:numId="86">
    <w:abstractNumId w:val="5"/>
  </w:num>
  <w:num w:numId="87">
    <w:abstractNumId w:val="5"/>
  </w:num>
  <w:num w:numId="88">
    <w:abstractNumId w:val="5"/>
  </w:num>
  <w:num w:numId="89">
    <w:abstractNumId w:val="5"/>
  </w:num>
  <w:num w:numId="90">
    <w:abstractNumId w:val="5"/>
  </w:num>
  <w:num w:numId="91">
    <w:abstractNumId w:val="5"/>
  </w:num>
  <w:num w:numId="92">
    <w:abstractNumId w:val="5"/>
  </w:num>
  <w:num w:numId="93">
    <w:abstractNumId w:val="5"/>
  </w:num>
  <w:num w:numId="94">
    <w:abstractNumId w:val="5"/>
  </w:num>
  <w:num w:numId="95">
    <w:abstractNumId w:val="46"/>
    <w:lvlOverride w:ilvl="0">
      <w:startOverride w:val="4"/>
    </w:lvlOverride>
  </w:num>
  <w:num w:numId="96">
    <w:abstractNumId w:val="46"/>
  </w:num>
  <w:num w:numId="97">
    <w:abstractNumId w:val="5"/>
  </w:num>
  <w:num w:numId="98">
    <w:abstractNumId w:val="49"/>
    <w:lvlOverride w:ilvl="0">
      <w:startOverride w:val="1"/>
    </w:lvlOverride>
  </w:num>
  <w:num w:numId="99">
    <w:abstractNumId w:val="49"/>
  </w:num>
  <w:num w:numId="100">
    <w:abstractNumId w:val="49"/>
  </w:num>
  <w:num w:numId="101">
    <w:abstractNumId w:val="4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73102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sk-SK" w:eastAsia="zh-CN" w:bidi="hi-IN"/>
    </w:rPr>
  </w:style>
  <w:style w:type="paragraph" w:styleId="Nadpis1">
    <w:name w:val="Heading 1"/>
    <w:basedOn w:val="Nadpis"/>
    <w:next w:val="Textbody"/>
    <w:qFormat/>
    <w:rsid w:val="00b73102"/>
    <w:pPr>
      <w:widowControl/>
      <w:spacing w:before="240" w:after="60"/>
      <w:textAlignment w:val="auto"/>
      <w:outlineLvl w:val="0"/>
    </w:pPr>
    <w:rPr>
      <w:rFonts w:ascii="Cambria" w:hAnsi="Cambria" w:eastAsia="Cambria" w:cs="Times New Roman"/>
      <w:b/>
      <w:bCs/>
      <w:sz w:val="32"/>
      <w:szCs w:val="32"/>
      <w:lang w:eastAsia="en-US" w:bidi="ar-SA"/>
    </w:rPr>
  </w:style>
  <w:style w:type="paragraph" w:styleId="Nadpis2">
    <w:name w:val="Heading 2"/>
    <w:basedOn w:val="Nadpis"/>
    <w:next w:val="Textbody"/>
    <w:qFormat/>
    <w:rsid w:val="00b73102"/>
    <w:pPr>
      <w:widowControl/>
      <w:spacing w:before="240" w:after="60"/>
      <w:textAlignment w:val="auto"/>
      <w:outlineLvl w:val="1"/>
    </w:pPr>
    <w:rPr>
      <w:rFonts w:ascii="Cambria" w:hAnsi="Cambria" w:eastAsia="Cambria" w:cs="Times New Roman"/>
      <w:b/>
      <w:bCs/>
      <w:i/>
      <w:iCs/>
      <w:lang w:eastAsia="en-US" w:bidi="ar-SA"/>
    </w:rPr>
  </w:style>
  <w:style w:type="paragraph" w:styleId="Nadpis3">
    <w:name w:val="Heading 3"/>
    <w:basedOn w:val="Nadpis"/>
    <w:next w:val="Textbody"/>
    <w:qFormat/>
    <w:rsid w:val="00b73102"/>
    <w:pPr>
      <w:widowControl/>
      <w:spacing w:before="240" w:after="60"/>
      <w:textAlignment w:val="auto"/>
      <w:outlineLvl w:val="2"/>
    </w:pPr>
    <w:rPr>
      <w:rFonts w:ascii="Cambria" w:hAnsi="Cambria" w:eastAsia="Cambria" w:cs="Times New Roman"/>
      <w:b/>
      <w:bCs/>
      <w:sz w:val="26"/>
      <w:szCs w:val="26"/>
      <w:lang w:eastAsia="en-US" w:bidi="ar-SA"/>
    </w:rPr>
  </w:style>
  <w:style w:type="paragraph" w:styleId="Nadpis4">
    <w:name w:val="Heading 4"/>
    <w:basedOn w:val="Nadpis"/>
    <w:next w:val="Textbody"/>
    <w:qFormat/>
    <w:rsid w:val="00b73102"/>
    <w:pPr>
      <w:widowControl/>
      <w:spacing w:before="240" w:after="60"/>
      <w:textAlignment w:val="auto"/>
      <w:outlineLvl w:val="3"/>
    </w:pPr>
    <w:rPr>
      <w:rFonts w:ascii="Arial Narrow" w:hAnsi="Arial Narrow" w:eastAsia="Arial Narrow" w:cs="Times New Roman"/>
      <w:b/>
      <w:bCs/>
      <w:lang w:eastAsia="en-US" w:bidi="ar-SA"/>
    </w:rPr>
  </w:style>
  <w:style w:type="paragraph" w:styleId="Nadpis5">
    <w:name w:val="Heading 5"/>
    <w:basedOn w:val="Nadpis"/>
    <w:next w:val="Textbody"/>
    <w:qFormat/>
    <w:rsid w:val="00b73102"/>
    <w:pPr>
      <w:widowControl/>
      <w:spacing w:before="240" w:after="60"/>
      <w:textAlignment w:val="auto"/>
      <w:outlineLvl w:val="4"/>
    </w:pPr>
    <w:rPr>
      <w:rFonts w:ascii="Arial Narrow" w:hAnsi="Arial Narrow" w:eastAsia="Arial Narrow" w:cs="Times New Roman"/>
      <w:b/>
      <w:bCs/>
      <w:i/>
      <w:iCs/>
      <w:sz w:val="26"/>
      <w:szCs w:val="26"/>
      <w:lang w:eastAsia="en-US" w:bidi="ar-SA"/>
    </w:rPr>
  </w:style>
  <w:style w:type="paragraph" w:styleId="Nadpis6">
    <w:name w:val="Heading 6"/>
    <w:basedOn w:val="Nadpis"/>
    <w:next w:val="Textbody"/>
    <w:qFormat/>
    <w:rsid w:val="00b73102"/>
    <w:pPr>
      <w:widowControl/>
      <w:spacing w:before="240" w:after="60"/>
      <w:textAlignment w:val="auto"/>
      <w:outlineLvl w:val="5"/>
    </w:pPr>
    <w:rPr>
      <w:rFonts w:ascii="Arial Narrow" w:hAnsi="Arial Narrow" w:eastAsia="Arial Narrow" w:cs="Times New Roman"/>
      <w:b/>
      <w:bCs/>
      <w:sz w:val="22"/>
      <w:szCs w:val="22"/>
      <w:lang w:eastAsia="en-US" w:bidi="ar-SA"/>
    </w:rPr>
  </w:style>
  <w:style w:type="paragraph" w:styleId="Nadpis7">
    <w:name w:val="Heading 7"/>
    <w:basedOn w:val="Nadpis"/>
    <w:next w:val="Textbody"/>
    <w:qFormat/>
    <w:rsid w:val="00b73102"/>
    <w:pPr>
      <w:widowControl/>
      <w:spacing w:before="240" w:after="60"/>
      <w:textAlignment w:val="auto"/>
      <w:outlineLvl w:val="6"/>
    </w:pPr>
    <w:rPr>
      <w:rFonts w:ascii="Arial Narrow" w:hAnsi="Arial Narrow" w:eastAsia="Arial Narrow" w:cs="Times New Roman"/>
      <w:sz w:val="22"/>
      <w:szCs w:val="24"/>
      <w:lang w:eastAsia="en-US" w:bidi="ar-SA"/>
    </w:rPr>
  </w:style>
  <w:style w:type="paragraph" w:styleId="Nadpis8">
    <w:name w:val="Heading 8"/>
    <w:basedOn w:val="Nadpis"/>
    <w:next w:val="Textbody"/>
    <w:qFormat/>
    <w:rsid w:val="00b73102"/>
    <w:pPr>
      <w:widowControl/>
      <w:spacing w:before="240" w:after="60"/>
      <w:textAlignment w:val="auto"/>
      <w:outlineLvl w:val="7"/>
    </w:pPr>
    <w:rPr>
      <w:rFonts w:ascii="Arial Narrow" w:hAnsi="Arial Narrow" w:eastAsia="Arial Narrow" w:cs="Times New Roman"/>
      <w:i/>
      <w:iCs/>
      <w:sz w:val="22"/>
      <w:szCs w:val="24"/>
      <w:lang w:eastAsia="en-US" w:bidi="ar-SA"/>
    </w:rPr>
  </w:style>
  <w:style w:type="paragraph" w:styleId="Nadpis9">
    <w:name w:val="Heading 9"/>
    <w:basedOn w:val="Nadpis"/>
    <w:next w:val="Textbody"/>
    <w:qFormat/>
    <w:rsid w:val="00b73102"/>
    <w:pPr>
      <w:widowControl/>
      <w:spacing w:before="240" w:after="60"/>
      <w:textAlignment w:val="auto"/>
      <w:outlineLvl w:val="8"/>
    </w:pPr>
    <w:rPr>
      <w:rFonts w:ascii="Cambria" w:hAnsi="Cambria" w:eastAsia="Cambria" w:cs="Times New Roman"/>
      <w:sz w:val="22"/>
      <w:szCs w:val="22"/>
      <w:lang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qFormat/>
    <w:rsid w:val="00b73102"/>
    <w:rPr>
      <w:rFonts w:ascii="Cambria" w:hAnsi="Cambria" w:eastAsia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qFormat/>
    <w:rsid w:val="00b73102"/>
    <w:rPr>
      <w:rFonts w:ascii="Cambria" w:hAnsi="Cambria" w:eastAsia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qFormat/>
    <w:rsid w:val="00b73102"/>
    <w:rPr>
      <w:rFonts w:ascii="Cambria" w:hAnsi="Cambria" w:eastAsia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qFormat/>
    <w:rsid w:val="00b73102"/>
    <w:rPr>
      <w:rFonts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qFormat/>
    <w:rsid w:val="00b73102"/>
    <w:rPr>
      <w:rFonts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qFormat/>
    <w:rsid w:val="00b73102"/>
    <w:rPr>
      <w:rFonts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qFormat/>
    <w:rsid w:val="00b73102"/>
    <w:rPr>
      <w:rFonts w:cs="Times New Roman"/>
      <w:sz w:val="24"/>
      <w:szCs w:val="24"/>
    </w:rPr>
  </w:style>
  <w:style w:type="character" w:styleId="Nadpis8Char" w:customStyle="1">
    <w:name w:val="Nadpis 8 Char"/>
    <w:basedOn w:val="DefaultParagraphFont"/>
    <w:qFormat/>
    <w:rsid w:val="00b73102"/>
    <w:rPr>
      <w:rFonts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qFormat/>
    <w:rsid w:val="00b73102"/>
    <w:rPr>
      <w:rFonts w:ascii="Cambria" w:hAnsi="Cambria" w:eastAsia="Cambria" w:cs="Times New Roman"/>
      <w:sz w:val="22"/>
      <w:szCs w:val="22"/>
    </w:rPr>
  </w:style>
  <w:style w:type="character" w:styleId="HlavikaChar" w:customStyle="1">
    <w:name w:val="Hlavička Char"/>
    <w:basedOn w:val="DefaultParagraphFont"/>
    <w:qFormat/>
    <w:rsid w:val="00b73102"/>
    <w:rPr>
      <w:rFonts w:cs="Times New Roman"/>
    </w:rPr>
  </w:style>
  <w:style w:type="character" w:styleId="PtaChar" w:customStyle="1">
    <w:name w:val="Päta Char"/>
    <w:basedOn w:val="DefaultParagraphFont"/>
    <w:qFormat/>
    <w:rsid w:val="00b73102"/>
    <w:rPr>
      <w:rFonts w:cs="Times New Roman"/>
    </w:rPr>
  </w:style>
  <w:style w:type="character" w:styleId="TextpoznmkypodiarouChar" w:customStyle="1">
    <w:name w:val="Text poznámky pod čiarou Char"/>
    <w:basedOn w:val="DefaultParagraphFont"/>
    <w:qFormat/>
    <w:rsid w:val="00b73102"/>
    <w:rPr>
      <w:rFonts w:ascii="Times New Roman" w:hAnsi="Times New Roman" w:eastAsia="Times New Roman" w:cs="Times New Roman"/>
      <w:sz w:val="20"/>
      <w:szCs w:val="20"/>
      <w:lang w:val="sk-SK" w:eastAsia="cs-CZ"/>
    </w:rPr>
  </w:style>
  <w:style w:type="character" w:styleId="TextpoznmkypodiarouChar1" w:customStyle="1">
    <w:name w:val="Text poznámky pod čiarou Char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qFormat/>
    <w:rsid w:val="00b73102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qFormat/>
    <w:rsid w:val="00b73102"/>
    <w:rPr>
      <w:rFonts w:cs="Times New Roman"/>
      <w:sz w:val="20"/>
      <w:szCs w:val="20"/>
    </w:rPr>
  </w:style>
  <w:style w:type="character" w:styleId="NzovChar" w:customStyle="1">
    <w:name w:val="Názov Char"/>
    <w:basedOn w:val="DefaultParagraphFont"/>
    <w:qFormat/>
    <w:rsid w:val="00b73102"/>
    <w:rPr>
      <w:rFonts w:cs="Times New Roman"/>
      <w:b/>
      <w:bCs/>
      <w:kern w:val="2"/>
      <w:sz w:val="32"/>
      <w:szCs w:val="32"/>
    </w:rPr>
  </w:style>
  <w:style w:type="character" w:styleId="NzovChar1" w:customStyle="1">
    <w:name w:val="Názov Char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qFormat/>
    <w:rsid w:val="00b73102"/>
    <w:rPr>
      <w:rFonts w:ascii="Cambria" w:hAnsi="Cambria" w:eastAsia="Cambria" w:cs="Cambria"/>
      <w:b/>
      <w:bCs/>
      <w:kern w:val="2"/>
      <w:sz w:val="32"/>
      <w:szCs w:val="32"/>
    </w:rPr>
  </w:style>
  <w:style w:type="character" w:styleId="ZkladntextChar" w:customStyle="1">
    <w:name w:val="Základný text Char"/>
    <w:basedOn w:val="DefaultParagraphFont"/>
    <w:qFormat/>
    <w:rsid w:val="00b73102"/>
    <w:rPr>
      <w:rFonts w:ascii="Times New Roman" w:hAnsi="Times New Roman" w:eastAsia="Times New Roman" w:cs="Times New Roman"/>
      <w:b/>
      <w:bCs/>
      <w:sz w:val="24"/>
      <w:szCs w:val="24"/>
      <w:lang w:val="sk-SK" w:eastAsia="cs-CZ"/>
    </w:rPr>
  </w:style>
  <w:style w:type="character" w:styleId="ZkladntextChar1" w:customStyle="1">
    <w:name w:val="Základný text Char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qFormat/>
    <w:rsid w:val="00b73102"/>
    <w:rPr>
      <w:rFonts w:cs="Times New Roman"/>
      <w:sz w:val="36"/>
      <w:szCs w:val="36"/>
    </w:rPr>
  </w:style>
  <w:style w:type="character" w:styleId="PodtitulChar" w:customStyle="1">
    <w:name w:val="Podtitul Char"/>
    <w:basedOn w:val="DefaultParagraphFont"/>
    <w:qFormat/>
    <w:rsid w:val="00b73102"/>
    <w:rPr>
      <w:rFonts w:ascii="Cambria" w:hAnsi="Cambria" w:eastAsia="Cambria" w:cs="Times New Roman"/>
      <w:sz w:val="24"/>
      <w:szCs w:val="24"/>
    </w:rPr>
  </w:style>
  <w:style w:type="character" w:styleId="PodtitulChar1" w:customStyle="1">
    <w:name w:val="Podtitul Char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5" w:customStyle="1">
    <w:name w:val="Podtitul Char13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4" w:customStyle="1">
    <w:name w:val="Podtitul Char13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3" w:customStyle="1">
    <w:name w:val="Podtitul Char13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2" w:customStyle="1">
    <w:name w:val="Podtitul Char13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1" w:customStyle="1">
    <w:name w:val="Podtitul Char13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0" w:customStyle="1">
    <w:name w:val="Podtitul Char13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9" w:customStyle="1">
    <w:name w:val="Podtitul Char12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8" w:customStyle="1">
    <w:name w:val="Podtitul Char12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7" w:customStyle="1">
    <w:name w:val="Podtitul Char12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6" w:customStyle="1">
    <w:name w:val="Podtitul Char12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5" w:customStyle="1">
    <w:name w:val="Podtitul Char12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4" w:customStyle="1">
    <w:name w:val="Podtitul Char12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3" w:customStyle="1">
    <w:name w:val="Podtitul Char12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2" w:customStyle="1">
    <w:name w:val="Podtitul Char12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1" w:customStyle="1">
    <w:name w:val="Podtitul Char12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0" w:customStyle="1">
    <w:name w:val="Podtitul Char12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9" w:customStyle="1">
    <w:name w:val="Podtitul Char11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8" w:customStyle="1">
    <w:name w:val="Podtitul Char11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7" w:customStyle="1">
    <w:name w:val="Podtitul Char11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6" w:customStyle="1">
    <w:name w:val="Podtitul Char11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5" w:customStyle="1">
    <w:name w:val="Podtitul Char11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4" w:customStyle="1">
    <w:name w:val="Podtitul Char11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3" w:customStyle="1">
    <w:name w:val="Podtitul Char11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2" w:customStyle="1">
    <w:name w:val="Podtitul Char11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1" w:customStyle="1">
    <w:name w:val="Podtitul Char11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0" w:customStyle="1">
    <w:name w:val="Podtitul Char110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9" w:customStyle="1">
    <w:name w:val="Podtitul Char19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8" w:customStyle="1">
    <w:name w:val="Podtitul Char18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7" w:customStyle="1">
    <w:name w:val="Podtitul Char17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6" w:customStyle="1">
    <w:name w:val="Podtitul Char16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5" w:customStyle="1">
    <w:name w:val="Podtitul Char15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4" w:customStyle="1">
    <w:name w:val="Podtitul Char14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3" w:customStyle="1">
    <w:name w:val="Podtitul Char13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2" w:customStyle="1">
    <w:name w:val="Podtitul Char12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PodtitulChar11" w:customStyle="1">
    <w:name w:val="Podtitul Char11"/>
    <w:basedOn w:val="DefaultParagraphFont"/>
    <w:qFormat/>
    <w:rsid w:val="00b73102"/>
    <w:rPr>
      <w:rFonts w:ascii="Cambria" w:hAnsi="Cambria" w:eastAsia="Cambria" w:cs="Cambria"/>
      <w:sz w:val="24"/>
      <w:szCs w:val="24"/>
    </w:rPr>
  </w:style>
  <w:style w:type="character" w:styleId="Zkladntext2Char" w:customStyle="1">
    <w:name w:val="Základný text 2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kladntext2Char1" w:customStyle="1">
    <w:name w:val="Základný text 2 Char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qFormat/>
    <w:rsid w:val="00b73102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arkazkladnhotextu2Char1" w:customStyle="1">
    <w:name w:val="Zarážka základného textu 2 Char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qFormat/>
    <w:rsid w:val="00b73102"/>
    <w:rPr>
      <w:rFonts w:cs="Times New Roman"/>
      <w:sz w:val="36"/>
      <w:szCs w:val="36"/>
    </w:rPr>
  </w:style>
  <w:style w:type="character" w:styleId="Zarkazkladnhotextu3Char" w:customStyle="1">
    <w:name w:val="Zarážka základného textu 3 Char"/>
    <w:basedOn w:val="DefaultParagraphFont"/>
    <w:qFormat/>
    <w:rsid w:val="00b73102"/>
    <w:rPr>
      <w:rFonts w:ascii="Times New Roman" w:hAnsi="Times New Roman" w:eastAsia="Times New Roman" w:cs="Times New Roman"/>
      <w:sz w:val="24"/>
      <w:szCs w:val="24"/>
      <w:lang w:val="sk-SK" w:eastAsia="cs-CZ"/>
    </w:rPr>
  </w:style>
  <w:style w:type="character" w:styleId="Zarkazkladnhotextu3Char1" w:customStyle="1">
    <w:name w:val="Zarážka základného textu 3 Char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qFormat/>
    <w:rsid w:val="00b73102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qFormat/>
    <w:rsid w:val="00b73102"/>
    <w:rPr>
      <w:rFonts w:cs="Times New Roman"/>
      <w:sz w:val="16"/>
      <w:szCs w:val="16"/>
    </w:rPr>
  </w:style>
  <w:style w:type="character" w:styleId="TextbublinyChar" w:customStyle="1">
    <w:name w:val="Text bubliny Char"/>
    <w:basedOn w:val="DefaultParagraphFont"/>
    <w:qFormat/>
    <w:rsid w:val="00b73102"/>
    <w:rPr>
      <w:rFonts w:ascii="Tahoma" w:hAnsi="Tahoma" w:eastAsia="Tahoma" w:cs="Cambria"/>
      <w:sz w:val="16"/>
      <w:szCs w:val="16"/>
      <w:lang w:val="sk-SK" w:eastAsia="cs-CZ"/>
    </w:rPr>
  </w:style>
  <w:style w:type="character" w:styleId="TextbublinyChar1" w:customStyle="1">
    <w:name w:val="Text bubliny Char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5" w:customStyle="1">
    <w:name w:val="Text bubliny Char13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4" w:customStyle="1">
    <w:name w:val="Text bubliny Char13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3" w:customStyle="1">
    <w:name w:val="Text bubliny Char13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2" w:customStyle="1">
    <w:name w:val="Text bubliny Char13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1" w:customStyle="1">
    <w:name w:val="Text bubliny Char13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0" w:customStyle="1">
    <w:name w:val="Text bubliny Char13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9" w:customStyle="1">
    <w:name w:val="Text bubliny Char12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8" w:customStyle="1">
    <w:name w:val="Text bubliny Char128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7" w:customStyle="1">
    <w:name w:val="Text bubliny Char12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6" w:customStyle="1">
    <w:name w:val="Text bubliny Char12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5" w:customStyle="1">
    <w:name w:val="Text bubliny Char12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4" w:customStyle="1">
    <w:name w:val="Text bubliny Char12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3" w:customStyle="1">
    <w:name w:val="Text bubliny Char12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2" w:customStyle="1">
    <w:name w:val="Text bubliny Char12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1" w:customStyle="1">
    <w:name w:val="Text bubliny Char12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0" w:customStyle="1">
    <w:name w:val="Text bubliny Char12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9" w:customStyle="1">
    <w:name w:val="Text bubliny Char11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8" w:customStyle="1">
    <w:name w:val="Text bubliny Char118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7" w:customStyle="1">
    <w:name w:val="Text bubliny Char11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6" w:customStyle="1">
    <w:name w:val="Text bubliny Char11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5" w:customStyle="1">
    <w:name w:val="Text bubliny Char115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4" w:customStyle="1">
    <w:name w:val="Text bubliny Char114"/>
    <w:basedOn w:val="DefaultParagraphFont"/>
    <w:qFormat/>
    <w:rsid w:val="00b73102"/>
    <w:rPr>
      <w:rFonts w:ascii="Segoe UI" w:hAnsi="Segoe UI" w:eastAsia="Segoe UI" w:cs="Cambria Cyr"/>
      <w:sz w:val="18"/>
      <w:szCs w:val="18"/>
    </w:rPr>
  </w:style>
  <w:style w:type="character" w:styleId="TextbublinyChar113" w:customStyle="1">
    <w:name w:val="Text bubliny Char11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2" w:customStyle="1">
    <w:name w:val="Text bubliny Char11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1" w:customStyle="1">
    <w:name w:val="Text bubliny Char11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0" w:customStyle="1">
    <w:name w:val="Text bubliny Char110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9" w:customStyle="1">
    <w:name w:val="Text bubliny Char19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8" w:customStyle="1">
    <w:name w:val="Text bubliny Char18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7" w:customStyle="1">
    <w:name w:val="Text bubliny Char17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6" w:customStyle="1">
    <w:name w:val="Text bubliny Char16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5" w:customStyle="1">
    <w:name w:val="Text bubliny Char15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4" w:customStyle="1">
    <w:name w:val="Text bubliny Char14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3" w:customStyle="1">
    <w:name w:val="Text bubliny Char13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2" w:customStyle="1">
    <w:name w:val="Text bubliny Char12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TextbublinyChar11" w:customStyle="1">
    <w:name w:val="Text bubliny Char11"/>
    <w:basedOn w:val="DefaultParagraphFont"/>
    <w:qFormat/>
    <w:rsid w:val="00b73102"/>
    <w:rPr>
      <w:rFonts w:ascii="Tahoma" w:hAnsi="Tahoma" w:eastAsia="Tahoma" w:cs="Cambria"/>
      <w:sz w:val="16"/>
      <w:szCs w:val="16"/>
    </w:rPr>
  </w:style>
  <w:style w:type="character" w:styleId="WW8Num12z0" w:customStyle="1">
    <w:name w:val="WW8Num12z0"/>
    <w:qFormat/>
    <w:rsid w:val="00b73102"/>
    <w:rPr>
      <w:rFonts w:ascii="Arial Narrow" w:hAnsi="Arial Narrow" w:eastAsia="Arial Narrow" w:cs="Arial Narrow"/>
      <w:b w:val="false"/>
      <w:sz w:val="22"/>
      <w:szCs w:val="22"/>
    </w:rPr>
  </w:style>
  <w:style w:type="character" w:styleId="WW8Num2z0" w:customStyle="1">
    <w:name w:val="WW8Num2z0"/>
    <w:qFormat/>
    <w:rsid w:val="00b73102"/>
    <w:rPr>
      <w:rFonts w:ascii="Arial Narrow" w:hAnsi="Arial Narrow" w:eastAsia="Arial Narrow" w:cs="Times New Roman"/>
      <w:kern w:val="2"/>
      <w:sz w:val="22"/>
      <w:szCs w:val="22"/>
    </w:rPr>
  </w:style>
  <w:style w:type="character" w:styleId="WW8Num3z0" w:customStyle="1">
    <w:name w:val="WW8Num3z0"/>
    <w:qFormat/>
    <w:rsid w:val="00b73102"/>
    <w:rPr>
      <w:rFonts w:ascii="Arial Narrow" w:hAnsi="Arial Narrow" w:eastAsia="Arial Narrow" w:cs="Times New Roman"/>
    </w:rPr>
  </w:style>
  <w:style w:type="character" w:styleId="WW8Num10z0" w:customStyle="1">
    <w:name w:val="WW8Num10z0"/>
    <w:qFormat/>
    <w:rsid w:val="00b73102"/>
    <w:rPr>
      <w:rFonts w:ascii="Arial Narrow" w:hAnsi="Arial Narrow" w:eastAsia="Arial Narrow" w:cs="Times New Roman"/>
      <w:sz w:val="22"/>
      <w:szCs w:val="22"/>
    </w:rPr>
  </w:style>
  <w:style w:type="character" w:styleId="WW8Num11z0" w:customStyle="1">
    <w:name w:val="WW8Num11z0"/>
    <w:qFormat/>
    <w:rsid w:val="00b73102"/>
    <w:rPr>
      <w:rFonts w:ascii="Arial Narrow" w:hAnsi="Arial Narrow" w:eastAsia="Arial Narrow" w:cs="Times New Roman"/>
    </w:rPr>
  </w:style>
  <w:style w:type="character" w:styleId="WW8Num7z0" w:customStyle="1">
    <w:name w:val="WW8Num7z0"/>
    <w:qFormat/>
    <w:rsid w:val="00b73102"/>
    <w:rPr>
      <w:rFonts w:ascii="Arial Narrow" w:hAnsi="Arial Narrow" w:eastAsia="Arial Narrow" w:cs="Times New Roman"/>
      <w:b w:val="false"/>
      <w:bCs w:val="false"/>
      <w:kern w:val="2"/>
      <w:sz w:val="22"/>
      <w:szCs w:val="22"/>
    </w:rPr>
  </w:style>
  <w:style w:type="character" w:styleId="WW8Num13z0" w:customStyle="1">
    <w:name w:val="WW8Num13z0"/>
    <w:qFormat/>
    <w:rsid w:val="00b73102"/>
    <w:rPr>
      <w:rFonts w:ascii="Arial Narrow" w:hAnsi="Arial Narrow" w:eastAsia="Arial Narrow" w:cs="Times New Roman"/>
    </w:rPr>
  </w:style>
  <w:style w:type="character" w:styleId="WW8Num13z1" w:customStyle="1">
    <w:name w:val="WW8Num13z1"/>
    <w:qFormat/>
    <w:rsid w:val="00b73102"/>
    <w:rPr/>
  </w:style>
  <w:style w:type="character" w:styleId="WW8Num13z2" w:customStyle="1">
    <w:name w:val="WW8Num13z2"/>
    <w:qFormat/>
    <w:rsid w:val="00b73102"/>
    <w:rPr/>
  </w:style>
  <w:style w:type="character" w:styleId="WW8Num13z3" w:customStyle="1">
    <w:name w:val="WW8Num13z3"/>
    <w:qFormat/>
    <w:rsid w:val="00b73102"/>
    <w:rPr/>
  </w:style>
  <w:style w:type="character" w:styleId="WW8Num13z4" w:customStyle="1">
    <w:name w:val="WW8Num13z4"/>
    <w:qFormat/>
    <w:rsid w:val="00b73102"/>
    <w:rPr/>
  </w:style>
  <w:style w:type="character" w:styleId="WW8Num13z5" w:customStyle="1">
    <w:name w:val="WW8Num13z5"/>
    <w:qFormat/>
    <w:rsid w:val="00b73102"/>
    <w:rPr/>
  </w:style>
  <w:style w:type="character" w:styleId="WW8Num13z6" w:customStyle="1">
    <w:name w:val="WW8Num13z6"/>
    <w:qFormat/>
    <w:rsid w:val="00b73102"/>
    <w:rPr/>
  </w:style>
  <w:style w:type="character" w:styleId="WW8Num13z7" w:customStyle="1">
    <w:name w:val="WW8Num13z7"/>
    <w:qFormat/>
    <w:rsid w:val="00b73102"/>
    <w:rPr/>
  </w:style>
  <w:style w:type="character" w:styleId="WW8Num13z8" w:customStyle="1">
    <w:name w:val="WW8Num13z8"/>
    <w:qFormat/>
    <w:rsid w:val="00b73102"/>
    <w:rPr/>
  </w:style>
  <w:style w:type="character" w:styleId="WW8Num9z0" w:customStyle="1">
    <w:name w:val="WW8Num9z0"/>
    <w:qFormat/>
    <w:rsid w:val="00b73102"/>
    <w:rPr>
      <w:rFonts w:cs="Times New Roman"/>
    </w:rPr>
  </w:style>
  <w:style w:type="character" w:styleId="WW8Num8z0" w:customStyle="1">
    <w:name w:val="WW8Num8z0"/>
    <w:qFormat/>
    <w:rsid w:val="00b73102"/>
    <w:rPr>
      <w:rFonts w:ascii="Arial Narrow" w:hAnsi="Arial Narrow" w:eastAsia="Arial Narrow" w:cs="Times New Roman"/>
      <w:bCs/>
      <w:kern w:val="2"/>
    </w:rPr>
  </w:style>
  <w:style w:type="character" w:styleId="WW8Num5z0" w:customStyle="1">
    <w:name w:val="WW8Num5z0"/>
    <w:qFormat/>
    <w:rsid w:val="00b73102"/>
    <w:rPr>
      <w:rFonts w:ascii="Arial Narrow" w:hAnsi="Arial Narrow" w:eastAsia="Arial Narrow" w:cs="Symbol"/>
    </w:rPr>
  </w:style>
  <w:style w:type="character" w:styleId="WW8Num6z0" w:customStyle="1">
    <w:name w:val="WW8Num6z0"/>
    <w:qFormat/>
    <w:rsid w:val="00b73102"/>
    <w:rPr/>
  </w:style>
  <w:style w:type="character" w:styleId="WW8Num4z0" w:customStyle="1">
    <w:name w:val="WW8Num4z0"/>
    <w:qFormat/>
    <w:rsid w:val="00b73102"/>
    <w:rPr>
      <w:rFonts w:ascii="Symbol" w:hAnsi="Symbol" w:eastAsia="Symbol" w:cs="Symbol"/>
    </w:rPr>
  </w:style>
  <w:style w:type="character" w:styleId="Symbolypreslovanie" w:customStyle="1">
    <w:name w:val="Symboly pre číslovanie"/>
    <w:qFormat/>
    <w:rsid w:val="00b73102"/>
    <w:rPr/>
  </w:style>
  <w:style w:type="character" w:styleId="Ra" w:customStyle="1">
    <w:name w:val="ra"/>
    <w:basedOn w:val="DefaultParagraphFont"/>
    <w:qFormat/>
    <w:rsid w:val="00480be5"/>
    <w:rPr/>
  </w:style>
  <w:style w:type="paragraph" w:styleId="Nadpis" w:customStyle="1">
    <w:name w:val="Nadpis"/>
    <w:basedOn w:val="Standard"/>
    <w:next w:val="Textbody"/>
    <w:qFormat/>
    <w:rsid w:val="00b73102"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xtbody"/>
    <w:rsid w:val="00b73102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 w:customStyle="1">
    <w:name w:val="Index"/>
    <w:basedOn w:val="Standard"/>
    <w:qFormat/>
    <w:rsid w:val="00b73102"/>
    <w:pPr>
      <w:suppressLineNumbers/>
    </w:pPr>
    <w:rPr/>
  </w:style>
  <w:style w:type="paragraph" w:styleId="Standard" w:customStyle="1">
    <w:name w:val="Standard"/>
    <w:qFormat/>
    <w:rsid w:val="00b73102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sk-SK" w:eastAsia="zh-CN" w:bidi="hi-IN"/>
    </w:rPr>
  </w:style>
  <w:style w:type="paragraph" w:styleId="Textbody" w:customStyle="1">
    <w:name w:val="Text body"/>
    <w:basedOn w:val="Standard"/>
    <w:qFormat/>
    <w:rsid w:val="00b73102"/>
    <w:pPr>
      <w:widowControl/>
      <w:jc w:val="both"/>
      <w:textAlignment w:val="auto"/>
    </w:pPr>
    <w:rPr>
      <w:rFonts w:cs="Times New Roman"/>
      <w:b/>
      <w:bCs/>
      <w:lang w:eastAsia="cs-CZ" w:bidi="ar-SA"/>
    </w:rPr>
  </w:style>
  <w:style w:type="paragraph" w:styleId="Caption">
    <w:name w:val="caption"/>
    <w:basedOn w:val="Standard"/>
    <w:qFormat/>
    <w:rsid w:val="00b73102"/>
    <w:pPr>
      <w:suppressLineNumbers/>
      <w:spacing w:before="120" w:after="120"/>
    </w:pPr>
    <w:rPr>
      <w:i/>
      <w:iCs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Standard"/>
    <w:rsid w:val="00b73102"/>
    <w:pPr>
      <w:widowControl/>
      <w:suppressLineNumbers/>
      <w:tabs>
        <w:tab w:val="clear" w:pos="708"/>
        <w:tab w:val="center" w:pos="4536" w:leader="none"/>
        <w:tab w:val="right" w:pos="9072" w:leader="none"/>
      </w:tabs>
      <w:textAlignment w:val="auto"/>
    </w:pPr>
    <w:rPr>
      <w:rFonts w:ascii="Arial Narrow" w:hAnsi="Arial Narrow" w:eastAsia="Arial Narrow" w:cs="Times New Roman"/>
      <w:sz w:val="22"/>
      <w:szCs w:val="36"/>
      <w:lang w:eastAsia="en-US" w:bidi="ar-SA"/>
    </w:rPr>
  </w:style>
  <w:style w:type="paragraph" w:styleId="Pta">
    <w:name w:val="Footer"/>
    <w:basedOn w:val="Standard"/>
    <w:rsid w:val="00b73102"/>
    <w:pPr>
      <w:widowControl/>
      <w:suppressLineNumbers/>
      <w:tabs>
        <w:tab w:val="clear" w:pos="708"/>
        <w:tab w:val="center" w:pos="4536" w:leader="none"/>
        <w:tab w:val="right" w:pos="9072" w:leader="none"/>
      </w:tabs>
      <w:textAlignment w:val="auto"/>
    </w:pPr>
    <w:rPr>
      <w:rFonts w:ascii="Arial Narrow" w:hAnsi="Arial Narrow" w:eastAsia="Arial Narrow" w:cs="Times New Roman"/>
      <w:sz w:val="22"/>
      <w:szCs w:val="36"/>
      <w:lang w:eastAsia="en-US" w:bidi="ar-SA"/>
    </w:rPr>
  </w:style>
  <w:style w:type="paragraph" w:styleId="Poznmkapodiarou">
    <w:name w:val="Footnote Text"/>
    <w:rsid w:val="00b73102"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SimSun" w:cs="Times New Roman"/>
      <w:color w:val="auto"/>
      <w:kern w:val="2"/>
      <w:sz w:val="20"/>
      <w:szCs w:val="20"/>
      <w:lang w:val="sk-SK" w:eastAsia="cs-CZ" w:bidi="ar-SA"/>
    </w:rPr>
  </w:style>
  <w:style w:type="paragraph" w:styleId="Nzov">
    <w:name w:val="Title"/>
    <w:basedOn w:val="Nadpis"/>
    <w:next w:val="Textbody"/>
    <w:qFormat/>
    <w:rsid w:val="00b73102"/>
    <w:pPr>
      <w:widowControl/>
      <w:spacing w:before="100" w:after="220"/>
      <w:jc w:val="center"/>
      <w:textAlignment w:val="auto"/>
    </w:pPr>
    <w:rPr>
      <w:rFonts w:ascii="Arial Narrow" w:hAnsi="Arial Narrow" w:eastAsia="Arial Narrow" w:cs="Times New Roman"/>
      <w:b/>
      <w:bCs/>
      <w:sz w:val="22"/>
      <w:szCs w:val="32"/>
      <w:lang w:eastAsia="en-US" w:bidi="ar-SA"/>
    </w:rPr>
  </w:style>
  <w:style w:type="paragraph" w:styleId="Podnzov">
    <w:name w:val="Subtitle"/>
    <w:basedOn w:val="Nadpis"/>
    <w:next w:val="Textbody"/>
    <w:qFormat/>
    <w:rsid w:val="00b73102"/>
    <w:pPr>
      <w:widowControl/>
      <w:spacing w:before="240" w:after="60"/>
      <w:jc w:val="center"/>
      <w:textAlignment w:val="auto"/>
    </w:pPr>
    <w:rPr>
      <w:rFonts w:ascii="Cambria" w:hAnsi="Cambria" w:eastAsia="Cambria" w:cs="Times New Roman"/>
      <w:i/>
      <w:iCs/>
      <w:sz w:val="22"/>
      <w:szCs w:val="24"/>
      <w:lang w:eastAsia="en-US" w:bidi="ar-SA"/>
    </w:rPr>
  </w:style>
  <w:style w:type="paragraph" w:styleId="BodyText2">
    <w:name w:val="Body Text 2"/>
    <w:qFormat/>
    <w:rsid w:val="00b73102"/>
    <w:pPr>
      <w:widowControl/>
      <w:suppressAutoHyphens w:val="true"/>
      <w:bidi w:val="0"/>
      <w:spacing w:before="0" w:after="0"/>
      <w:ind w:left="2124" w:hanging="2124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odyTextIndent2">
    <w:name w:val="Body Text Indent 2"/>
    <w:qFormat/>
    <w:rsid w:val="00b73102"/>
    <w:pPr>
      <w:widowControl/>
      <w:suppressAutoHyphens w:val="true"/>
      <w:bidi w:val="0"/>
      <w:spacing w:before="0" w:after="0"/>
      <w:ind w:firstLine="708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odyTextIndent3">
    <w:name w:val="Body Text Indent 3"/>
    <w:qFormat/>
    <w:rsid w:val="00b73102"/>
    <w:pPr>
      <w:widowControl/>
      <w:suppressAutoHyphens w:val="true"/>
      <w:bidi w:val="0"/>
      <w:spacing w:before="0" w:after="0"/>
      <w:ind w:left="708" w:firstLine="708"/>
      <w:jc w:val="both"/>
      <w:textAlignment w:val="auto"/>
    </w:pPr>
    <w:rPr>
      <w:rFonts w:ascii="Times New Roman" w:hAnsi="Times New Roman" w:eastAsia="SimSun" w:cs="Times New Roman"/>
      <w:color w:val="auto"/>
      <w:kern w:val="2"/>
      <w:sz w:val="24"/>
      <w:szCs w:val="24"/>
      <w:lang w:val="sk-SK" w:eastAsia="cs-CZ" w:bidi="ar-SA"/>
    </w:rPr>
  </w:style>
  <w:style w:type="paragraph" w:styleId="BalloonText">
    <w:name w:val="Balloon Text"/>
    <w:qFormat/>
    <w:rsid w:val="00b73102"/>
    <w:pPr>
      <w:widowControl/>
      <w:suppressAutoHyphens w:val="true"/>
      <w:bidi w:val="0"/>
      <w:spacing w:before="0" w:after="0"/>
      <w:jc w:val="left"/>
      <w:textAlignment w:val="auto"/>
    </w:pPr>
    <w:rPr>
      <w:rFonts w:ascii="Tahoma" w:hAnsi="Tahoma" w:eastAsia="Tahoma" w:cs="Cambria"/>
      <w:color w:val="auto"/>
      <w:kern w:val="2"/>
      <w:sz w:val="16"/>
      <w:szCs w:val="16"/>
      <w:lang w:val="sk-SK" w:eastAsia="cs-CZ" w:bidi="ar-SA"/>
    </w:rPr>
  </w:style>
  <w:style w:type="paragraph" w:styleId="ListParagraph">
    <w:name w:val="List Paragraph"/>
    <w:qFormat/>
    <w:rsid w:val="00b73102"/>
    <w:pPr>
      <w:widowControl/>
      <w:suppressAutoHyphens w:val="true"/>
      <w:bidi w:val="0"/>
      <w:spacing w:before="0" w:after="200"/>
      <w:ind w:left="720" w:hanging="0"/>
      <w:jc w:val="left"/>
      <w:textAlignment w:val="auto"/>
    </w:pPr>
    <w:rPr>
      <w:rFonts w:ascii="Arial Narrow" w:hAnsi="Arial Narrow" w:eastAsia="Arial Narrow" w:cs="Times New Roman"/>
      <w:color w:val="auto"/>
      <w:kern w:val="2"/>
      <w:sz w:val="22"/>
      <w:szCs w:val="36"/>
      <w:lang w:val="sk-SK" w:eastAsia="en-US" w:bidi="ar-SA"/>
    </w:rPr>
  </w:style>
  <w:style w:type="paragraph" w:styleId="TopHeader" w:customStyle="1">
    <w:name w:val="Top Header"/>
    <w:qFormat/>
    <w:rsid w:val="00b73102"/>
    <w:pPr>
      <w:widowControl/>
      <w:suppressAutoHyphens w:val="true"/>
      <w:bidi w:val="0"/>
      <w:spacing w:before="0" w:after="0"/>
      <w:jc w:val="center"/>
      <w:textAlignment w:val="auto"/>
    </w:pPr>
    <w:rPr>
      <w:rFonts w:ascii="Arial Narrow" w:hAnsi="Arial Narrow" w:eastAsia="Arial Narrow" w:cs="Times New Roman"/>
      <w:b/>
      <w:bCs/>
      <w:color w:val="auto"/>
      <w:kern w:val="2"/>
      <w:sz w:val="22"/>
      <w:szCs w:val="22"/>
      <w:lang w:val="sk-SK" w:eastAsia="en-US" w:bidi="ar-SA"/>
    </w:rPr>
  </w:style>
  <w:style w:type="paragraph" w:styleId="NormalWeb">
    <w:name w:val="Normal (Web)"/>
    <w:qFormat/>
    <w:rsid w:val="00b73102"/>
    <w:pPr>
      <w:widowControl/>
      <w:suppressAutoHyphens w:val="true"/>
      <w:bidi w:val="0"/>
      <w:spacing w:before="100" w:after="100"/>
      <w:jc w:val="left"/>
      <w:textAlignment w:val="auto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sk-SK" w:eastAsia="sk-SK" w:bidi="ar-SA"/>
    </w:rPr>
  </w:style>
  <w:style w:type="paragraph" w:styleId="Obsahtabuky" w:customStyle="1">
    <w:name w:val="Obsah tabuľky"/>
    <w:basedOn w:val="Standard"/>
    <w:qFormat/>
    <w:rsid w:val="00b73102"/>
    <w:pPr>
      <w:suppressLineNumbers/>
    </w:pPr>
    <w:rPr/>
  </w:style>
  <w:style w:type="paragraph" w:styleId="Citcie" w:customStyle="1">
    <w:name w:val="Citácie"/>
    <w:basedOn w:val="Standard"/>
    <w:qFormat/>
    <w:rsid w:val="00b73102"/>
    <w:pPr>
      <w:spacing w:before="0" w:after="283"/>
      <w:ind w:left="567" w:right="567" w:hanging="0"/>
    </w:pPr>
    <w:rPr/>
  </w:style>
  <w:style w:type="paragraph" w:styleId="Zhlavietabuky" w:customStyle="1">
    <w:name w:val="Záhlavie tabuľky"/>
    <w:basedOn w:val="Obsahtabuky"/>
    <w:qFormat/>
    <w:rsid w:val="00b73102"/>
    <w:pPr>
      <w:jc w:val="center"/>
    </w:pPr>
    <w:rPr>
      <w:b/>
      <w:bCs/>
    </w:rPr>
  </w:style>
  <w:style w:type="paragraph" w:styleId="Obsahrmca" w:customStyle="1">
    <w:name w:val="Obsah rámca"/>
    <w:basedOn w:val="Standard"/>
    <w:qFormat/>
    <w:rsid w:val="00b73102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2" w:customStyle="1">
    <w:name w:val="WW8Num12"/>
    <w:qFormat/>
    <w:rsid w:val="00b73102"/>
  </w:style>
  <w:style w:type="numbering" w:styleId="WW8Num2" w:customStyle="1">
    <w:name w:val="WW8Num2"/>
    <w:qFormat/>
    <w:rsid w:val="00b73102"/>
  </w:style>
  <w:style w:type="numbering" w:styleId="WW8Num3" w:customStyle="1">
    <w:name w:val="WW8Num3"/>
    <w:qFormat/>
    <w:rsid w:val="00b73102"/>
  </w:style>
  <w:style w:type="numbering" w:styleId="WW8Num10" w:customStyle="1">
    <w:name w:val="WW8Num10"/>
    <w:qFormat/>
    <w:rsid w:val="00b73102"/>
  </w:style>
  <w:style w:type="numbering" w:styleId="WW8Num11" w:customStyle="1">
    <w:name w:val="WW8Num11"/>
    <w:qFormat/>
    <w:rsid w:val="00b73102"/>
  </w:style>
  <w:style w:type="numbering" w:styleId="WW8Num7" w:customStyle="1">
    <w:name w:val="WW8Num7"/>
    <w:qFormat/>
    <w:rsid w:val="00b73102"/>
  </w:style>
  <w:style w:type="numbering" w:styleId="WW8Num13" w:customStyle="1">
    <w:name w:val="WW8Num13"/>
    <w:qFormat/>
    <w:rsid w:val="00b73102"/>
  </w:style>
  <w:style w:type="numbering" w:styleId="WW8Num9" w:customStyle="1">
    <w:name w:val="WW8Num9"/>
    <w:qFormat/>
    <w:rsid w:val="00b73102"/>
  </w:style>
  <w:style w:type="numbering" w:styleId="WW8Num8" w:customStyle="1">
    <w:name w:val="WW8Num8"/>
    <w:qFormat/>
    <w:rsid w:val="00b73102"/>
  </w:style>
  <w:style w:type="numbering" w:styleId="WW8Num5" w:customStyle="1">
    <w:name w:val="WW8Num5"/>
    <w:qFormat/>
    <w:rsid w:val="00b73102"/>
  </w:style>
  <w:style w:type="numbering" w:styleId="WW8Num6" w:customStyle="1">
    <w:name w:val="WW8Num6"/>
    <w:qFormat/>
    <w:rsid w:val="00b73102"/>
  </w:style>
  <w:style w:type="numbering" w:styleId="WW8Num4" w:customStyle="1">
    <w:name w:val="WW8Num4"/>
    <w:qFormat/>
    <w:rsid w:val="00b73102"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78B38-027D-4048-A91F-1985AB21D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LibreOffice/7.1.1.2$Windows_X86_64 LibreOffice_project/fe0b08f4af1bacafe4c7ecc87ce55bb426164676</Application>
  <AppVersion>15.0000</AppVersion>
  <Pages>28</Pages>
  <Words>4683</Words>
  <Characters>25332</Characters>
  <CharactersWithSpaces>29004</CharactersWithSpaces>
  <Paragraphs>1232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2020-11-02T16:35:00Z</dcterms:created>
  <dc:creator>Matulova Silvia</dc:creator>
  <dc:description/>
  <dc:language>sk-SK</dc:language>
  <cp:lastModifiedBy/>
  <cp:lastPrinted>2016-03-02T06:45:00Z</cp:lastPrinted>
  <dcterms:modified xsi:type="dcterms:W3CDTF">2024-06-30T16:27:03Z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Matulova Silvia</vt:lpwstr>
  </property>
</Properties>
</file>