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tabs>
          <w:tab w:val="clear" w:pos="709"/>
          <w:tab w:val="left" w:pos="2635" w:leader="none"/>
          <w:tab w:val="center" w:pos="4734" w:leader="none"/>
        </w:tabs>
        <w:ind w:left="0" w:hanging="0"/>
        <w:rPr>
          <w:rFonts w:ascii="Arial;Arial Narrow" w:hAnsi="Arial;Arial Narrow" w:cs="Arial;Arial Narrow"/>
          <w:b/>
          <w:b/>
          <w:bCs/>
          <w:sz w:val="20"/>
        </w:rPr>
      </w:pPr>
      <w:r>
        <w:rPr>
          <w:rFonts w:cs="Arial;Arial Narrow" w:ascii="Arial;Arial Narrow" w:hAnsi="Arial;Arial Narrow"/>
          <w:b/>
          <w:bCs/>
          <w:sz w:val="20"/>
        </w:rPr>
        <w:tab/>
        <w:tab/>
      </w:r>
    </w:p>
    <w:p>
      <w:pPr>
        <w:pStyle w:val="Normal"/>
        <w:keepNext w:val="true"/>
        <w:numPr>
          <w:ilvl w:val="0"/>
          <w:numId w:val="0"/>
        </w:numPr>
        <w:tabs>
          <w:tab w:val="clear" w:pos="709"/>
          <w:tab w:val="left" w:pos="2635" w:leader="none"/>
          <w:tab w:val="center" w:pos="4734" w:leader="none"/>
        </w:tabs>
        <w:ind w:left="0" w:hanging="0"/>
        <w:rPr>
          <w:rFonts w:ascii="Arial;Arial Narrow" w:hAnsi="Arial;Arial Narrow" w:cs="Arial;Arial Narrow"/>
          <w:b/>
          <w:b/>
          <w:bCs/>
          <w:sz w:val="20"/>
        </w:rPr>
      </w:pPr>
      <w:r>
        <w:rPr>
          <w:rFonts w:cs="Arial;Arial Narrow" w:ascii="Arial;Arial Narrow" w:hAnsi="Arial;Arial Narrow"/>
          <w:b/>
          <w:bCs/>
          <w:sz w:val="20"/>
        </w:rPr>
      </w:r>
    </w:p>
    <w:p>
      <w:pPr>
        <w:pStyle w:val="Normal"/>
        <w:numPr>
          <w:ilvl w:val="0"/>
          <w:numId w:val="6"/>
        </w:numPr>
        <w:shd w:val="clear" w:fill="E6E6E6"/>
        <w:ind w:left="709" w:right="0" w:hanging="709"/>
        <w:jc w:val="center"/>
        <w:rPr>
          <w:i/>
          <w:i/>
          <w:szCs w:val="20"/>
        </w:rPr>
      </w:pPr>
      <w:r>
        <w:rPr>
          <w:i/>
          <w:szCs w:val="20"/>
        </w:rPr>
        <w:t xml:space="preserve">Všeobecné informácie             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9"/>
          <w:tab w:val="left" w:pos="2635" w:leader="none"/>
          <w:tab w:val="center" w:pos="4734" w:leader="none"/>
        </w:tabs>
        <w:ind w:left="0" w:hanging="0"/>
        <w:rPr>
          <w:rFonts w:ascii="Arial;Arial Narrow" w:hAnsi="Arial;Arial Narrow" w:cs="Arial;Arial Narrow"/>
          <w:b/>
          <w:b/>
          <w:bCs/>
          <w:i/>
          <w:i/>
          <w:sz w:val="20"/>
          <w:szCs w:val="20"/>
        </w:rPr>
      </w:pPr>
      <w:r>
        <w:rPr>
          <w:rFonts w:cs="Arial;Arial Narrow" w:ascii="Arial;Arial Narrow" w:hAnsi="Arial;Arial Narrow"/>
          <w:b/>
          <w:bCs/>
          <w:i/>
          <w:sz w:val="20"/>
          <w:szCs w:val="20"/>
        </w:rPr>
      </w:r>
    </w:p>
    <w:p>
      <w:pPr>
        <w:pStyle w:val="Normal"/>
        <w:ind w:left="425" w:right="0" w:hanging="0"/>
        <w:jc w:val="both"/>
        <w:rPr>
          <w:rFonts w:ascii="Arial;Arial Narrow" w:hAnsi="Arial;Arial Narrow" w:cs="Arial;Arial Narrow"/>
          <w:b/>
          <w:b/>
          <w:bCs/>
          <w:i/>
          <w:i/>
          <w:sz w:val="18"/>
          <w:szCs w:val="22"/>
        </w:rPr>
      </w:pPr>
      <w:r>
        <w:rPr>
          <w:rFonts w:cs="Arial;Arial Narrow" w:ascii="Arial;Arial Narrow" w:hAnsi="Arial;Arial Narrow"/>
          <w:b/>
          <w:bCs/>
          <w:i/>
          <w:sz w:val="18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107"/>
      </w:tblGrid>
      <w:tr>
        <w:trPr>
          <w:trHeight w:val="110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2"/>
              </w:numPr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Obchodné meno:</w:t>
            </w:r>
          </w:p>
        </w:tc>
        <w:tc>
          <w:tcPr>
            <w:tcW w:w="71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 </w:t>
            </w:r>
            <w:r>
              <w:rPr>
                <w:rFonts w:cs="Arial;Arial Narrow" w:ascii="Arial;Arial Narrow" w:hAnsi="Arial;Arial Narrow"/>
                <w:sz w:val="20"/>
                <w:szCs w:val="22"/>
              </w:rPr>
              <w:t>Romana s.r.o.</w:t>
            </w:r>
          </w:p>
        </w:tc>
      </w:tr>
      <w:tr>
        <w:trPr>
          <w:trHeight w:val="34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Sídlo:</w:t>
            </w:r>
          </w:p>
        </w:tc>
        <w:tc>
          <w:tcPr>
            <w:tcW w:w="7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Dolná 9, Banská Bystrica</w:t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0"/>
        <w:gridCol w:w="992"/>
        <w:gridCol w:w="422"/>
        <w:gridCol w:w="4252"/>
        <w:gridCol w:w="449"/>
      </w:tblGrid>
      <w:tr>
        <w:trPr>
          <w:trHeight w:val="340" w:hRule="atLeast"/>
        </w:trPr>
        <w:tc>
          <w:tcPr>
            <w:tcW w:w="93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2"/>
              </w:numPr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Údaje o konsolidovanom celku</w:t>
            </w:r>
          </w:p>
        </w:tc>
      </w:tr>
      <w:tr>
        <w:trPr>
          <w:trHeight w:val="340" w:hRule="atLeast"/>
        </w:trPr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X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Fonts w:cs="Arial;Arial Narrow" w:ascii="Arial;Arial Narrow" w:hAnsi="Arial;Arial Narrow"/>
                <w:sz w:val="20"/>
              </w:rPr>
              <w:t>ÚJ je súčasťou konsolidovaného celku</w:t>
            </w:r>
            <w:r>
              <w:rPr>
                <w:rFonts w:cs="Arial;Arial Narrow" w:ascii="Arial;Arial Narrow" w:hAnsi="Arial;Arial Narrow"/>
                <w:szCs w:val="2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ind w:left="56" w:right="0" w:hanging="0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93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214" w:right="0" w:hanging="0"/>
              <w:rPr/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a)obchodné meno a sídlo konsolidujúcej ÚJ, ktorá zostavuje konsolidovanú účtovnú závierku za tú skupinu účtovných jednotiek konsolidovaného celku, ktorého súčasťou je aj ÚJ;</w:t>
            </w:r>
            <w:r>
              <w:rPr>
                <w:rFonts w:cs="Arial;Arial Narrow" w:ascii="Arial;Arial Narrow" w:hAnsi="Arial;Arial Narrow"/>
                <w:i/>
                <w:sz w:val="18"/>
              </w:rPr>
              <w:t xml:space="preserve"> </w:t>
            </w:r>
          </w:p>
        </w:tc>
      </w:tr>
      <w:tr>
        <w:trPr>
          <w:trHeight w:val="340" w:hRule="atLeast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Meno ÚJ, ktorá je bezprostredne konsolidujúcou ÚJ:</w:t>
            </w:r>
          </w:p>
        </w:tc>
        <w:tc>
          <w:tcPr>
            <w:tcW w:w="6115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Sídlo :</w:t>
            </w:r>
          </w:p>
        </w:tc>
        <w:tc>
          <w:tcPr>
            <w:tcW w:w="61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</w:tbl>
    <w:p>
      <w:pPr>
        <w:pStyle w:val="Normal"/>
        <w:ind w:left="0" w:right="112" w:hanging="0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  <w:gridCol w:w="1357"/>
        <w:gridCol w:w="1761"/>
        <w:gridCol w:w="709"/>
        <w:gridCol w:w="566"/>
        <w:gridCol w:w="565"/>
        <w:gridCol w:w="593"/>
      </w:tblGrid>
      <w:tr>
        <w:trPr>
          <w:trHeight w:val="340" w:hRule="atLeast"/>
        </w:trPr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ind w:left="318" w:right="0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b)ÚJ je materskou účtovnou jednotkou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/>
            </w:r>
          </w:p>
        </w:tc>
      </w:tr>
      <w:tr>
        <w:trPr>
          <w:trHeight w:val="340" w:hRule="atLeast"/>
        </w:trPr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ind w:left="318" w:right="0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ÚJ je oslobodená od povinnosti zostaviť konsolidovanú ÚZ podľa §22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Obchodné meno a sídlo materskej ÚJ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34" w:right="0" w:hanging="0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§ 22 ods.8</w:t>
            </w:r>
          </w:p>
        </w:tc>
        <w:tc>
          <w:tcPr>
            <w:tcW w:w="4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Obchodné meno asídlo dcérskych ÚJ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34" w:right="0" w:hanging="0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§ 22 ods.12</w:t>
            </w:r>
          </w:p>
        </w:tc>
        <w:tc>
          <w:tcPr>
            <w:tcW w:w="4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tabs>
          <w:tab w:val="clear" w:pos="709"/>
          <w:tab w:val="left" w:pos="851" w:leader="none"/>
        </w:tabs>
        <w:jc w:val="center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</w:r>
    </w:p>
    <w:p>
      <w:pPr>
        <w:pStyle w:val="Normal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7"/>
        <w:gridCol w:w="1438"/>
      </w:tblGrid>
      <w:tr>
        <w:trPr>
          <w:trHeight w:val="340" w:hRule="atLeast"/>
        </w:trPr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2"/>
              </w:numPr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Priemerný prepočítaný počet zamestnancov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tabs>
          <w:tab w:val="clear" w:pos="709"/>
          <w:tab w:val="left" w:pos="851" w:leader="none"/>
        </w:tabs>
        <w:ind w:left="2870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tabs>
          <w:tab w:val="clear" w:pos="709"/>
          <w:tab w:val="left" w:pos="851" w:leader="none"/>
        </w:tabs>
        <w:ind w:left="2870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tabs>
          <w:tab w:val="clear" w:pos="709"/>
          <w:tab w:val="left" w:pos="851" w:leader="none"/>
        </w:tabs>
        <w:ind w:left="2870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tabs>
          <w:tab w:val="clear" w:pos="709"/>
          <w:tab w:val="left" w:pos="851" w:leader="none"/>
        </w:tabs>
        <w:ind w:left="2870" w:right="0" w:hanging="0"/>
        <w:jc w:val="both"/>
        <w:rPr>
          <w:rFonts w:ascii="Arial;Arial Narrow" w:hAnsi="Arial;Arial Narrow" w:cs="Arial;Arial Narrow"/>
          <w:i/>
          <w:i/>
          <w:sz w:val="20"/>
          <w:szCs w:val="20"/>
        </w:rPr>
      </w:pPr>
      <w:r>
        <w:rPr>
          <w:rFonts w:cs="Arial;Arial Narrow" w:ascii="Arial;Arial Narrow" w:hAnsi="Arial;Arial Narrow"/>
          <w:i/>
          <w:sz w:val="20"/>
          <w:szCs w:val="20"/>
        </w:rPr>
      </w:r>
    </w:p>
    <w:p>
      <w:pPr>
        <w:pStyle w:val="Normal"/>
        <w:numPr>
          <w:ilvl w:val="0"/>
          <w:numId w:val="6"/>
        </w:numPr>
        <w:shd w:val="clear" w:fill="E6E6E6"/>
        <w:ind w:left="709" w:right="0" w:hanging="709"/>
        <w:jc w:val="center"/>
        <w:rPr>
          <w:i/>
          <w:i/>
          <w:szCs w:val="20"/>
        </w:rPr>
      </w:pPr>
      <w:r>
        <w:rPr>
          <w:i/>
          <w:szCs w:val="20"/>
        </w:rPr>
        <w:t>Informácie o prijatých postupoch</w:t>
      </w:r>
    </w:p>
    <w:p>
      <w:pPr>
        <w:pStyle w:val="Normal"/>
        <w:ind w:left="1121" w:right="0" w:hanging="0"/>
        <w:jc w:val="both"/>
        <w:rPr>
          <w:rFonts w:ascii="Arial;Arial Narrow" w:hAnsi="Arial;Arial Narrow" w:cs="Arial;Arial Narrow"/>
          <w:b/>
          <w:b/>
          <w:i/>
          <w:i/>
          <w:sz w:val="20"/>
          <w:szCs w:val="20"/>
        </w:rPr>
      </w:pPr>
      <w:r>
        <w:rPr>
          <w:rFonts w:cs="Arial;Arial Narrow" w:ascii="Arial;Arial Narrow" w:hAnsi="Arial;Arial Narrow"/>
          <w:b/>
          <w:i/>
          <w:sz w:val="20"/>
          <w:szCs w:val="20"/>
        </w:rPr>
      </w:r>
    </w:p>
    <w:p>
      <w:pPr>
        <w:pStyle w:val="Normal"/>
        <w:ind w:left="1121" w:right="0" w:hanging="0"/>
        <w:jc w:val="both"/>
        <w:rPr>
          <w:rFonts w:ascii="Arial;Arial Narrow" w:hAnsi="Arial;Arial Narrow" w:cs="Arial;Arial Narrow"/>
          <w:b/>
          <w:b/>
          <w:i/>
          <w:i/>
          <w:sz w:val="20"/>
          <w:szCs w:val="20"/>
        </w:rPr>
      </w:pPr>
      <w:r>
        <w:rPr>
          <w:rFonts w:cs="Arial;Arial Narrow" w:ascii="Arial;Arial Narrow" w:hAnsi="Arial;Arial Narrow"/>
          <w:b/>
          <w:i/>
          <w:sz w:val="20"/>
          <w:szCs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6367"/>
        <w:gridCol w:w="709"/>
        <w:gridCol w:w="566"/>
        <w:gridCol w:w="565"/>
        <w:gridCol w:w="593"/>
      </w:tblGrid>
      <w:tr>
        <w:trPr>
          <w:trHeight w:val="522" w:hRule="exac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;Arial Narrow" w:ascii="Arial;Arial Narrow" w:hAnsi="Arial;Arial Narrow"/>
                <w:b/>
                <w:sz w:val="20"/>
              </w:rPr>
              <w:t>Účtovná závierka bola zostavená za predpokladu, že účtovná jednotka bude nepretržite pokračovať vo svojej činnosti</w:t>
            </w:r>
            <w:r>
              <w:rPr>
                <w:rFonts w:cs="Arial;Arial Narrow" w:ascii="Arial;Arial Narrow" w:hAnsi="Arial;Arial Narrow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X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Odsekzoznamu"/>
        <w:keepNext w:val="true"/>
        <w:numPr>
          <w:ilvl w:val="0"/>
          <w:numId w:val="0"/>
        </w:numPr>
        <w:spacing w:before="0" w:after="0"/>
        <w:ind w:left="357" w:right="0" w:hanging="0"/>
        <w:contextualSpacing/>
        <w:jc w:val="both"/>
        <w:rPr>
          <w:rFonts w:ascii="Arial;Arial Narrow" w:hAnsi="Arial;Arial Narrow" w:cs="Arial;Arial Narrow"/>
          <w:sz w:val="20"/>
          <w:lang w:val="sk-SK"/>
        </w:rPr>
      </w:pPr>
      <w:r>
        <w:rPr>
          <w:rFonts w:cs="Arial;Arial Narrow" w:ascii="Arial;Arial Narrow" w:hAnsi="Arial;Arial Narrow"/>
          <w:sz w:val="20"/>
          <w:lang w:val="sk-SK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4"/>
        <w:gridCol w:w="8366"/>
        <w:gridCol w:w="445"/>
      </w:tblGrid>
      <w:tr>
        <w:trPr>
          <w:trHeight w:val="283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8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Spôsob oceňovania jednotlivých položiek majetku a záväzkov</w:t>
            </w:r>
          </w:p>
        </w:tc>
      </w:tr>
      <w:tr>
        <w:trPr>
          <w:trHeight w:val="283" w:hRule="atLeast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Obstarávacou cenou</w:t>
            </w:r>
          </w:p>
        </w:tc>
      </w:tr>
      <w:tr>
        <w:trPr>
          <w:trHeight w:val="283" w:hRule="atLeast"/>
        </w:trPr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6. záväzky pri ich prevzatí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0"/>
        <w:gridCol w:w="445"/>
      </w:tblGrid>
      <w:tr>
        <w:trPr>
          <w:trHeight w:val="283" w:hRule="atLeast"/>
        </w:trPr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Vlastnými nákladmi</w:t>
            </w:r>
          </w:p>
        </w:tc>
      </w:tr>
      <w:tr>
        <w:trPr>
          <w:trHeight w:val="283" w:hRule="atLeast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0"/>
        <w:gridCol w:w="445"/>
      </w:tblGrid>
      <w:tr>
        <w:trPr>
          <w:trHeight w:val="283" w:hRule="atLeast"/>
        </w:trPr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Menovitou hodnotou</w:t>
            </w:r>
          </w:p>
        </w:tc>
      </w:tr>
      <w:tr>
        <w:trPr>
          <w:trHeight w:val="283" w:hRule="atLeast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2. pohľadávky pri ich vzniku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3. záväzky pri ich vzniku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0"/>
        <w:gridCol w:w="445"/>
      </w:tblGrid>
      <w:tr>
        <w:trPr>
          <w:trHeight w:val="283" w:hRule="atLeast"/>
        </w:trPr>
        <w:tc>
          <w:tcPr>
            <w:tcW w:w="9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Úbytok zásob rovnakého druhu sa účtuje v ocenení: </w:t>
            </w:r>
          </w:p>
        </w:tc>
      </w:tr>
      <w:tr>
        <w:trPr>
          <w:trHeight w:val="283" w:hRule="atLeast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Cenou zistenou váženým aritmetickým priemerom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Metódou FIFO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Obstarávacia cena zásob sa rozdeľuje na cenu za ktoré sa zásoby obstarali</w:t>
            </w:r>
          </w:p>
          <w:p>
            <w:pPr>
              <w:pStyle w:val="Normal"/>
              <w:widowControl w:val="false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a náklady súvisiace s obstaraním(VON).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0"/>
        <w:gridCol w:w="445"/>
      </w:tblGrid>
      <w:tr>
        <w:trPr/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 xml:space="preserve">Výdavky budúcich období a príjmy budúcich období  sa vykazujú vo výške, ktorá je potrebná </w:t>
            </w:r>
          </w:p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na dodržanie zásady vecnej a časovej súvislosti s účtovným obdobím.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/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Rezervy sú záväzky s neurčitým časovým vymedzením alebo výškou; tvoria sa na krytie známych</w:t>
            </w:r>
          </w:p>
          <w:p>
            <w:pPr>
              <w:pStyle w:val="Normal"/>
              <w:widowControl w:val="false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rizík alebo strát z podnikania. Oceňujú sa v očakávanej výške záväzku.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  <w:tr>
        <w:trPr/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Prenajatý  majetok a majetok obstaraný na základe  zmluvy o kúpe prenajatej veci - v ocenení</w:t>
            </w:r>
          </w:p>
          <w:p>
            <w:pPr>
              <w:pStyle w:val="Normal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  <w:szCs w:val="22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 xml:space="preserve">rovnajúcom istine a náklady súvisiace s obstaraním 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</w:tr>
      <w:tr>
        <w:trPr/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Daň z príjmov splatná – daň sa  určuje z účtovného zisku pred zdanením, po úpravách na daňové</w:t>
            </w:r>
          </w:p>
          <w:p>
            <w:pPr>
              <w:pStyle w:val="Normal"/>
              <w:ind w:left="0"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  <w:szCs w:val="22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účely podľa zákona o daniach z príjmov pri sadzbe 21 %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</w:tr>
      <w:tr>
        <w:trPr/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  <w:tr>
        <w:trPr/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Náklady a výnosy časovo nerozlišujú.</w:t>
            </w:r>
          </w:p>
          <w:p>
            <w:pPr>
              <w:pStyle w:val="Normal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</w:tr>
      <w:tr>
        <w:trPr/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0"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/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4"/>
        <w:gridCol w:w="6760"/>
        <w:gridCol w:w="1601"/>
        <w:gridCol w:w="3"/>
        <w:gridCol w:w="448"/>
      </w:tblGrid>
      <w:tr>
        <w:trPr>
          <w:trHeight w:val="774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center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  <w:p>
            <w:pPr>
              <w:pStyle w:val="Odsekzoznamu"/>
              <w:keepNext w:val="true"/>
              <w:numPr>
                <w:ilvl w:val="0"/>
                <w:numId w:val="0"/>
              </w:numPr>
              <w:spacing w:before="0" w:after="0"/>
              <w:ind w:left="357" w:right="0" w:hanging="0"/>
              <w:contextualSpacing/>
              <w:jc w:val="center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  <w:p>
            <w:pPr>
              <w:pStyle w:val="Odsekzoznamu"/>
              <w:keepNext w:val="true"/>
              <w:numPr>
                <w:ilvl w:val="0"/>
                <w:numId w:val="0"/>
              </w:numPr>
              <w:spacing w:before="0" w:after="0"/>
              <w:ind w:left="357" w:right="0" w:hanging="0"/>
              <w:contextualSpacing/>
              <w:jc w:val="center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  <w:tc>
          <w:tcPr>
            <w:tcW w:w="8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>
        <w:trPr/>
        <w:tc>
          <w:tcPr>
            <w:tcW w:w="89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  <w:p>
            <w:pPr>
              <w:pStyle w:val="Normal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  <w:p>
            <w:pPr>
              <w:pStyle w:val="Normal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810" w:hRule="atLeast"/>
        </w:trPr>
        <w:tc>
          <w:tcPr>
            <w:tcW w:w="89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rovnajú.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823" w:hRule="atLeast"/>
        </w:trPr>
        <w:tc>
          <w:tcPr>
            <w:tcW w:w="89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nerovnajú.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64" w:hRule="atLeast"/>
        </w:trPr>
        <w:tc>
          <w:tcPr>
            <w:tcW w:w="7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Dlhodobý nehmotný majetok =doba použiteľnosti viac ako rok a vstupná cena je  viac ako :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18"/>
              </w:rPr>
            </w:pPr>
            <w:r>
              <w:rPr/>
            </w:r>
          </w:p>
        </w:tc>
      </w:tr>
      <w:tr>
        <w:trPr>
          <w:trHeight w:val="64" w:hRule="atLeast"/>
        </w:trPr>
        <w:tc>
          <w:tcPr>
            <w:tcW w:w="7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18"/>
              </w:rPr>
            </w:pPr>
            <w:r>
              <w:rPr/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6"/>
        <w:gridCol w:w="1276"/>
        <w:gridCol w:w="1416"/>
        <w:gridCol w:w="1132"/>
        <w:gridCol w:w="1276"/>
        <w:gridCol w:w="1159"/>
      </w:tblGrid>
      <w:tr>
        <w:trPr>
          <w:trHeight w:val="340" w:hRule="atLeast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Majetok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Odpisová skupina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Doba odpisovania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Lineárne odpisy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Zrýchlené odpisy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</w:tbl>
    <w:p>
      <w:pPr>
        <w:pStyle w:val="Odsekzoznamu"/>
        <w:rPr>
          <w:rFonts w:ascii="Arial;Arial Narrow" w:hAnsi="Arial;Arial Narrow" w:cs="Arial;Arial Narrow"/>
          <w:sz w:val="20"/>
          <w:lang w:val="sk-SK"/>
        </w:rPr>
      </w:pPr>
      <w:r>
        <w:rPr>
          <w:rFonts w:cs="Arial;Arial Narrow" w:ascii="Arial;Arial Narrow" w:hAnsi="Arial;Arial Narrow"/>
          <w:sz w:val="20"/>
          <w:lang w:val="sk-SK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2246"/>
        <w:gridCol w:w="1842"/>
        <w:gridCol w:w="1557"/>
        <w:gridCol w:w="994"/>
        <w:gridCol w:w="707"/>
        <w:gridCol w:w="2"/>
        <w:gridCol w:w="424"/>
        <w:gridCol w:w="708"/>
        <w:gridCol w:w="450"/>
      </w:tblGrid>
      <w:tr>
        <w:trPr>
          <w:trHeight w:val="340" w:hRule="exact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6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left="528" w:right="0" w:hanging="0"/>
              <w:jc w:val="both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X</w:t>
            </w:r>
          </w:p>
        </w:tc>
      </w:tr>
      <w:tr>
        <w:trPr>
          <w:trHeight w:val="388" w:hRule="atLeast"/>
        </w:trPr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Dôvod uplatnenia</w:t>
            </w:r>
          </w:p>
        </w:tc>
        <w:tc>
          <w:tcPr>
            <w:tcW w:w="48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Vplyv (+/-) zmeny na:</w:t>
            </w:r>
          </w:p>
        </w:tc>
      </w:tr>
      <w:tr>
        <w:trPr>
          <w:trHeight w:val="301" w:hRule="atLeast"/>
        </w:trPr>
        <w:tc>
          <w:tcPr>
            <w:tcW w:w="269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Vlastné imanie</w:t>
            </w:r>
          </w:p>
        </w:tc>
        <w:tc>
          <w:tcPr>
            <w:tcW w:w="1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Výsledok hospodárenia</w:t>
            </w:r>
          </w:p>
        </w:tc>
      </w:tr>
      <w:tr>
        <w:trPr>
          <w:trHeight w:val="340" w:hRule="atLeast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</w:tbl>
    <w:p>
      <w:pPr>
        <w:pStyle w:val="Odsekzoznamu"/>
        <w:rPr>
          <w:rFonts w:ascii="Arial;Arial Narrow" w:hAnsi="Arial;Arial Narrow" w:cs="Arial;Arial Narrow"/>
          <w:sz w:val="20"/>
          <w:lang w:val="sk-SK"/>
        </w:rPr>
      </w:pPr>
      <w:r>
        <w:rPr>
          <w:rFonts w:cs="Arial;Arial Narrow" w:ascii="Arial;Arial Narrow" w:hAnsi="Arial;Arial Narrow"/>
          <w:sz w:val="20"/>
          <w:lang w:val="sk-SK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423"/>
        <w:gridCol w:w="5672"/>
        <w:gridCol w:w="1701"/>
        <w:gridCol w:w="1579"/>
      </w:tblGrid>
      <w:tr>
        <w:trPr>
          <w:trHeight w:val="278" w:hRule="atLeast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center"/>
              <w:rPr>
                <w:rFonts w:ascii="Arial;Arial Narrow" w:hAnsi="Arial;Arial Narrow" w:cs="Arial;Arial Narrow"/>
                <w:bCs/>
                <w:kern w:val="2"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Cs/>
                <w:kern w:val="2"/>
                <w:szCs w:val="22"/>
                <w:lang w:eastAsia="sk-SK"/>
              </w:rPr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39" w:right="0" w:hanging="0"/>
              <w:rPr>
                <w:rFonts w:ascii="Arial;Arial Narrow" w:hAnsi="Arial;Arial Narrow" w:cs="Arial;Arial Narrow"/>
                <w:b/>
                <w:b/>
                <w:sz w:val="20"/>
                <w:lang w:val="sk-SK" w:eastAsia="sk-SK"/>
              </w:rPr>
            </w:pPr>
            <w:r>
              <w:rPr>
                <w:rFonts w:cs="Arial;Arial Narrow" w:ascii="Arial;Arial Narrow" w:hAnsi="Arial;Arial Narrow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snapToGrid w:val="false"/>
              <w:ind w:left="0" w:right="0" w:hanging="0"/>
              <w:rPr>
                <w:rFonts w:ascii="Arial;Arial Narrow" w:hAnsi="Arial;Arial Narrow" w:cs="Arial;Arial Narrow"/>
                <w:b/>
                <w:b/>
                <w:bCs/>
                <w:kern w:val="2"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kern w:val="2"/>
                <w:szCs w:val="22"/>
                <w:lang w:eastAsia="sk-SK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jc w:val="center"/>
              <w:rPr>
                <w:rFonts w:ascii="Arial;Arial Narrow" w:hAnsi="Arial;Arial Narrow" w:cs="Arial;Arial Narrow"/>
                <w:sz w:val="20"/>
                <w:lang w:val="sk-SK" w:eastAsia="sk-SK"/>
              </w:rPr>
            </w:pPr>
            <w:r>
              <w:rPr>
                <w:rFonts w:cs="Arial;Arial Narrow" w:ascii="Arial;Arial Narrow" w:hAnsi="Arial;Arial Narrow"/>
                <w:sz w:val="20"/>
                <w:lang w:val="sk-SK" w:eastAsia="sk-SK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bCs/>
                <w:kern w:val="2"/>
                <w:sz w:val="20"/>
                <w:szCs w:val="22"/>
                <w:lang w:val="sk-SK" w:eastAsia="sk-SK"/>
              </w:rPr>
            </w:pPr>
            <w:r>
              <w:rPr>
                <w:rFonts w:cs="Arial;Arial Narrow" w:ascii="Arial;Arial Narrow" w:hAnsi="Arial;Arial Narrow"/>
                <w:bCs/>
                <w:kern w:val="2"/>
                <w:sz w:val="20"/>
                <w:szCs w:val="22"/>
                <w:lang w:val="sk-SK" w:eastAsia="sk-SK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bCs/>
                <w:kern w:val="2"/>
                <w:sz w:val="20"/>
                <w:szCs w:val="22"/>
                <w:lang w:val="sk-SK" w:eastAsia="sk-SK"/>
              </w:rPr>
            </w:pPr>
            <w:r>
              <w:rPr>
                <w:rFonts w:cs="Arial;Arial Narrow" w:ascii="Arial;Arial Narrow" w:hAnsi="Arial;Arial Narrow"/>
                <w:bCs/>
                <w:kern w:val="2"/>
                <w:sz w:val="20"/>
                <w:szCs w:val="22"/>
                <w:lang w:val="sk-SK" w:eastAsia="sk-SK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ind w:left="709" w:right="0" w:hanging="0"/>
        <w:jc w:val="both"/>
        <w:rPr>
          <w:rFonts w:ascii="Arial;Arial Narrow" w:hAnsi="Arial;Arial Narrow" w:cs="Arial;Arial Narrow"/>
          <w:sz w:val="18"/>
          <w:szCs w:val="22"/>
        </w:rPr>
      </w:pPr>
      <w:r>
        <w:rPr>
          <w:rFonts w:cs="Arial;Arial Narrow" w:ascii="Arial;Arial Narrow" w:hAnsi="Arial;Arial Narrow"/>
          <w:sz w:val="18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423"/>
        <w:gridCol w:w="2822"/>
        <w:gridCol w:w="983"/>
        <w:gridCol w:w="830"/>
        <w:gridCol w:w="2022"/>
        <w:gridCol w:w="2296"/>
      </w:tblGrid>
      <w:tr>
        <w:trPr>
          <w:trHeight w:val="503" w:hRule="atLeast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numPr>
                <w:ilvl w:val="0"/>
                <w:numId w:val="10"/>
              </w:numPr>
              <w:snapToGrid w:val="false"/>
              <w:spacing w:before="0" w:after="0"/>
              <w:ind w:left="357" w:right="0" w:hanging="357"/>
              <w:contextualSpacing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89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>
        <w:trPr/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Opravy minulého obdobia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Patrí do obdobia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Účet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Účtované na účet HV min. období (EUR)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Účtované do HV bežného  obdobia(EUR)</w:t>
            </w:r>
          </w:p>
        </w:tc>
      </w:tr>
      <w:tr>
        <w:trPr>
          <w:trHeight w:val="340" w:hRule="atLeast"/>
        </w:trPr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</w:tbl>
    <w:p>
      <w:pPr>
        <w:pStyle w:val="Normal"/>
        <w:ind w:left="360" w:right="0" w:hanging="0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ind w:left="360" w:right="0" w:hanging="0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numPr>
          <w:ilvl w:val="0"/>
          <w:numId w:val="6"/>
        </w:numPr>
        <w:shd w:val="clear" w:fill="E6E6E6"/>
        <w:ind w:left="709" w:right="0" w:hanging="709"/>
        <w:jc w:val="center"/>
        <w:rPr>
          <w:i/>
          <w:i/>
          <w:szCs w:val="20"/>
        </w:rPr>
      </w:pPr>
      <w:r>
        <w:rPr>
          <w:i/>
          <w:szCs w:val="20"/>
        </w:rPr>
        <w:t>Informácie, ktoré vysvetľujú a dopĺňajú súvahu a výkaz ziskov a strát</w:t>
      </w:r>
    </w:p>
    <w:p>
      <w:pPr>
        <w:pStyle w:val="Normal"/>
        <w:ind w:left="1481" w:right="0" w:hanging="0"/>
        <w:jc w:val="both"/>
        <w:rPr>
          <w:rFonts w:ascii="Arial;Arial Narrow" w:hAnsi="Arial;Arial Narrow" w:cs="Arial;Arial Narrow"/>
          <w:i/>
          <w:i/>
          <w:sz w:val="20"/>
          <w:szCs w:val="20"/>
        </w:rPr>
      </w:pPr>
      <w:r>
        <w:rPr>
          <w:rFonts w:cs="Arial;Arial Narrow" w:ascii="Arial;Arial Narrow" w:hAnsi="Arial;Arial Narrow"/>
          <w:i/>
          <w:sz w:val="20"/>
          <w:szCs w:val="20"/>
        </w:rPr>
      </w:r>
    </w:p>
    <w:p>
      <w:pPr>
        <w:pStyle w:val="Normal"/>
        <w:ind w:left="1481" w:right="0" w:hanging="0"/>
        <w:jc w:val="both"/>
        <w:rPr>
          <w:rFonts w:ascii="Arial;Arial Narrow" w:hAnsi="Arial;Arial Narrow" w:cs="Arial;Arial Narrow"/>
          <w:i/>
          <w:i/>
          <w:sz w:val="20"/>
          <w:szCs w:val="20"/>
        </w:rPr>
      </w:pPr>
      <w:r>
        <w:rPr>
          <w:rFonts w:cs="Arial;Arial Narrow" w:ascii="Arial;Arial Narrow" w:hAnsi="Arial;Arial Narrow"/>
          <w:i/>
          <w:sz w:val="20"/>
          <w:szCs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4"/>
        <w:gridCol w:w="3969"/>
        <w:gridCol w:w="3116"/>
        <w:gridCol w:w="1727"/>
      </w:tblGrid>
      <w:tr>
        <w:trPr>
          <w:trHeight w:val="751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5"/>
              </w:numPr>
              <w:snapToGrid w:val="false"/>
              <w:ind w:left="709" w:right="0" w:hanging="567"/>
              <w:jc w:val="both"/>
              <w:rPr>
                <w:rFonts w:ascii="Arial;Arial Narrow" w:hAnsi="Arial;Arial Narrow" w:cs="Arial;Arial Narrow"/>
                <w:b/>
                <w:b/>
                <w:bCs/>
                <w:szCs w:val="22"/>
              </w:rPr>
            </w:pPr>
            <w:r>
              <w:rPr>
                <w:rFonts w:cs="Arial;Arial Narrow" w:ascii="Arial;Arial Narrow" w:hAnsi="Arial;Arial Narrow"/>
                <w:b/>
                <w:bCs/>
                <w:szCs w:val="22"/>
              </w:rPr>
            </w:r>
          </w:p>
          <w:p>
            <w:pPr>
              <w:pStyle w:val="Odsekzoznamu"/>
              <w:ind w:left="1277" w:right="0" w:hanging="0"/>
              <w:jc w:val="both"/>
              <w:rPr>
                <w:rFonts w:ascii="Arial;Arial Narrow" w:hAnsi="Arial;Arial Narrow" w:cs="Arial;Arial Narrow"/>
                <w:b/>
                <w:b/>
                <w:bCs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Cs w:val="22"/>
                <w:lang w:eastAsia="sk-SK"/>
              </w:rPr>
            </w:r>
          </w:p>
          <w:p>
            <w:pPr>
              <w:pStyle w:val="Odsekzoznamu"/>
              <w:ind w:left="1277" w:right="0" w:hanging="0"/>
              <w:jc w:val="both"/>
              <w:rPr>
                <w:rFonts w:ascii="Arial;Arial Narrow" w:hAnsi="Arial;Arial Narrow" w:cs="Arial;Arial Narrow"/>
                <w:b/>
                <w:b/>
                <w:bCs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Cs w:val="22"/>
                <w:lang w:eastAsia="sk-SK"/>
              </w:rPr>
            </w:r>
          </w:p>
        </w:tc>
        <w:tc>
          <w:tcPr>
            <w:tcW w:w="8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Informácia o sume a dôvodoch vzniku jednotlivých položiek nákladov alebo výnosov, ktoré majú výnimočný rozsah</w:t>
            </w:r>
            <w:r>
              <w:rPr>
                <w:rFonts w:cs="Arial;Arial Narrow" w:ascii="Arial;Arial Narrow" w:hAnsi="Arial;Arial Narrow"/>
                <w:i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/>
                <w:sz w:val="20"/>
              </w:rPr>
              <w:t>alebo výskyt</w:t>
            </w:r>
            <w:r>
              <w:rPr>
                <w:rFonts w:cs="Arial;Arial Narrow" w:ascii="Arial;Arial Narrow" w:hAnsi="Arial;Arial Narrow"/>
                <w:i/>
                <w:sz w:val="20"/>
              </w:rPr>
              <w:t xml:space="preserve">, </w:t>
            </w:r>
            <w:r>
              <w:rPr>
                <w:rFonts w:cs="Arial;Arial Narrow" w:ascii="Arial;Arial Narrow" w:hAnsi="Arial;Arial Narrow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>
        <w:trPr>
          <w:trHeight w:val="340" w:hRule="atLeast"/>
        </w:trPr>
        <w:tc>
          <w:tcPr>
            <w:tcW w:w="4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  <w:t>Popis nákladov ,výnosov výnimočného rozsahu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  <w:t>Dôvod vzniku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4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</w:tr>
      <w:tr>
        <w:trPr>
          <w:trHeight w:val="340" w:hRule="atLeast"/>
        </w:trPr>
        <w:tc>
          <w:tcPr>
            <w:tcW w:w="4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</w:tr>
    </w:tbl>
    <w:p>
      <w:pPr>
        <w:pStyle w:val="Normal"/>
        <w:ind w:left="1134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ind w:left="1134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4"/>
        <w:gridCol w:w="3828"/>
        <w:gridCol w:w="3257"/>
        <w:gridCol w:w="2"/>
        <w:gridCol w:w="1"/>
        <w:gridCol w:w="1724"/>
      </w:tblGrid>
      <w:tr>
        <w:trPr>
          <w:trHeight w:val="25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5"/>
              </w:numPr>
              <w:snapToGrid w:val="false"/>
              <w:ind w:left="709" w:right="0" w:hanging="567"/>
              <w:jc w:val="both"/>
              <w:rPr>
                <w:rFonts w:ascii="Arial;Arial Narrow" w:hAnsi="Arial;Arial Narrow" w:cs="Arial;Arial Narrow"/>
                <w:b/>
                <w:b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bCs/>
                <w:sz w:val="20"/>
                <w:szCs w:val="20"/>
              </w:rPr>
            </w:r>
          </w:p>
        </w:tc>
        <w:tc>
          <w:tcPr>
            <w:tcW w:w="7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jc w:val="center"/>
              <w:rPr>
                <w:rFonts w:ascii="Arial;Arial Narrow" w:hAnsi="Arial;Arial Narrow" w:cs="Arial;Arial Narrow"/>
                <w:b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569" w:hRule="atLeast"/>
        </w:trPr>
        <w:tc>
          <w:tcPr>
            <w:tcW w:w="76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numPr>
                <w:ilvl w:val="0"/>
                <w:numId w:val="4"/>
              </w:numPr>
              <w:rPr>
                <w:rFonts w:ascii="Arial;Arial Narrow" w:hAnsi="Arial;Arial Narrow" w:cs="Arial;Arial Narrow"/>
                <w:bCs/>
                <w:color w:val="000000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93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numPr>
                <w:ilvl w:val="0"/>
                <w:numId w:val="4"/>
              </w:numPr>
              <w:jc w:val="both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>
        <w:trPr>
          <w:trHeight w:val="340" w:hRule="atLeast"/>
        </w:trPr>
        <w:tc>
          <w:tcPr>
            <w:tcW w:w="76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Spôsob zabezpečenia: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  <w:t>Záložné právo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</w:r>
          </w:p>
        </w:tc>
      </w:tr>
    </w:tbl>
    <w:p>
      <w:pPr>
        <w:pStyle w:val="Normal"/>
        <w:ind w:left="1134" w:right="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numPr>
          <w:ilvl w:val="0"/>
          <w:numId w:val="5"/>
        </w:numPr>
        <w:ind w:left="709" w:right="0" w:hanging="567"/>
        <w:jc w:val="both"/>
        <w:rPr>
          <w:rFonts w:ascii="Arial;Arial Narrow" w:hAnsi="Arial;Arial Narrow" w:cs="Arial;Arial Narrow"/>
          <w:b/>
          <w:b/>
          <w:bCs/>
          <w:kern w:val="2"/>
          <w:sz w:val="20"/>
          <w:lang w:eastAsia="en-US"/>
        </w:rPr>
      </w:pPr>
      <w:r>
        <w:rPr>
          <w:rFonts w:cs="Arial;Arial Narrow" w:ascii="Arial;Arial Narrow" w:hAnsi="Arial;Arial Narrow"/>
          <w:b/>
          <w:bCs/>
          <w:kern w:val="2"/>
          <w:sz w:val="20"/>
          <w:lang w:eastAsia="en-US"/>
        </w:rPr>
        <w:t>Informácie o vlastných akciách</w:t>
      </w:r>
    </w:p>
    <w:p>
      <w:pPr>
        <w:pStyle w:val="Normal"/>
        <w:numPr>
          <w:ilvl w:val="0"/>
          <w:numId w:val="9"/>
        </w:numPr>
        <w:ind w:left="1276" w:right="0" w:hanging="567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dôvod nadobudnutia vlastných akcií počas účtovného obdobia,</w:t>
      </w:r>
    </w:p>
    <w:p>
      <w:pPr>
        <w:pStyle w:val="Normal"/>
        <w:numPr>
          <w:ilvl w:val="0"/>
          <w:numId w:val="9"/>
        </w:numPr>
        <w:ind w:left="1276" w:right="0" w:hanging="567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informácie</w:t>
      </w:r>
    </w:p>
    <w:p>
      <w:pPr>
        <w:pStyle w:val="Normal"/>
        <w:numPr>
          <w:ilvl w:val="0"/>
          <w:numId w:val="8"/>
        </w:numPr>
        <w:tabs>
          <w:tab w:val="clear" w:pos="709"/>
          <w:tab w:val="left" w:pos="851" w:leader="none"/>
        </w:tabs>
        <w:ind w:left="1701" w:right="0" w:hanging="425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851" w:leader="none"/>
        </w:tabs>
        <w:ind w:left="1701" w:right="0" w:hanging="425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>
      <w:pPr>
        <w:pStyle w:val="Normal"/>
        <w:numPr>
          <w:ilvl w:val="0"/>
          <w:numId w:val="9"/>
        </w:numPr>
        <w:ind w:left="1276" w:right="0" w:hanging="567"/>
        <w:jc w:val="both"/>
        <w:rPr/>
      </w:pPr>
      <w:r>
        <w:rPr>
          <w:rFonts w:cs="Arial;Arial Narrow" w:ascii="Arial;Arial Narrow" w:hAnsi="Arial;Arial Narrow"/>
          <w:i/>
          <w:sz w:val="18"/>
        </w:rPr>
        <w:t xml:space="preserve">počet, menovitá hodnota a hodnota, za ktorú sa vlastné akcie nadobudli a ktoré účtovná jednotka má v držbe k poslednému dňu účtovného obdobia; </w:t>
      </w:r>
      <w:r>
        <w:rPr>
          <w:rFonts w:cs="Arial;Arial Narrow" w:ascii="Arial;Arial Narrow" w:hAnsi="Arial;Arial Narrow"/>
          <w:bCs/>
          <w:i/>
          <w:kern w:val="2"/>
          <w:sz w:val="18"/>
          <w:lang w:eastAsia="en-US"/>
        </w:rPr>
        <w:t>uvádza  sa aj ich percentuálny podiel na upísanom základnom imaní</w:t>
      </w:r>
      <w:r>
        <w:rPr>
          <w:rFonts w:cs="Arial;Arial Narrow" w:ascii="Arial;Arial Narrow" w:hAnsi="Arial;Arial Narrow"/>
          <w:bCs/>
          <w:i/>
          <w:kern w:val="2"/>
          <w:sz w:val="20"/>
          <w:lang w:eastAsia="en-US"/>
        </w:rPr>
        <w:t>.</w:t>
      </w:r>
    </w:p>
    <w:p>
      <w:pPr>
        <w:pStyle w:val="Normal"/>
        <w:ind w:left="1276" w:right="0" w:hanging="0"/>
        <w:jc w:val="both"/>
        <w:rPr>
          <w:rFonts w:ascii="Arial;Arial Narrow" w:hAnsi="Arial;Arial Narrow" w:cs="Arial;Arial Narrow"/>
          <w:bCs/>
          <w:i/>
          <w:i/>
          <w:kern w:val="2"/>
          <w:sz w:val="20"/>
          <w:lang w:eastAsia="en-US"/>
        </w:rPr>
      </w:pPr>
      <w:r>
        <w:rPr>
          <w:rFonts w:cs="Arial;Arial Narrow" w:ascii="Arial;Arial Narrow" w:hAnsi="Arial;Arial Narrow"/>
          <w:bCs/>
          <w:i/>
          <w:kern w:val="2"/>
          <w:sz w:val="20"/>
          <w:lang w:eastAsia="en-US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5658"/>
        <w:gridCol w:w="993"/>
        <w:gridCol w:w="423"/>
        <w:gridCol w:w="1274"/>
        <w:gridCol w:w="452"/>
      </w:tblGrid>
      <w:tr>
        <w:trPr>
          <w:trHeight w:val="522" w:hRule="exact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numPr>
                <w:ilvl w:val="0"/>
                <w:numId w:val="5"/>
              </w:numPr>
              <w:snapToGrid w:val="false"/>
              <w:ind w:left="709" w:right="0" w:hanging="567"/>
              <w:jc w:val="both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  <w:tc>
          <w:tcPr>
            <w:tcW w:w="5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vytvorila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nevytvorila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/>
            </w:r>
          </w:p>
        </w:tc>
      </w:tr>
    </w:tbl>
    <w:p>
      <w:pPr>
        <w:pStyle w:val="Normal"/>
        <w:rPr>
          <w:rFonts w:ascii="Arial;Arial Narrow" w:hAnsi="Arial;Arial Narrow" w:cs="Arial;Arial Narrow"/>
          <w:bCs/>
          <w:i/>
          <w:i/>
          <w:sz w:val="14"/>
          <w:szCs w:val="22"/>
        </w:rPr>
      </w:pPr>
      <w:r>
        <w:rPr>
          <w:rFonts w:cs="Arial;Arial Narrow" w:ascii="Arial;Arial Narrow" w:hAnsi="Arial;Arial Narrow"/>
          <w:bCs/>
          <w:i/>
          <w:sz w:val="14"/>
          <w:szCs w:val="22"/>
        </w:rPr>
      </w:r>
    </w:p>
    <w:p>
      <w:pPr>
        <w:pStyle w:val="Normal"/>
        <w:rPr>
          <w:rFonts w:ascii="Arial;Arial Narrow" w:hAnsi="Arial;Arial Narrow" w:cs="Arial;Arial Narrow"/>
          <w:bCs/>
          <w:i/>
          <w:i/>
          <w:sz w:val="14"/>
          <w:szCs w:val="22"/>
        </w:rPr>
      </w:pPr>
      <w:r>
        <w:rPr>
          <w:rFonts w:cs="Arial;Arial Narrow" w:ascii="Arial;Arial Narrow" w:hAnsi="Arial;Arial Narrow"/>
          <w:bCs/>
          <w:i/>
          <w:sz w:val="14"/>
          <w:szCs w:val="22"/>
        </w:rPr>
      </w:r>
    </w:p>
    <w:tbl>
      <w:tblPr>
        <w:tblW w:w="9376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4"/>
        <w:gridCol w:w="5220"/>
        <w:gridCol w:w="1955"/>
        <w:gridCol w:w="1637"/>
      </w:tblGrid>
      <w:tr>
        <w:trPr>
          <w:trHeight w:val="258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5"/>
              </w:numPr>
              <w:snapToGrid w:val="false"/>
              <w:ind w:left="709" w:right="0" w:hanging="567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8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Informácie o orgánoch účtovnej jednotky</w:t>
            </w:r>
          </w:p>
        </w:tc>
      </w:tr>
      <w:tr>
        <w:trPr>
          <w:trHeight w:val="283" w:hRule="atLeast"/>
        </w:trPr>
        <w:tc>
          <w:tcPr>
            <w:tcW w:w="9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a)výška jednotlivých druhov záruk alebo iných zabezpečení pre členov štatutárneho orgánu, dozorného orgánu a iného orgánu ÚJ</w:t>
            </w:r>
          </w:p>
        </w:tc>
      </w:tr>
      <w:tr>
        <w:trPr>
          <w:trHeight w:val="340" w:hRule="atLeast"/>
        </w:trPr>
        <w:tc>
          <w:tcPr>
            <w:tcW w:w="5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Druh záruky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Štatutárny orgán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5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rPr>
          <w:rFonts w:ascii="Arial;Arial Narrow" w:hAnsi="Arial;Arial Narrow" w:cs="Arial;Arial Narrow"/>
        </w:rPr>
      </w:pPr>
      <w:r>
        <w:rPr>
          <w:rFonts w:cs="Arial;Arial Narrow" w:ascii="Arial;Arial Narrow" w:hAnsi="Arial;Arial Narrow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4"/>
        <w:gridCol w:w="1537"/>
        <w:gridCol w:w="756"/>
        <w:gridCol w:w="1298"/>
      </w:tblGrid>
      <w:tr>
        <w:trPr>
          <w:trHeight w:val="340" w:hRule="atLeast"/>
        </w:trPr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b)pôžičky poskytnuté členom štatutárneho orgánu, dozorného orgánu a iného orgánu ÚJ</w:t>
            </w:r>
          </w:p>
        </w:tc>
      </w:tr>
      <w:tr>
        <w:trPr>
          <w:trHeight w:val="283" w:hRule="atLeast"/>
        </w:trPr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Celková suma poskytnutých pôžičiek k poslednému dňu účtovného obdobia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Štatutárny orgán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Úrok v %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EUR</w:t>
            </w:r>
          </w:p>
          <w:p>
            <w:pPr>
              <w:pStyle w:val="Normal"/>
              <w:tabs>
                <w:tab w:val="clear" w:pos="709"/>
                <w:tab w:val="left" w:pos="851" w:leader="none"/>
              </w:tabs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Celková suma splatených pôžičiek k poslednému dňu účt. obdobia</w:t>
            </w:r>
          </w:p>
        </w:tc>
      </w:tr>
      <w:tr>
        <w:trPr>
          <w:trHeight w:val="340" w:hRule="atLeast"/>
        </w:trPr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>
        <w:trPr>
          <w:trHeight w:val="340" w:hRule="atLeast"/>
        </w:trPr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rPr>
          <w:rFonts w:ascii="Arial;Arial Narrow" w:hAnsi="Arial;Arial Narrow" w:cs="Arial;Arial Narrow"/>
        </w:rPr>
      </w:pPr>
      <w:r>
        <w:rPr>
          <w:rFonts w:cs="Arial;Arial Narrow" w:ascii="Arial;Arial Narrow" w:hAnsi="Arial;Arial Narrow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4"/>
        <w:gridCol w:w="1956"/>
        <w:gridCol w:w="1636"/>
      </w:tblGrid>
      <w:tr>
        <w:trPr>
          <w:trHeight w:val="283" w:hRule="atLeast"/>
        </w:trPr>
        <w:tc>
          <w:tcPr>
            <w:tcW w:w="9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c)celková suma použitých finančných prostriedkov alebo iného plnenia na súkromné účely členmi štatutárneho orgánu, dozorného orgánu a iného orgánu ÚJ, ktoré je potrebné vyúčtovať</w:t>
            </w:r>
          </w:p>
        </w:tc>
      </w:tr>
      <w:tr>
        <w:trPr>
          <w:trHeight w:val="340" w:hRule="atLeast"/>
        </w:trPr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Štatutárny orgán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6520"/>
        <w:gridCol w:w="424"/>
        <w:gridCol w:w="1726"/>
      </w:tblGrid>
      <w:tr>
        <w:trPr>
          <w:trHeight w:val="340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numPr>
                <w:ilvl w:val="0"/>
                <w:numId w:val="5"/>
              </w:numPr>
              <w:snapToGrid w:val="false"/>
              <w:ind w:left="709" w:right="0" w:hanging="567"/>
              <w:jc w:val="both"/>
              <w:rPr>
                <w:rFonts w:ascii="Arial;Arial Narrow" w:hAnsi="Arial;Arial Narrow" w:cs="Arial;Arial Narrow"/>
                <w:bCs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/>
              </w:rPr>
            </w:r>
          </w:p>
        </w:tc>
        <w:tc>
          <w:tcPr>
            <w:tcW w:w="8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1480" w:right="0" w:hanging="0"/>
              <w:jc w:val="both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Informácie o povinnostiach účtovnej jednotky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numPr>
                <w:ilvl w:val="0"/>
                <w:numId w:val="7"/>
              </w:numPr>
              <w:snapToGrid w:val="false"/>
              <w:spacing w:before="0" w:after="0"/>
              <w:ind w:left="641" w:right="0" w:hanging="284"/>
              <w:contextualSpacing/>
              <w:jc w:val="both"/>
              <w:rPr>
                <w:rFonts w:ascii="Arial;Arial Narrow" w:hAnsi="Arial;Arial Narrow" w:cs="Arial;Arial Narrow"/>
                <w:b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 w:val="20"/>
                <w:szCs w:val="20"/>
                <w:lang w:eastAsia="sk-SK"/>
              </w:rPr>
            </w:r>
          </w:p>
        </w:tc>
        <w:tc>
          <w:tcPr>
            <w:tcW w:w="8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Odsekzoznamu"/>
              <w:ind w:left="0" w:right="0" w:hanging="0"/>
              <w:jc w:val="both"/>
              <w:rPr/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>Významné položky finančných povinností, ktoré sa nevykazujú v 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>súvahe, ale sú významné na posúdenie finančnej situácie ÚJ</w:t>
            </w:r>
          </w:p>
        </w:tc>
      </w:tr>
      <w:tr>
        <w:trPr>
          <w:trHeight w:val="340" w:hRule="atLeast"/>
        </w:trPr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Celková suma finančných povinností ktoré sa nevykazujú v súvahe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</w:tr>
      <w:tr>
        <w:trPr>
          <w:trHeight w:val="340" w:hRule="atLeast"/>
        </w:trPr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</w:tr>
      <w:tr>
        <w:trPr>
          <w:trHeight w:val="340" w:hRule="atLeast"/>
        </w:trPr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ind w:left="0" w:right="0" w:hanging="0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6534"/>
        <w:gridCol w:w="420"/>
        <w:gridCol w:w="2"/>
        <w:gridCol w:w="1714"/>
      </w:tblGrid>
      <w:tr>
        <w:trPr>
          <w:trHeight w:val="340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numPr>
                <w:ilvl w:val="0"/>
                <w:numId w:val="7"/>
              </w:numPr>
              <w:snapToGrid w:val="false"/>
              <w:spacing w:before="0" w:after="0"/>
              <w:ind w:left="641" w:right="0" w:hanging="284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0"/>
              </w:rPr>
            </w:r>
          </w:p>
        </w:tc>
        <w:tc>
          <w:tcPr>
            <w:tcW w:w="6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numPr>
                <w:ilvl w:val="0"/>
                <w:numId w:val="7"/>
              </w:numPr>
              <w:snapToGrid w:val="false"/>
              <w:spacing w:before="0" w:after="0"/>
              <w:ind w:left="641" w:right="0" w:hanging="284"/>
              <w:contextualSpacing/>
              <w:jc w:val="both"/>
              <w:rPr>
                <w:rFonts w:ascii="Arial;Arial Narrow" w:hAnsi="Arial;Arial Narrow" w:cs="Arial;Arial Narrow"/>
                <w:b w:val="false"/>
                <w:b w:val="false"/>
                <w:bCs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b w:val="false"/>
                <w:bCs/>
                <w:sz w:val="20"/>
                <w:szCs w:val="20"/>
                <w:lang w:val="sk-SK"/>
              </w:rPr>
            </w:r>
          </w:p>
        </w:tc>
        <w:tc>
          <w:tcPr>
            <w:tcW w:w="6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rPr/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>O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 xml:space="preserve">pis a hodnota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 xml:space="preserve">významných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Poskytnuté záruky za úver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Ručenie za ...............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Neobmedzené ručenie v inej spoločnosti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ÚJ predala pohľadávky a ručí za ich vymožiteľnosť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Iné</w:t>
            </w:r>
          </w:p>
        </w:tc>
        <w:tc>
          <w:tcPr>
            <w:tcW w:w="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Odsekzoznamu"/>
        <w:spacing w:before="0" w:after="0"/>
        <w:ind w:left="641" w:right="0" w:hanging="0"/>
        <w:contextualSpacing/>
        <w:jc w:val="both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</w:r>
    </w:p>
    <w:tbl>
      <w:tblPr>
        <w:tblW w:w="93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6508"/>
        <w:gridCol w:w="2"/>
        <w:gridCol w:w="421"/>
        <w:gridCol w:w="3"/>
        <w:gridCol w:w="1724"/>
      </w:tblGrid>
      <w:tr>
        <w:trPr>
          <w:trHeight w:val="340" w:hRule="atLeast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numPr>
                <w:ilvl w:val="0"/>
                <w:numId w:val="7"/>
              </w:numPr>
              <w:snapToGrid w:val="false"/>
              <w:spacing w:before="0" w:after="0"/>
              <w:ind w:left="641" w:right="0" w:hanging="284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0"/>
              </w:rPr>
            </w:r>
          </w:p>
        </w:tc>
        <w:tc>
          <w:tcPr>
            <w:tcW w:w="6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spacing w:before="0" w:after="0"/>
              <w:ind w:left="-119" w:right="0" w:hanging="0"/>
              <w:contextualSpacing/>
              <w:jc w:val="both"/>
              <w:rPr/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>ÚJ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 xml:space="preserve"> a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 xml:space="preserve"> ÚJ s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snapToGrid w:val="false"/>
              <w:rPr>
                <w:rFonts w:ascii="Arial;Arial Narrow" w:hAnsi="Arial;Arial Narrow" w:cs="Arial;Arial Narrow"/>
                <w:b/>
                <w:b/>
                <w:i/>
                <w:i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b/>
                <w:i/>
                <w:sz w:val="20"/>
                <w:szCs w:val="20"/>
                <w:lang w:val="sk-SK"/>
              </w:rPr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</w:tbl>
    <w:p>
      <w:pPr>
        <w:pStyle w:val="Odsekzoznamu"/>
        <w:spacing w:before="0" w:after="0"/>
        <w:contextualSpacing/>
        <w:jc w:val="both"/>
        <w:rPr>
          <w:rFonts w:ascii="Arial;Arial Narrow" w:hAnsi="Arial;Arial Narrow" w:cs="Arial;Arial Narrow"/>
          <w:i/>
          <w:i/>
          <w:sz w:val="20"/>
          <w:lang w:val="sk-SK"/>
        </w:rPr>
      </w:pPr>
      <w:r>
        <w:rPr>
          <w:rFonts w:cs="Arial;Arial Narrow" w:ascii="Arial;Arial Narrow" w:hAnsi="Arial;Arial Narrow"/>
          <w:i/>
          <w:sz w:val="20"/>
          <w:lang w:val="sk-SK"/>
        </w:rPr>
      </w:r>
    </w:p>
    <w:p>
      <w:pPr>
        <w:pStyle w:val="Odsekzoznamu"/>
        <w:spacing w:before="0" w:after="0"/>
        <w:contextualSpacing/>
        <w:jc w:val="both"/>
        <w:rPr>
          <w:rFonts w:ascii="Arial;Arial Narrow" w:hAnsi="Arial;Arial Narrow" w:cs="Arial;Arial Narrow"/>
          <w:i/>
          <w:i/>
          <w:sz w:val="20"/>
          <w:lang w:val="sk-SK"/>
        </w:rPr>
      </w:pPr>
      <w:r>
        <w:rPr>
          <w:rFonts w:cs="Arial;Arial Narrow" w:ascii="Arial;Arial Narrow" w:hAnsi="Arial;Arial Narrow"/>
          <w:i/>
          <w:sz w:val="20"/>
          <w:lang w:val="sk-SK"/>
        </w:rPr>
      </w:r>
    </w:p>
    <w:p>
      <w:pPr>
        <w:pStyle w:val="Odsekzoznamu"/>
        <w:numPr>
          <w:ilvl w:val="0"/>
          <w:numId w:val="7"/>
        </w:numPr>
        <w:spacing w:before="0" w:after="0"/>
        <w:ind w:left="641" w:right="0" w:hanging="284"/>
        <w:contextualSpacing/>
        <w:jc w:val="both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  <w:t>opise významných povinností účtovnej jednotky vyplývajúcich z dôchodkových programov pre zamestnancov.</w:t>
      </w:r>
    </w:p>
    <w:p>
      <w:pPr>
        <w:pStyle w:val="Normal"/>
        <w:jc w:val="both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</w:r>
    </w:p>
    <w:p>
      <w:pPr>
        <w:pStyle w:val="Normal"/>
        <w:numPr>
          <w:ilvl w:val="0"/>
          <w:numId w:val="5"/>
        </w:numPr>
        <w:ind w:left="709" w:right="0" w:hanging="567"/>
        <w:jc w:val="both"/>
        <w:rPr>
          <w:rFonts w:ascii="Arial;Arial Narrow" w:hAnsi="Arial;Arial Narrow" w:cs="Arial;Arial Narrow"/>
          <w:sz w:val="20"/>
        </w:rPr>
      </w:pPr>
      <w:bookmarkStart w:id="0" w:name="OLE_LINK1"/>
      <w:r>
        <w:rPr>
          <w:rFonts w:cs="Arial;Arial Narrow" w:ascii="Arial;Arial Narrow" w:hAnsi="Arial;Arial Narrow"/>
          <w:sz w:val="20"/>
        </w:rPr>
        <w:t>Informácie o udelení výlučného práva alebo osobitného práva, ktorým sa udelilo právo poskytovať služby vo verejnom záujme</w:t>
      </w:r>
      <w:bookmarkEnd w:id="0"/>
    </w:p>
    <w:p>
      <w:pPr>
        <w:pStyle w:val="Normal"/>
        <w:jc w:val="right"/>
        <w:rPr>
          <w:rFonts w:ascii="Arial;Arial Narrow" w:hAnsi="Arial;Arial Narrow" w:cs="Arial;Arial Narrow"/>
          <w:b/>
          <w:b/>
          <w:sz w:val="20"/>
        </w:rPr>
      </w:pPr>
      <w:r>
        <w:rPr>
          <w:rFonts w:cs="Arial;Arial Narrow" w:ascii="Arial;Arial Narrow" w:hAnsi="Arial;Arial Narrow"/>
          <w:b/>
          <w:sz w:val="20"/>
        </w:rPr>
      </w:r>
    </w:p>
    <w:p>
      <w:pPr>
        <w:pStyle w:val="Normal"/>
        <w:jc w:val="right"/>
        <w:rPr>
          <w:rFonts w:ascii="Arial;Arial Narrow" w:hAnsi="Arial;Arial Narrow" w:cs="Arial;Arial Narrow"/>
          <w:b/>
          <w:b/>
          <w:sz w:val="20"/>
        </w:rPr>
      </w:pPr>
      <w:r>
        <w:rPr>
          <w:rFonts w:cs="Arial;Arial Narrow" w:ascii="Arial;Arial Narrow" w:hAnsi="Arial;Arial Narrow"/>
          <w:b/>
          <w:sz w:val="20"/>
        </w:rPr>
      </w:r>
    </w:p>
    <w:p>
      <w:pPr>
        <w:pStyle w:val="Default"/>
        <w:rPr>
          <w:rFonts w:ascii="Arial;Arial Narrow" w:hAnsi="Arial;Arial Narrow" w:cs="Arial;Arial Narrow"/>
          <w:sz w:val="22"/>
          <w:szCs w:val="23"/>
        </w:rPr>
      </w:pPr>
      <w:r>
        <w:rPr>
          <w:rFonts w:cs="Arial;Arial Narrow" w:ascii="Arial;Arial Narrow" w:hAnsi="Arial;Arial Narrow"/>
          <w:sz w:val="22"/>
          <w:szCs w:val="23"/>
        </w:rPr>
        <w:t>Použité skratky:</w:t>
      </w:r>
    </w:p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  <w:t xml:space="preserve">ÚJ - účtovná jednotka; BO- bežné účtovné obdobie; X= ÚJ má náplň pre jednotlivú položku </w:t>
      </w:r>
    </w:p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rPr>
          <w:rFonts w:ascii="Arial;Arial Narrow" w:hAnsi="Arial;Arial Narrow" w:cs="Arial;Arial Narrow"/>
          <w:i/>
          <w:i/>
          <w:sz w:val="18"/>
          <w:szCs w:val="18"/>
        </w:rPr>
      </w:pPr>
      <w:r>
        <w:rPr>
          <w:rFonts w:cs="Arial;Arial Narrow" w:ascii="Arial;Arial Narrow" w:hAnsi="Arial;Arial Narrow"/>
          <w:i/>
          <w:sz w:val="18"/>
          <w:szCs w:val="18"/>
        </w:rPr>
        <w:t>Údaje v poznámkach sú uvádzané za bežne účtovné obdobie. Sumy sú uvádzané v celých eurách.</w:t>
      </w:r>
    </w:p>
    <w:p>
      <w:pPr>
        <w:pStyle w:val="Default"/>
        <w:rPr>
          <w:rFonts w:ascii="Arial;Arial Narrow" w:hAnsi="Arial;Arial Narrow" w:cs="Arial;Arial Narrow"/>
          <w:i/>
          <w:i/>
          <w:sz w:val="18"/>
          <w:szCs w:val="18"/>
        </w:rPr>
      </w:pPr>
      <w:r>
        <w:rPr>
          <w:rFonts w:cs="Arial;Arial Narrow" w:ascii="Arial;Arial Narrow" w:hAnsi="Arial;Arial Narrow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>
      <w:pPr>
        <w:pStyle w:val="Default"/>
        <w:rPr/>
      </w:pPr>
      <w:r>
        <w:rPr>
          <w:rFonts w:eastAsia="Arial;Arial Narrow" w:cs="Arial;Arial Narrow" w:ascii="Arial;Arial Narrow" w:hAnsi="Arial;Arial Narrow"/>
          <w:i/>
          <w:sz w:val="18"/>
          <w:szCs w:val="18"/>
        </w:rPr>
        <w:t xml:space="preserve"> </w:t>
      </w:r>
      <w:r>
        <w:rPr>
          <w:rFonts w:cs="Arial;Arial Narrow" w:ascii="Arial;Arial Narrow" w:hAnsi="Arial;Arial Narrow"/>
          <w:i/>
          <w:sz w:val="18"/>
          <w:szCs w:val="18"/>
        </w:rPr>
        <w:t xml:space="preserve"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>
      <w:pPr>
        <w:pStyle w:val="Default"/>
        <w:rPr/>
      </w:pPr>
      <w:r>
        <w:rPr>
          <w:rFonts w:cs="Arial;Arial Narrow" w:ascii="Arial;Arial Narrow" w:hAnsi="Arial;Arial Narrow"/>
          <w:b/>
          <w:i/>
          <w:sz w:val="18"/>
          <w:szCs w:val="18"/>
        </w:rPr>
        <w:t>Údaje v poznámkach sa uvádzajú za bežné účtovné obdobie. Sumy v poznámkach sa uvádzajú v celých eurách</w:t>
      </w:r>
      <w:r>
        <w:rPr>
          <w:rFonts w:cs="Arial;Arial Narrow" w:ascii="Arial;Arial Narrow" w:hAnsi="Arial;Arial Narrow"/>
          <w:i/>
          <w:sz w:val="18"/>
          <w:szCs w:val="18"/>
        </w:rPr>
        <w:t xml:space="preserve">. </w:t>
      </w:r>
    </w:p>
    <w:p>
      <w:pPr>
        <w:pStyle w:val="Normal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021" w:right="1559" w:header="567" w:top="1107" w:footer="567" w:bottom="1418" w:gutter="0"/>
      <w:pgNumType w:start="1"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 Narrow">
    <w:charset w:val="ee"/>
    <w:family w:val="roman"/>
    <w:pitch w:val="variable"/>
  </w:font>
  <w:font w:name="Tahoma">
    <w:charset w:val="ee"/>
    <w:family w:val="roman"/>
    <w:pitch w:val="variable"/>
  </w:font>
  <w:font w:name="Arial">
    <w:altName w:val="Arial Narrow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Pt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353" w:type="dxa"/>
      <w:jc w:val="left"/>
      <w:tblInd w:w="13" w:type="dxa"/>
      <w:tblCellMar>
        <w:top w:w="0" w:type="dxa"/>
        <w:left w:w="70" w:type="dxa"/>
        <w:bottom w:w="0" w:type="dxa"/>
        <w:right w:w="70" w:type="dxa"/>
      </w:tblCellMar>
    </w:tblPr>
    <w:tblGrid>
      <w:gridCol w:w="2951"/>
      <w:gridCol w:w="709"/>
      <w:gridCol w:w="2693"/>
      <w:gridCol w:w="282"/>
      <w:gridCol w:w="2718"/>
    </w:tblGrid>
    <w:tr>
      <w:trPr>
        <w:trHeight w:val="326" w:hRule="atLeast"/>
      </w:trPr>
      <w:tc>
        <w:tcPr>
          <w:tcW w:w="295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fill="auto" w:val="clear"/>
          <w:vAlign w:val="center"/>
        </w:tcPr>
        <w:p>
          <w:pPr>
            <w:pStyle w:val="Hlavika"/>
            <w:rPr/>
          </w:pPr>
          <w:r>
            <w:rPr/>
            <w:t>Poznámky Úč</w:t>
          </w:r>
          <w:r>
            <w:rPr>
              <w:lang w:val="sk-SK"/>
            </w:rPr>
            <w:t xml:space="preserve"> </w:t>
          </w:r>
          <w:r>
            <w:rPr/>
            <w:t xml:space="preserve"> </w:t>
          </w:r>
          <w:r>
            <w:rPr>
              <w:lang w:val="sk-SK"/>
            </w:rPr>
            <w:t>MÚJ</w:t>
          </w:r>
          <w:r>
            <w:rPr/>
            <w:t xml:space="preserve"> 3-01</w:t>
          </w:r>
        </w:p>
      </w:tc>
      <w:tc>
        <w:tcPr>
          <w:tcW w:w="709" w:type="dxa"/>
          <w:tcBorders>
            <w:left w:val="single" w:sz="4" w:space="0" w:color="000000"/>
          </w:tcBorders>
          <w:shd w:fill="auto" w:val="clear"/>
          <w:vAlign w:val="center"/>
        </w:tcPr>
        <w:p>
          <w:pPr>
            <w:pStyle w:val="Normal"/>
            <w:snapToGrid w:val="false"/>
            <w:rPr/>
          </w:pPr>
          <w:r>
            <w:rPr/>
          </w: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fill="auto" w:val="clear"/>
          <w:vAlign w:val="center"/>
        </w:tcPr>
        <w:p>
          <w:pPr>
            <w:pStyle w:val="Normal"/>
            <w:rPr/>
          </w:pPr>
          <w:r>
            <w:rPr/>
            <w:t>IČO:53093623</w:t>
          </w:r>
        </w:p>
      </w:tc>
      <w:tc>
        <w:tcPr>
          <w:tcW w:w="282" w:type="dxa"/>
          <w:tcBorders>
            <w:left w:val="single" w:sz="4" w:space="0" w:color="000000"/>
          </w:tcBorders>
          <w:shd w:fill="auto" w:val="clear"/>
          <w:vAlign w:val="center"/>
        </w:tcPr>
        <w:p>
          <w:pPr>
            <w:pStyle w:val="Normal"/>
            <w:snapToGrid w:val="false"/>
            <w:rPr/>
          </w:pPr>
          <w:r>
            <w:rPr/>
          </w:r>
        </w:p>
      </w:tc>
      <w:tc>
        <w:tcPr>
          <w:tcW w:w="27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fill="auto" w:val="clear"/>
          <w:vAlign w:val="center"/>
        </w:tcPr>
        <w:p>
          <w:pPr>
            <w:pStyle w:val="Normal"/>
            <w:rPr/>
          </w:pPr>
          <w:r>
            <w:rPr/>
            <w:t>DIČ:2121311203</w:t>
          </w:r>
        </w:p>
      </w:tc>
    </w:tr>
  </w:tbl>
  <w:p>
    <w:pPr>
      <w:pStyle w:val="Hlavika"/>
      <w:rPr>
        <w:lang w:val="sk-SK"/>
      </w:rPr>
    </w:pPr>
    <w:r>
      <w:rPr>
        <w:lang w:val="sk-SK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dpis1"/>
      <w:numFmt w:val="decimal"/>
      <w:lvlText w:val="§ %1"/>
      <w:lvlJc w:val="center"/>
      <w:pPr>
        <w:tabs>
          <w:tab w:val="num" w:pos="4613"/>
        </w:tabs>
        <w:ind w:left="3893" w:firstLine="360"/>
      </w:pPr>
      <w:rPr>
        <w:sz w:val="24"/>
        <w:b/>
        <w:szCs w:val="24"/>
        <w:bCs/>
        <w:rFonts w:cs="Times New Roman"/>
        <w:lang w:val="sk-SK" w:bidi="sk-SK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(%1)"/>
      <w:lvlJc w:val="left"/>
      <w:pPr>
        <w:ind w:left="644" w:hanging="360"/>
      </w:pPr>
      <w:rPr>
        <w:sz w:val="20"/>
        <w:b/>
        <w:szCs w:val="20"/>
        <w:rFonts w:ascii="Arial;Arial Narrow" w:hAnsi="Arial;Arial Narro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2"/>
      <w:numFmt w:val="decimal"/>
      <w:lvlText w:val="%1."/>
      <w:lvlJc w:val="left"/>
      <w:pPr>
        <w:ind w:left="251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lowerLetter"/>
      <w:lvlText w:val="%1)"/>
      <w:lvlJc w:val="left"/>
      <w:pPr>
        <w:ind w:left="641" w:hanging="284"/>
      </w:pPr>
      <w:rPr>
        <w:sz w:val="20"/>
        <w:b/>
        <w:rFonts w:ascii="Arial;Arial Narrow" w:hAnsi="Arial;Arial Narro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(%1)"/>
      <w:lvlJc w:val="left"/>
      <w:pPr>
        <w:ind w:left="786" w:hanging="360"/>
      </w:pPr>
      <w:rPr>
        <w:sz w:val="20"/>
        <w:i w:val="false"/>
        <w:b/>
        <w:szCs w:val="24"/>
        <w:rFonts w:ascii="Arial;Arial Narrow" w:hAnsi="Arial;Arial Narrow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upperRoman"/>
      <w:lvlText w:val="%1."/>
      <w:lvlJc w:val="right"/>
      <w:pPr>
        <w:ind w:left="720" w:hanging="360"/>
      </w:pPr>
      <w:rPr>
        <w:i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lowerLetter"/>
      <w:lvlText w:val="%1)"/>
      <w:lvlJc w:val="left"/>
      <w:pPr>
        <w:ind w:left="644" w:hanging="360"/>
      </w:pPr>
      <w:rPr>
        <w:sz w:val="20"/>
        <w:b/>
        <w:rFonts w:ascii="Arial;Arial Narrow" w:hAnsi="Arial;Arial Narro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lowerLetter"/>
      <w:lvlText w:val="%1)"/>
      <w:lvlJc w:val="left"/>
      <w:pPr>
        <w:ind w:left="786" w:hanging="360"/>
      </w:pPr>
      <w:rPr>
        <w:sz w:val="18"/>
        <w:i/>
        <w:kern w:val="2"/>
        <w:szCs w:val="24"/>
        <w:bCs/>
        <w:rFonts w:ascii="Arial;Arial Narrow" w:hAnsi="Arial;Arial Narrow" w:cs="Times New Roman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lvl w:ilvl="0">
      <w:start w:val="1"/>
      <w:numFmt w:val="decimal"/>
      <w:lvlText w:val="(%1)"/>
      <w:lvlJc w:val="left"/>
      <w:pPr>
        <w:ind w:left="644" w:hanging="360"/>
      </w:pPr>
      <w:rPr>
        <w:sz w:val="20"/>
        <w:b/>
        <w:szCs w:val="20"/>
        <w:rFonts w:ascii="Arial;Arial Narrow" w:hAnsi="Arial;Arial Narro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0"/>
        <w:szCs w:val="24"/>
        <w:lang w:val="sk-SK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sk-SK" w:eastAsia="zh-CN" w:bidi="ar-SA"/>
    </w:rPr>
  </w:style>
  <w:style w:type="paragraph" w:styleId="Nadpis1">
    <w:name w:val="Heading 1"/>
    <w:next w:val="Nadpis2"/>
    <w:qFormat/>
    <w:pPr>
      <w:keepNext w:val="true"/>
      <w:widowControl/>
      <w:numPr>
        <w:ilvl w:val="0"/>
        <w:numId w:val="1"/>
      </w:numPr>
      <w:suppressAutoHyphens w:val="true"/>
      <w:bidi w:val="0"/>
      <w:spacing w:before="240" w:after="60"/>
      <w:jc w:val="center"/>
      <w:outlineLvl w:val="0"/>
    </w:pPr>
    <w:rPr>
      <w:rFonts w:ascii="Times New Roman" w:hAnsi="Times New Roman" w:eastAsia="Times New Roman" w:cs="Arial;Arial Narrow"/>
      <w:b/>
      <w:bCs/>
      <w:color w:val="auto"/>
      <w:kern w:val="2"/>
      <w:sz w:val="24"/>
      <w:szCs w:val="32"/>
      <w:lang w:val="sk-SK" w:eastAsia="zh-CN" w:bidi="ar-SA"/>
    </w:rPr>
  </w:style>
  <w:style w:type="paragraph" w:styleId="Nadpis2">
    <w:name w:val="Heading 2"/>
    <w:basedOn w:val="Normal"/>
    <w:next w:val="Normal"/>
    <w:qFormat/>
    <w:pPr>
      <w:keepNext w:val="true"/>
      <w:spacing w:before="0" w:after="120"/>
      <w:jc w:val="center"/>
      <w:outlineLvl w:val="1"/>
    </w:pPr>
    <w:rPr>
      <w:b/>
    </w:rPr>
  </w:style>
  <w:style w:type="paragraph" w:styleId="Nadpis3">
    <w:name w:val="Heading 3"/>
    <w:basedOn w:val="Normal"/>
    <w:next w:val="Normal"/>
    <w:qFormat/>
    <w:pPr>
      <w:keepNext w:val="true"/>
      <w:jc w:val="both"/>
      <w:outlineLvl w:val="2"/>
    </w:pPr>
    <w:rPr>
      <w:b/>
      <w:u w:val="single"/>
    </w:rPr>
  </w:style>
  <w:style w:type="paragraph" w:styleId="Nadpis4">
    <w:name w:val="Heading 4"/>
    <w:basedOn w:val="Normal"/>
    <w:next w:val="Normal"/>
    <w:qFormat/>
    <w:pPr>
      <w:keepNext w:val="true"/>
      <w:keepLines/>
      <w:ind w:left="0" w:right="0" w:firstLine="357"/>
      <w:jc w:val="both"/>
      <w:outlineLvl w:val="3"/>
    </w:pPr>
    <w:rPr>
      <w:b/>
    </w:rPr>
  </w:style>
  <w:style w:type="paragraph" w:styleId="Nadpis5">
    <w:name w:val="Heading 5"/>
    <w:basedOn w:val="Normal"/>
    <w:next w:val="Normal"/>
    <w:qFormat/>
    <w:pPr>
      <w:keepNext w:val="true"/>
      <w:keepLines/>
      <w:ind w:left="0" w:right="0" w:firstLine="360"/>
      <w:jc w:val="both"/>
      <w:outlineLvl w:val="4"/>
    </w:pPr>
    <w:rPr>
      <w:b/>
    </w:rPr>
  </w:style>
  <w:style w:type="paragraph" w:styleId="Nadpis6">
    <w:name w:val="Heading 6"/>
    <w:basedOn w:val="Normal"/>
    <w:next w:val="Normal"/>
    <w:qFormat/>
    <w:pPr>
      <w:keepNext w:val="true"/>
      <w:ind w:left="360" w:right="0" w:hanging="0"/>
      <w:jc w:val="center"/>
      <w:outlineLvl w:val="5"/>
    </w:pPr>
    <w:rPr>
      <w:rFonts w:ascii="Arial Narrow" w:hAnsi="Arial Narrow" w:cs="Arial Narrow"/>
      <w:b/>
      <w:bCs/>
      <w:sz w:val="28"/>
      <w:szCs w:val="22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  <w:lang w:val="sk-SK" w:bidi="sk-SK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b w:val="false"/>
      <w:sz w:val="20"/>
      <w:szCs w:val="20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b w:val="false"/>
    </w:rPr>
  </w:style>
  <w:style w:type="character" w:styleId="WW8Num5z0">
    <w:name w:val="WW8Num5z0"/>
    <w:qFormat/>
    <w:rPr>
      <w:rFonts w:ascii="Times New Roman" w:hAnsi="Times New Roman" w:cs="Times New Roman"/>
      <w:b w:val="false"/>
      <w:i w:val="false"/>
      <w:sz w:val="20"/>
      <w:szCs w:val="24"/>
    </w:rPr>
  </w:style>
  <w:style w:type="character" w:styleId="WW8Num6z0">
    <w:name w:val="WW8Num6z0"/>
    <w:qFormat/>
    <w:rPr>
      <w:i/>
      <w:szCs w:val="20"/>
    </w:rPr>
  </w:style>
  <w:style w:type="character" w:styleId="WW8Num7z0">
    <w:name w:val="WW8Num7z0"/>
    <w:qFormat/>
    <w:rPr>
      <w:b w:val="false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Times New Roman" w:hAnsi="Times New Roman" w:cs="Times New Roman"/>
      <w:bCs/>
      <w:i/>
      <w:kern w:val="2"/>
      <w:sz w:val="18"/>
      <w:szCs w:val="24"/>
      <w:lang w:eastAsia="en-US"/>
    </w:rPr>
  </w:style>
  <w:style w:type="character" w:styleId="WW8Num10z0">
    <w:name w:val="WW8Num10z0"/>
    <w:qFormat/>
    <w:rPr>
      <w:b w:val="false"/>
      <w:sz w:val="20"/>
      <w:szCs w:val="20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rFonts w:ascii="Times New Roman" w:hAnsi="Times New Roman" w:cs="Times New Roman"/>
      <w:b/>
      <w:bCs/>
      <w:sz w:val="24"/>
      <w:szCs w:val="24"/>
      <w:lang w:val="sk-SK" w:bidi="sk-SK"/>
    </w:rPr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Predvolenpsmoodseku">
    <w:name w:val="Predvolené písmo odseku"/>
    <w:qFormat/>
    <w:rPr/>
  </w:style>
  <w:style w:type="character" w:styleId="Znakyprepoznmkupodiarou">
    <w:name w:val="Znaky pre poznámku pod čiarou"/>
    <w:qFormat/>
    <w:rPr>
      <w:vertAlign w:val="superscript"/>
    </w:rPr>
  </w:style>
  <w:style w:type="character" w:styleId="Slostrany">
    <w:name w:val="Číslo strany"/>
    <w:basedOn w:val="Predvolenpsmoodseku"/>
    <w:rPr/>
  </w:style>
  <w:style w:type="character" w:styleId="PtaChar">
    <w:name w:val="Päta Char"/>
    <w:qFormat/>
    <w:rPr>
      <w:sz w:val="24"/>
      <w:szCs w:val="24"/>
    </w:rPr>
  </w:style>
  <w:style w:type="character" w:styleId="TextkoncovejpoznmkyChar">
    <w:name w:val="Text koncovej poznámky Char"/>
    <w:basedOn w:val="Predvolenpsmoodseku"/>
    <w:qFormat/>
    <w:rPr/>
  </w:style>
  <w:style w:type="character" w:styleId="Znakyprekoncovpoznmku">
    <w:name w:val="Znaky pre koncovú poznámku"/>
    <w:qFormat/>
    <w:rPr>
      <w:vertAlign w:val="superscript"/>
    </w:rPr>
  </w:style>
  <w:style w:type="character" w:styleId="HlavikaChar">
    <w:name w:val="Hlavička Char"/>
    <w:qFormat/>
    <w:rPr>
      <w:sz w:val="24"/>
      <w:szCs w:val="24"/>
    </w:rPr>
  </w:style>
  <w:style w:type="character" w:styleId="TextbublinyChar">
    <w:name w:val="Text bubliny Char"/>
    <w:qFormat/>
    <w:rPr>
      <w:rFonts w:ascii="Tahoma" w:hAnsi="Tahoma" w:cs="Tahoma"/>
      <w:sz w:val="16"/>
      <w:szCs w:val="16"/>
    </w:rPr>
  </w:style>
  <w:style w:type="character" w:styleId="Tl">
    <w:name w:val="tl"/>
    <w:basedOn w:val="Predvolenpsmoodseku"/>
    <w:qFormat/>
    <w:rPr/>
  </w:style>
  <w:style w:type="character" w:styleId="Tl1Char">
    <w:name w:val="Štýl1 Char"/>
    <w:basedOn w:val="PtaChar"/>
    <w:qFormat/>
    <w:rPr/>
  </w:style>
  <w:style w:type="character" w:styleId="Ra">
    <w:name w:val="ra"/>
    <w:basedOn w:val="Predvolenpsmoodseku"/>
    <w:qFormat/>
    <w:rPr/>
  </w:style>
  <w:style w:type="character" w:styleId="OdsekzoznamuChar">
    <w:name w:val="Odsek zoznamu Char"/>
    <w:qFormat/>
    <w:rPr>
      <w:sz w:val="24"/>
      <w:szCs w:val="24"/>
    </w:rPr>
  </w:style>
  <w:style w:type="character" w:styleId="ListLabel1">
    <w:name w:val="ListLabel 1"/>
    <w:qFormat/>
    <w:rPr>
      <w:rFonts w:cs="Times New Roman"/>
      <w:b/>
      <w:bCs/>
      <w:sz w:val="24"/>
      <w:szCs w:val="24"/>
      <w:lang w:val="sk-SK" w:bidi="sk-SK"/>
    </w:rPr>
  </w:style>
  <w:style w:type="character" w:styleId="ListLabel2">
    <w:name w:val="ListLabel 2"/>
    <w:qFormat/>
    <w:rPr>
      <w:rFonts w:ascii="Arial;Arial Narrow" w:hAnsi="Arial;Arial Narrow"/>
      <w:b/>
      <w:sz w:val="20"/>
      <w:szCs w:val="20"/>
    </w:rPr>
  </w:style>
  <w:style w:type="character" w:styleId="ListLabel3">
    <w:name w:val="ListLabel 3"/>
    <w:qFormat/>
    <w:rPr>
      <w:rFonts w:ascii="Arial;Arial Narrow" w:hAnsi="Arial;Arial Narrow"/>
      <w:b/>
      <w:sz w:val="20"/>
    </w:rPr>
  </w:style>
  <w:style w:type="character" w:styleId="ListLabel4">
    <w:name w:val="ListLabel 4"/>
    <w:qFormat/>
    <w:rPr>
      <w:rFonts w:ascii="Arial;Arial Narrow" w:hAnsi="Arial;Arial Narrow" w:cs="Times New Roman"/>
      <w:b/>
      <w:i w:val="false"/>
      <w:sz w:val="20"/>
      <w:szCs w:val="24"/>
    </w:rPr>
  </w:style>
  <w:style w:type="character" w:styleId="ListLabel5">
    <w:name w:val="ListLabel 5"/>
    <w:qFormat/>
    <w:rPr>
      <w:i/>
      <w:szCs w:val="20"/>
    </w:rPr>
  </w:style>
  <w:style w:type="character" w:styleId="ListLabel6">
    <w:name w:val="ListLabel 6"/>
    <w:qFormat/>
    <w:rPr>
      <w:rFonts w:ascii="Arial;Arial Narrow" w:hAnsi="Arial;Arial Narrow"/>
      <w:b/>
      <w:sz w:val="20"/>
    </w:rPr>
  </w:style>
  <w:style w:type="character" w:styleId="ListLabel7">
    <w:name w:val="ListLabel 7"/>
    <w:qFormat/>
    <w:rPr>
      <w:rFonts w:ascii="Arial;Arial Narrow" w:hAnsi="Arial;Arial Narrow" w:cs="Times New Roman"/>
      <w:bCs/>
      <w:i/>
      <w:kern w:val="2"/>
      <w:sz w:val="18"/>
      <w:szCs w:val="24"/>
      <w:lang w:eastAsia="en-US"/>
    </w:rPr>
  </w:style>
  <w:style w:type="character" w:styleId="ListLabel8">
    <w:name w:val="ListLabel 8"/>
    <w:qFormat/>
    <w:rPr>
      <w:rFonts w:ascii="Arial;Arial Narrow" w:hAnsi="Arial;Arial Narrow"/>
      <w:b/>
      <w:sz w:val="20"/>
      <w:szCs w:val="20"/>
    </w:rPr>
  </w:style>
  <w:style w:type="character" w:styleId="ListLabel9">
    <w:name w:val="ListLabel 9"/>
    <w:qFormat/>
    <w:rPr>
      <w:rFonts w:cs="Times New Roman"/>
      <w:b/>
      <w:bCs/>
      <w:sz w:val="24"/>
      <w:szCs w:val="24"/>
      <w:lang w:val="sk-SK" w:bidi="sk-SK"/>
    </w:rPr>
  </w:style>
  <w:style w:type="character" w:styleId="ListLabel10">
    <w:name w:val="ListLabel 10"/>
    <w:qFormat/>
    <w:rPr>
      <w:rFonts w:ascii="Arial;Arial Narrow" w:hAnsi="Arial;Arial Narrow"/>
      <w:b/>
      <w:sz w:val="20"/>
      <w:szCs w:val="20"/>
    </w:rPr>
  </w:style>
  <w:style w:type="character" w:styleId="ListLabel11">
    <w:name w:val="ListLabel 11"/>
    <w:qFormat/>
    <w:rPr>
      <w:rFonts w:ascii="Arial;Arial Narrow" w:hAnsi="Arial;Arial Narrow"/>
      <w:b/>
      <w:sz w:val="20"/>
    </w:rPr>
  </w:style>
  <w:style w:type="character" w:styleId="ListLabel12">
    <w:name w:val="ListLabel 12"/>
    <w:qFormat/>
    <w:rPr>
      <w:rFonts w:ascii="Arial;Arial Narrow" w:hAnsi="Arial;Arial Narrow" w:cs="Times New Roman"/>
      <w:b/>
      <w:i w:val="false"/>
      <w:sz w:val="20"/>
      <w:szCs w:val="24"/>
    </w:rPr>
  </w:style>
  <w:style w:type="character" w:styleId="ListLabel13">
    <w:name w:val="ListLabel 13"/>
    <w:qFormat/>
    <w:rPr>
      <w:i/>
      <w:szCs w:val="20"/>
    </w:rPr>
  </w:style>
  <w:style w:type="character" w:styleId="ListLabel14">
    <w:name w:val="ListLabel 14"/>
    <w:qFormat/>
    <w:rPr>
      <w:rFonts w:ascii="Arial;Arial Narrow" w:hAnsi="Arial;Arial Narrow"/>
      <w:b/>
      <w:sz w:val="20"/>
    </w:rPr>
  </w:style>
  <w:style w:type="character" w:styleId="ListLabel15">
    <w:name w:val="ListLabel 15"/>
    <w:qFormat/>
    <w:rPr>
      <w:rFonts w:ascii="Arial;Arial Narrow" w:hAnsi="Arial;Arial Narrow" w:cs="Times New Roman"/>
      <w:bCs/>
      <w:i/>
      <w:kern w:val="2"/>
      <w:sz w:val="18"/>
      <w:szCs w:val="24"/>
      <w:lang w:eastAsia="en-US"/>
    </w:rPr>
  </w:style>
  <w:style w:type="character" w:styleId="ListLabel16">
    <w:name w:val="ListLabel 16"/>
    <w:qFormat/>
    <w:rPr>
      <w:rFonts w:ascii="Arial;Arial Narrow" w:hAnsi="Arial;Arial Narrow"/>
      <w:b/>
      <w:sz w:val="20"/>
      <w:szCs w:val="20"/>
    </w:rPr>
  </w:style>
  <w:style w:type="character" w:styleId="ListLabel17">
    <w:name w:val="ListLabel 17"/>
    <w:qFormat/>
    <w:rPr>
      <w:rFonts w:cs="Times New Roman"/>
      <w:b/>
      <w:bCs/>
      <w:sz w:val="24"/>
      <w:szCs w:val="24"/>
      <w:lang w:val="sk-SK" w:bidi="sk-SK"/>
    </w:rPr>
  </w:style>
  <w:style w:type="character" w:styleId="ListLabel18">
    <w:name w:val="ListLabel 18"/>
    <w:qFormat/>
    <w:rPr>
      <w:rFonts w:ascii="Arial;Arial Narrow" w:hAnsi="Arial;Arial Narrow"/>
      <w:b/>
      <w:sz w:val="20"/>
      <w:szCs w:val="20"/>
    </w:rPr>
  </w:style>
  <w:style w:type="character" w:styleId="ListLabel19">
    <w:name w:val="ListLabel 19"/>
    <w:qFormat/>
    <w:rPr>
      <w:rFonts w:ascii="Arial;Arial Narrow" w:hAnsi="Arial;Arial Narrow"/>
      <w:b/>
      <w:sz w:val="20"/>
    </w:rPr>
  </w:style>
  <w:style w:type="character" w:styleId="ListLabel20">
    <w:name w:val="ListLabel 20"/>
    <w:qFormat/>
    <w:rPr>
      <w:rFonts w:ascii="Arial;Arial Narrow" w:hAnsi="Arial;Arial Narrow" w:cs="Times New Roman"/>
      <w:b/>
      <w:i w:val="false"/>
      <w:sz w:val="20"/>
      <w:szCs w:val="24"/>
    </w:rPr>
  </w:style>
  <w:style w:type="character" w:styleId="ListLabel21">
    <w:name w:val="ListLabel 21"/>
    <w:qFormat/>
    <w:rPr>
      <w:i/>
      <w:szCs w:val="20"/>
    </w:rPr>
  </w:style>
  <w:style w:type="character" w:styleId="ListLabel22">
    <w:name w:val="ListLabel 22"/>
    <w:qFormat/>
    <w:rPr>
      <w:rFonts w:ascii="Arial;Arial Narrow" w:hAnsi="Arial;Arial Narrow"/>
      <w:b/>
      <w:sz w:val="20"/>
    </w:rPr>
  </w:style>
  <w:style w:type="character" w:styleId="ListLabel23">
    <w:name w:val="ListLabel 23"/>
    <w:qFormat/>
    <w:rPr>
      <w:rFonts w:ascii="Arial;Arial Narrow" w:hAnsi="Arial;Arial Narrow" w:cs="Times New Roman"/>
      <w:bCs/>
      <w:i/>
      <w:kern w:val="2"/>
      <w:sz w:val="18"/>
      <w:szCs w:val="24"/>
      <w:lang w:eastAsia="en-US"/>
    </w:rPr>
  </w:style>
  <w:style w:type="character" w:styleId="ListLabel24">
    <w:name w:val="ListLabel 24"/>
    <w:qFormat/>
    <w:rPr>
      <w:rFonts w:ascii="Arial;Arial Narrow" w:hAnsi="Arial;Arial Narrow"/>
      <w:b/>
      <w:sz w:val="20"/>
      <w:szCs w:val="20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Telotextu">
    <w:name w:val="Body Text"/>
    <w:basedOn w:val="Normal"/>
    <w:pPr/>
    <w:rPr>
      <w:rFonts w:ascii="Arial;Arial Narrow" w:hAnsi="Arial;Arial Narrow" w:cs="Arial;Arial Narrow"/>
      <w:sz w:val="20"/>
      <w:szCs w:val="18"/>
      <w:lang w:val="en-GB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Zkladntext">
    <w:name w:val="Základní text"/>
    <w:qFormat/>
    <w:pPr>
      <w:widowControl/>
      <w:suppressAutoHyphens w:val="true"/>
      <w:bidi w:val="0"/>
      <w:spacing w:before="0" w:after="24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sk-SK" w:eastAsia="zh-CN" w:bidi="ar-SA"/>
    </w:rPr>
  </w:style>
  <w:style w:type="paragraph" w:styleId="Poznmkapodiarou">
    <w:name w:val="Footnote Text"/>
    <w:basedOn w:val="Normal"/>
    <w:pPr/>
    <w:rPr>
      <w:sz w:val="20"/>
      <w:szCs w:val="20"/>
    </w:rPr>
  </w:style>
  <w:style w:type="paragraph" w:styleId="Pta">
    <w:name w:val="Footer"/>
    <w:basedOn w:val="Normal"/>
    <w:pPr>
      <w:tabs>
        <w:tab w:val="clear" w:pos="709"/>
        <w:tab w:val="center" w:pos="4536" w:leader="none"/>
        <w:tab w:val="right" w:pos="9072" w:leader="none"/>
      </w:tabs>
      <w:jc w:val="right"/>
    </w:pPr>
    <w:rPr>
      <w:lang w:val="sk-SK"/>
    </w:rPr>
  </w:style>
  <w:style w:type="paragraph" w:styleId="Zkladntext2">
    <w:name w:val="Základný text 2"/>
    <w:basedOn w:val="Normal"/>
    <w:qFormat/>
    <w:pPr>
      <w:jc w:val="both"/>
    </w:pPr>
    <w:rPr/>
  </w:style>
  <w:style w:type="paragraph" w:styleId="Odsadenietelatextu">
    <w:name w:val="Body Text Indent"/>
    <w:basedOn w:val="Normal"/>
    <w:pPr>
      <w:ind w:left="0" w:right="0" w:firstLine="360"/>
      <w:jc w:val="both"/>
    </w:pPr>
    <w:rPr/>
  </w:style>
  <w:style w:type="paragraph" w:styleId="Zarkazkladnhotextu2">
    <w:name w:val="Zarážka základného textu 2"/>
    <w:basedOn w:val="Normal"/>
    <w:qFormat/>
    <w:pPr>
      <w:ind w:left="0" w:right="0" w:firstLine="360"/>
    </w:pPr>
    <w:rPr/>
  </w:style>
  <w:style w:type="paragraph" w:styleId="Zkladntext3">
    <w:name w:val="Základný text 3"/>
    <w:basedOn w:val="Normal"/>
    <w:qFormat/>
    <w:pPr>
      <w:ind w:left="0" w:right="-468" w:hanging="0"/>
      <w:jc w:val="both"/>
    </w:pPr>
    <w:rPr>
      <w:b/>
      <w:bCs/>
    </w:rPr>
  </w:style>
  <w:style w:type="paragraph" w:styleId="Oznaitext">
    <w:name w:val="Označiť text"/>
    <w:basedOn w:val="Normal"/>
    <w:qFormat/>
    <w:pPr>
      <w:ind w:left="1680" w:right="-468" w:hanging="240"/>
    </w:pPr>
    <w:rPr/>
  </w:style>
  <w:style w:type="paragraph" w:styleId="Zarkazkladnhotextu3">
    <w:name w:val="Zarážka základného textu 3"/>
    <w:basedOn w:val="Normal"/>
    <w:qFormat/>
    <w:pPr>
      <w:ind w:left="0" w:right="-468" w:firstLine="720"/>
      <w:jc w:val="both"/>
    </w:pPr>
    <w:rPr>
      <w:bCs/>
    </w:rPr>
  </w:style>
  <w:style w:type="paragraph" w:styleId="Hlavika">
    <w:name w:val="Header"/>
    <w:basedOn w:val="Normal"/>
    <w:pPr>
      <w:tabs>
        <w:tab w:val="clear" w:pos="709"/>
        <w:tab w:val="center" w:pos="4703" w:leader="none"/>
        <w:tab w:val="right" w:pos="9406" w:leader="none"/>
      </w:tabs>
    </w:pPr>
    <w:rPr>
      <w:lang w:val="sk-SK"/>
    </w:rPr>
  </w:style>
  <w:style w:type="paragraph" w:styleId="Odsekzoznamu">
    <w:name w:val="Odsek zoznamu"/>
    <w:basedOn w:val="Normal"/>
    <w:qFormat/>
    <w:pPr>
      <w:ind w:left="708" w:right="0" w:hanging="0"/>
    </w:pPr>
    <w:rPr>
      <w:lang w:val="sk-SK"/>
    </w:rPr>
  </w:style>
  <w:style w:type="paragraph" w:styleId="Koncovpoznmka">
    <w:name w:val="Endnote Text"/>
    <w:basedOn w:val="Normal"/>
    <w:pPr/>
    <w:rPr>
      <w:sz w:val="20"/>
      <w:szCs w:val="20"/>
    </w:rPr>
  </w:style>
  <w:style w:type="paragraph" w:styleId="Textbubliny">
    <w:name w:val="Text bubliny"/>
    <w:basedOn w:val="Normal"/>
    <w:qFormat/>
    <w:pPr/>
    <w:rPr>
      <w:rFonts w:ascii="Tahoma" w:hAnsi="Tahoma" w:cs="Tahoma"/>
      <w:sz w:val="16"/>
      <w:szCs w:val="16"/>
      <w:lang w:val="sk-SK"/>
    </w:rPr>
  </w:style>
  <w:style w:type="paragraph" w:styleId="Tl1">
    <w:name w:val="Štýl1"/>
    <w:basedOn w:val="Pta"/>
    <w:qFormat/>
    <w:pPr/>
    <w:rPr/>
  </w:style>
  <w:style w:type="paragraph" w:styleId="TopHeader">
    <w:name w:val="Top Header"/>
    <w:basedOn w:val="Normal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Default">
    <w:name w:val="Default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sk-SK" w:eastAsia="zh-CN" w:bidi="ar-SA"/>
    </w:rPr>
  </w:style>
  <w:style w:type="paragraph" w:styleId="Obsahtabuky">
    <w:name w:val="Obsah tabuľky"/>
    <w:basedOn w:val="Normal"/>
    <w:qFormat/>
    <w:pPr>
      <w:suppressLineNumbers/>
    </w:pPr>
    <w:rPr/>
  </w:style>
  <w:style w:type="paragraph" w:styleId="Nadpistabuky">
    <w:name w:val="Nadpis tabuľky"/>
    <w:basedOn w:val="Obsahtabuky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Application>LibreOffice/6.2.4.2$Windows_x86 LibreOffice_project/2412653d852ce75f65fbfa83fb7e7b669a126d64</Application>
  <Pages>5</Pages>
  <Words>1344</Words>
  <Characters>8104</Characters>
  <CharactersWithSpaces>9324</CharactersWithSpaces>
  <Paragraphs>182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2016-01-30T15:32:00Z</dcterms:created>
  <dc:creator>EK</dc:creator>
  <dc:description/>
  <dc:language>sk-SK</dc:language>
  <cp:lastModifiedBy/>
  <cp:lastPrinted>1995-11-21T17:41:00Z</cp:lastPrinted>
  <dcterms:modified xsi:type="dcterms:W3CDTF">2024-06-27T15:18:00Z</dcterms:modified>
  <cp:revision>28</cp:revision>
  <dc:subject/>
  <dc:title>Opatrenie</dc:title>
</cp:coreProperties>
</file>