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9" w:before="0" w:after="475"/>
        <w:ind w:hanging="0" w:left="0" w:right="94"/>
        <w:jc w:val="center"/>
        <w:rPr/>
      </w:pPr>
      <w:r>
        <w:rPr>
          <w:sz w:val="34"/>
        </w:rPr>
        <w:t>Poznámky k 31.12.2023</w:t>
      </w:r>
    </w:p>
    <w:p>
      <w:pPr>
        <w:pStyle w:val="Normal"/>
        <w:spacing w:lineRule="auto" w:line="259" w:before="0" w:after="0"/>
        <w:ind w:hanging="10" w:left="996" w:right="1007"/>
        <w:jc w:val="center"/>
        <w:rPr/>
      </w:pPr>
      <w:r>
        <w:rPr/>
        <w:t>Všeobecné údaje</w:t>
      </w:r>
    </w:p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Identifikačné údaje účtovnej jednotky</w:t>
      </w:r>
    </w:p>
    <w:tbl>
      <w:tblPr>
        <w:tblStyle w:val="TableGrid"/>
        <w:tblW w:w="9793" w:type="dxa"/>
        <w:jc w:val="left"/>
        <w:tblInd w:w="113" w:type="dxa"/>
        <w:tblLayout w:type="fixed"/>
        <w:tblCellMar>
          <w:top w:w="22" w:type="dxa"/>
          <w:left w:w="89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57"/>
        <w:gridCol w:w="5235"/>
      </w:tblGrid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účtovnej jednotky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Regionálne združenie miest a obcí Žiarsky región</w:t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Sídlo účtovne' •ednotky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Š. Moyzesa 46, 96501 Žiar nad Hronom</w:t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IČO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35673044</w:t>
            </w:r>
          </w:p>
        </w:tc>
      </w:tr>
      <w:tr>
        <w:trPr>
          <w:trHeight w:val="288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Dátum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04.05.1995</w:t>
            </w:r>
          </w:p>
        </w:tc>
      </w:tr>
      <w:tr>
        <w:trPr>
          <w:trHeight w:val="295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Spôsob zriadenia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1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Názov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2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Sídlo zriaďovateľa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54" w:hRule="atLeast"/>
        </w:trPr>
        <w:tc>
          <w:tcPr>
            <w:tcW w:w="4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Učtovná jednotka je súčasťou konsolidovaného celku</w:t>
            </w:r>
          </w:p>
        </w:tc>
        <w:tc>
          <w:tcPr>
            <w:tcW w:w="5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Nie</w:t>
            </w:r>
          </w:p>
        </w:tc>
      </w:tr>
    </w:tbl>
    <w:p>
      <w:pPr>
        <w:pStyle w:val="Normal"/>
        <w:numPr>
          <w:ilvl w:val="0"/>
          <w:numId w:val="1"/>
        </w:numPr>
        <w:spacing w:before="0" w:after="31"/>
        <w:ind w:hanging="273" w:left="287" w:right="582"/>
        <w:rPr/>
      </w:pPr>
      <w:r>
        <w:rPr/>
        <w:t>Opis činnosti účtovnej jednotky</w:t>
      </w:r>
    </w:p>
    <w:tbl>
      <w:tblPr>
        <w:tblStyle w:val="TableGrid"/>
        <w:tblW w:w="9791" w:type="dxa"/>
        <w:jc w:val="left"/>
        <w:tblInd w:w="122" w:type="dxa"/>
        <w:tblLayout w:type="fixed"/>
        <w:tblCellMar>
          <w:top w:w="86" w:type="dxa"/>
          <w:left w:w="108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4549"/>
        <w:gridCol w:w="5241"/>
      </w:tblGrid>
      <w:tr>
        <w:trPr>
          <w:trHeight w:val="338" w:hRule="atLeast"/>
        </w:trPr>
        <w:tc>
          <w:tcPr>
            <w:tcW w:w="4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Hlavná činnosť účtovnej jednotky</w:t>
            </w: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Činnosti ostatných členských organizácií</w:t>
            </w:r>
          </w:p>
        </w:tc>
      </w:tr>
    </w:tbl>
    <w:p>
      <w:pPr>
        <w:pStyle w:val="Normal"/>
        <w:numPr>
          <w:ilvl w:val="0"/>
          <w:numId w:val="1"/>
        </w:numPr>
        <w:ind w:hanging="273" w:left="287" w:right="582"/>
        <w:rPr/>
      </w:pPr>
      <w:r>
        <w:rPr/>
        <w:t>Informácie o štatutárnych zástupcoch a o organizačnej štruktúre účtovnej jednotky</w:t>
      </w:r>
    </w:p>
    <w:tbl>
      <w:tblPr>
        <w:tblStyle w:val="TableGrid"/>
        <w:tblW w:w="9786" w:type="dxa"/>
        <w:jc w:val="left"/>
        <w:tblInd w:w="144" w:type="dxa"/>
        <w:tblLayout w:type="fixed"/>
        <w:tblCellMar>
          <w:top w:w="45" w:type="dxa"/>
          <w:left w:w="9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47"/>
        <w:gridCol w:w="5238"/>
      </w:tblGrid>
      <w:tr>
        <w:trPr>
          <w:trHeight w:val="554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Štatutárny zástupca (meno a priezvisko)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Funkcia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Ing. Štefan Henžel</w:t>
            </w:r>
          </w:p>
        </w:tc>
      </w:tr>
      <w:tr>
        <w:trPr>
          <w:trHeight w:val="550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14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Priemerný počet zamestnancov počas účtovného obdobia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1091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64" w:before="0" w:after="8"/>
              <w:ind w:hanging="0" w:left="7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Počet zamestnancov ku dňu, ku ktorému sa zostavuje účtovná závierka účtovnej jednotky z toho: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8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očet vedúcich zamestnancov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4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Or anizačná štruktúra účtovnej jednotky:</w:t>
            </w:r>
          </w:p>
        </w:tc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Záujmové združenie členských organizácií</w:t>
            </w:r>
          </w:p>
        </w:tc>
      </w:tr>
    </w:tbl>
    <w:p>
      <w:pPr>
        <w:pStyle w:val="Heading1"/>
        <w:rPr/>
      </w:pPr>
      <w:r>
        <w:rPr/>
        <w:t>čl. 11</w:t>
      </w:r>
    </w:p>
    <w:p>
      <w:pPr>
        <w:pStyle w:val="Normal"/>
        <w:spacing w:lineRule="auto" w:line="259" w:before="0" w:after="355"/>
        <w:ind w:hanging="10" w:left="996" w:right="979"/>
        <w:jc w:val="center"/>
        <w:rPr/>
      </w:pPr>
      <w:r>
        <w:rPr/>
        <w:t>Informácie o účtovných zásadách a účtovných metódach</w:t>
      </w:r>
    </w:p>
    <w:p>
      <w:pPr>
        <w:pStyle w:val="Normal"/>
        <w:numPr>
          <w:ilvl w:val="0"/>
          <w:numId w:val="2"/>
        </w:numPr>
        <w:spacing w:before="0" w:after="240"/>
        <w:ind w:hanging="288" w:left="302" w:right="582"/>
        <w:rPr/>
      </w:pPr>
      <w:r>
        <w:rPr/>
        <w:t>Účtovná závierka je zostavená za splnenia predpokladu nepretržitého pokračovania účtovnej jednotky vo svojej činnosti áno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Zmeny účtovných metód a účtovných zásad</w:t>
      </w:r>
    </w:p>
    <w:p>
      <w:pPr>
        <w:pStyle w:val="Normal"/>
        <w:spacing w:lineRule="auto" w:line="247" w:before="0" w:after="37"/>
        <w:ind w:hanging="14" w:left="352" w:right="-15"/>
        <w:jc w:val="left"/>
        <w:rPr/>
      </w:pPr>
      <w:r>
        <w:rPr/>
        <w:t>Účtovná jednotka zmenila účtovné metódy, účtovné zásady oproti predchádzajúcemu účtovnému obdobiu nie</w:t>
      </w:r>
    </w:p>
    <w:p>
      <w:pPr>
        <w:pStyle w:val="Normal"/>
        <w:ind w:hanging="10" w:left="355" w:right="582"/>
        <w:rPr/>
      </w:pPr>
      <w:r>
        <w:rPr/>
        <w:t>Účtovná jednotka účtuje od roku 2016 v podvojnom účtovníctve.</w:t>
      </w:r>
    </w:p>
    <w:p>
      <w:pPr>
        <w:pStyle w:val="Normal"/>
        <w:numPr>
          <w:ilvl w:val="0"/>
          <w:numId w:val="2"/>
        </w:numPr>
        <w:ind w:hanging="288" w:left="302" w:right="582"/>
        <w:rPr/>
      </w:pPr>
      <w:r>
        <w:rPr/>
        <w:t>Spôsob ocenenia jednotlivých položiek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nakupovaný -Účtovná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nehmotný majetok vytvorený vlastnou činnosťou 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hmotný majetok nakupovaný Účtovná jednotka nemá obsahovú náplň.</w:t>
      </w:r>
    </w:p>
    <w:p>
      <w:pPr>
        <w:pStyle w:val="Normal"/>
        <w:numPr>
          <w:ilvl w:val="0"/>
          <w:numId w:val="3"/>
        </w:numPr>
        <w:spacing w:before="0" w:after="39"/>
        <w:ind w:hanging="281" w:left="295" w:right="1155"/>
        <w:rPr/>
      </w:pPr>
      <w:r>
        <w:rPr/>
        <w:t>Dlhodobý hmotný majetok vytvorený vlastnou činnosťou Účtovná jednotka nemá obsahovú náplň. Dlhodobý nehmotný majetok a dlhodobý hmotný majetok získaný bezodplatne</w:t>
      </w:r>
    </w:p>
    <w:p>
      <w:pPr>
        <w:pStyle w:val="Normal"/>
        <w:ind w:hanging="10" w:left="327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Dlhodobý finančný majetok</w:t>
      </w:r>
    </w:p>
    <w:p>
      <w:pPr>
        <w:pStyle w:val="Normal"/>
        <w:ind w:hanging="10" w:left="334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nakupované</w:t>
      </w:r>
    </w:p>
    <w:p>
      <w:pPr>
        <w:pStyle w:val="Normal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3"/>
        </w:numPr>
        <w:spacing w:before="0" w:after="31"/>
        <w:ind w:hanging="281" w:left="295" w:right="1155"/>
        <w:rPr/>
      </w:pPr>
      <w:r>
        <w:rPr/>
        <w:t>Zásoby vytvorené vlastnou činnosťou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3"/>
        </w:numPr>
        <w:ind w:hanging="281" w:left="295" w:right="1155"/>
        <w:rPr/>
      </w:pPr>
      <w:r>
        <w:rPr/>
        <w:t>Zásoby získané bezodplatne</w:t>
      </w:r>
    </w:p>
    <w:p>
      <w:pPr>
        <w:pStyle w:val="Normal"/>
        <w:ind w:firstLine="266" w:left="14" w:right="5649"/>
        <w:rPr/>
      </w:pPr>
      <w:r>
        <w:rPr/>
        <w:t>Účtovná jednotka nemá obsahovú náplň i) Pohľadávky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Krátkodobý finančný majetok</w:t>
      </w:r>
    </w:p>
    <w:p>
      <w:pPr>
        <w:pStyle w:val="Normal"/>
        <w:ind w:hanging="10" w:left="283" w:right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Časové rozlíšenie na strane aktív</w:t>
      </w:r>
    </w:p>
    <w:p>
      <w:pPr>
        <w:pStyle w:val="Normal"/>
        <w:ind w:hanging="10" w:left="291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4"/>
        </w:numPr>
        <w:ind w:hanging="273" w:left="287" w:right="582"/>
        <w:rPr/>
      </w:pPr>
      <w:r>
        <w:rPr/>
        <w:t>Záväzky, vrátane rezerv, dlhopisov, pôžičiek a úverov</w:t>
      </w:r>
    </w:p>
    <w:p>
      <w:pPr>
        <w:pStyle w:val="Normal"/>
        <w:spacing w:lineRule="auto" w:line="264" w:before="0" w:after="147"/>
        <w:ind w:hanging="10" w:left="297" w:right="0"/>
        <w:jc w:val="left"/>
        <w:rPr/>
      </w:pPr>
      <w:r>
        <w:rPr>
          <w:sz w:val="22"/>
        </w:rPr>
        <w:t>Účtovná jednotka nemá obsahovú náplň Účtovná jednotka rezervy netvorila.</w:t>
      </w:r>
    </w:p>
    <w:p>
      <w:pPr>
        <w:pStyle w:val="Normal"/>
        <w:ind w:hanging="10" w:left="24" w:right="582"/>
        <w:rPr/>
      </w:pPr>
      <w:r>
        <w:rPr/>
        <w:t>m)Časové rozlíšenie na strane pasív</w:t>
      </w:r>
    </w:p>
    <w:p>
      <w:pPr>
        <w:pStyle w:val="Normal"/>
        <w:ind w:hanging="10" w:left="348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n) Deriváty</w:t>
      </w:r>
    </w:p>
    <w:p>
      <w:pPr>
        <w:pStyle w:val="Normal"/>
        <w:ind w:firstLine="266" w:left="14" w:right="5231"/>
        <w:rPr/>
      </w:pPr>
      <w:r>
        <w:rPr/>
        <w:t>Účtovná jednotka nemá obsahovú náplň. o) Majetok a záväzky zabezpečené derivátmi . Účtovná jednotka nemá obsahovú náplň.</w:t>
      </w:r>
    </w:p>
    <w:p>
      <w:pPr>
        <w:pStyle w:val="Normal"/>
        <w:numPr>
          <w:ilvl w:val="0"/>
          <w:numId w:val="5"/>
        </w:numPr>
        <w:ind w:hanging="245" w:left="259" w:right="582"/>
        <w:rPr/>
      </w:pPr>
      <w:r>
        <w:rPr/>
        <w:t>Majetok obstaraný z transferov</w:t>
      </w:r>
    </w:p>
    <w:p>
      <w:pPr>
        <w:pStyle w:val="Normal"/>
        <w:ind w:hanging="10" w:left="348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5"/>
        </w:numPr>
        <w:spacing w:before="0" w:after="34"/>
        <w:ind w:hanging="245" w:left="259" w:right="582"/>
        <w:rPr/>
      </w:pPr>
      <w:r>
        <w:rPr/>
        <w:t>Finančný prenájom</w:t>
      </w:r>
    </w:p>
    <w:p>
      <w:pPr>
        <w:pStyle w:val="Normal"/>
        <w:spacing w:before="0" w:after="347"/>
        <w:ind w:hanging="10" w:left="305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6"/>
        </w:numPr>
        <w:spacing w:lineRule="auto" w:line="247" w:before="0" w:after="304"/>
        <w:ind w:hanging="273" w:left="287" w:right="777"/>
        <w:rPr/>
      </w:pPr>
      <w:r>
        <w:rPr/>
        <w:t>Pri obstarávacej cene majetku a pri ocenení vlastnými nákladmi položiek uvedených v odseku 3 sa uvádza cena obstarania a náklady súvisiace s obstaraním</w:t>
      </w:r>
    </w:p>
    <w:p>
      <w:pPr>
        <w:pStyle w:val="Normal"/>
        <w:numPr>
          <w:ilvl w:val="0"/>
          <w:numId w:val="6"/>
        </w:numPr>
        <w:spacing w:before="0" w:after="48"/>
        <w:ind w:hanging="273" w:left="287" w:right="777"/>
        <w:rPr/>
      </w:pPr>
      <w:r>
        <w:rPr/>
        <w:t>Spôsob zostavenia odpisového plánu pre dlhodobý majetok, doba odpisovania, sadzby odpisov a odpisové metódy pri stanovení účtovných odpisov</w:t>
      </w:r>
    </w:p>
    <w:p>
      <w:pPr>
        <w:pStyle w:val="Normal"/>
        <w:spacing w:lineRule="auto" w:line="264" w:before="0" w:after="3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Normal"/>
        <w:numPr>
          <w:ilvl w:val="0"/>
          <w:numId w:val="6"/>
        </w:numPr>
        <w:spacing w:before="0" w:after="327"/>
        <w:ind w:hanging="273" w:left="287" w:right="777"/>
        <w:rPr/>
      </w:pPr>
      <w:r>
        <w:rPr/>
        <w:t>Zásady pre zohľadnenie zníženia hodnoty majetku. Účtovná jednotka nemá obsahovú náplň.</w:t>
      </w:r>
    </w:p>
    <w:p>
      <w:pPr>
        <w:pStyle w:val="Normal"/>
        <w:numPr>
          <w:ilvl w:val="0"/>
          <w:numId w:val="6"/>
        </w:numPr>
        <w:ind w:hanging="273" w:left="287" w:right="777"/>
        <w:rPr/>
      </w:pPr>
      <w:r>
        <w:rPr/>
        <w:t>Zásady pre vykazovanie transferov.</w:t>
      </w:r>
    </w:p>
    <w:p>
      <w:pPr>
        <w:pStyle w:val="Normal"/>
        <w:spacing w:before="0" w:after="305"/>
        <w:ind w:hanging="10" w:left="283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6"/>
        </w:numPr>
        <w:spacing w:before="0" w:after="321"/>
        <w:ind w:hanging="273" w:left="287" w:right="777"/>
        <w:rPr/>
      </w:pPr>
      <w:r>
        <w:rPr/>
        <w:t>Spôsob prepočtu údajov v cudzích menách na menu euro. Účtovná jednotka nemá obsahovú náplň</w:t>
      </w:r>
    </w:p>
    <w:p>
      <w:pPr>
        <w:pStyle w:val="Normal"/>
        <w:numPr>
          <w:ilvl w:val="0"/>
          <w:numId w:val="6"/>
        </w:numPr>
        <w:spacing w:before="0" w:after="1196"/>
        <w:ind w:hanging="273" w:left="287" w:right="777"/>
        <w:rPr/>
      </w:pPr>
      <w:r>
        <w:rPr/>
        <w:t>Spôsob prepočtu údajov v cudzích menách na menu euro Účtovná jednotka nemá obsahovú náplň</w:t>
      </w:r>
    </w:p>
    <w:p>
      <w:pPr>
        <w:pStyle w:val="Heading2"/>
        <w:jc w:val="left"/>
        <w:rPr/>
      </w:pPr>
      <w:r>
        <w:rPr/>
        <w:t>čl. 111</w:t>
      </w:r>
    </w:p>
    <w:p>
      <w:pPr>
        <w:pStyle w:val="Normal"/>
        <w:spacing w:lineRule="auto" w:line="259" w:before="0" w:after="258"/>
        <w:ind w:hanging="0" w:left="0" w:right="0"/>
        <w:jc w:val="left"/>
        <w:rPr/>
      </w:pPr>
      <w:r>
        <w:rPr>
          <w:sz w:val="26"/>
        </w:rPr>
        <w:t>Informácie o údajoch na strane aktív súvahy</w:t>
      </w:r>
    </w:p>
    <w:p>
      <w:pPr>
        <w:pStyle w:val="Normal"/>
        <w:ind w:hanging="10" w:left="24" w:right="582"/>
        <w:rPr/>
      </w:pPr>
      <w:r>
        <w:rPr/>
        <w:t>A Neobežný majetok</w:t>
      </w:r>
    </w:p>
    <w:p>
      <w:pPr>
        <w:pStyle w:val="Normal"/>
        <w:numPr>
          <w:ilvl w:val="0"/>
          <w:numId w:val="7"/>
        </w:numPr>
        <w:spacing w:before="0" w:after="268"/>
        <w:ind w:hanging="273" w:left="287" w:right="582"/>
        <w:rPr/>
      </w:pPr>
      <w:r>
        <w:rPr/>
        <w:t>Dlhodobý nehmotný majetok a dlhodobý hmotný majetok Účtovná jednotka nemá obsahovú náplň.</w:t>
      </w:r>
    </w:p>
    <w:p>
      <w:pPr>
        <w:pStyle w:val="Normal"/>
        <w:numPr>
          <w:ilvl w:val="0"/>
          <w:numId w:val="7"/>
        </w:numPr>
        <w:spacing w:before="0" w:after="37"/>
        <w:ind w:hanging="273" w:left="287" w:right="582"/>
        <w:rPr/>
      </w:pPr>
      <w:r>
        <w:rPr/>
        <w:t>Dlhodobý finančný majetok</w:t>
      </w:r>
    </w:p>
    <w:p>
      <w:pPr>
        <w:pStyle w:val="Normal"/>
        <w:spacing w:before="0" w:after="315"/>
        <w:ind w:hanging="10" w:left="291" w:right="582"/>
        <w:rPr/>
      </w:pPr>
      <w:r>
        <w:rPr/>
        <w:t>Účtovná jednotka nemá obsahovú náplň.</w:t>
      </w:r>
    </w:p>
    <w:p>
      <w:pPr>
        <w:pStyle w:val="Normal"/>
        <w:numPr>
          <w:ilvl w:val="0"/>
          <w:numId w:val="7"/>
        </w:numPr>
        <w:spacing w:before="0" w:after="284"/>
        <w:ind w:hanging="273" w:left="287" w:right="582"/>
        <w:rPr/>
      </w:pPr>
      <w:r>
        <w:rPr/>
        <w:t>Majetkové podiely účtovnej jednotky v iných spoločnostiach Účtovná jednotka nemá obsahovú náplň.</w:t>
      </w:r>
    </w:p>
    <w:p>
      <w:pPr>
        <w:pStyle w:val="Normal"/>
        <w:numPr>
          <w:ilvl w:val="0"/>
          <w:numId w:val="7"/>
        </w:numPr>
        <w:spacing w:before="0" w:after="288"/>
        <w:ind w:hanging="273" w:left="287" w:right="582"/>
        <w:rPr/>
      </w:pPr>
      <w:r>
        <w:rPr/>
        <w:t>Dlhové cenné papiere a realizovateľné cenné papiere, dlhodobé pôžičky a ostatný dlhodobý finančný majetok Účtovná jednotka nemá obsahovú náplň.</w:t>
      </w:r>
    </w:p>
    <w:p>
      <w:pPr>
        <w:pStyle w:val="Normal"/>
        <w:ind w:hanging="10" w:left="24" w:right="582"/>
        <w:rPr/>
      </w:pPr>
      <w:r>
        <w:rPr/>
        <w:t>B Obežný majetok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Zásoby</w:t>
      </w:r>
    </w:p>
    <w:p>
      <w:pPr>
        <w:pStyle w:val="Normal"/>
        <w:spacing w:before="0" w:after="246"/>
        <w:ind w:hanging="10" w:left="305" w:right="582"/>
        <w:rPr/>
      </w:pPr>
      <w:r>
        <w:rPr/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Pohľadávky</w:t>
      </w:r>
    </w:p>
    <w:p>
      <w:pPr>
        <w:pStyle w:val="Normal"/>
        <w:spacing w:lineRule="auto" w:line="264" w:before="0" w:after="236"/>
        <w:ind w:hanging="10" w:left="297" w:right="0"/>
        <w:jc w:val="left"/>
        <w:rPr/>
      </w:pPr>
      <w:r>
        <w:rPr>
          <w:sz w:val="22"/>
        </w:rPr>
        <w:t>Účtovná jednotka nemá obsahovú náplň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 xml:space="preserve">Finančný majetok a 'znamné zlo </w:t>
      </w:r>
      <w:r>
        <w:rPr>
          <w:vertAlign w:val="superscript"/>
        </w:rPr>
        <w:t xml:space="preserve">v </w:t>
      </w:r>
      <w:r>
        <w:rPr/>
        <w:t>krátkodobého finančného majetku</w:t>
      </w:r>
    </w:p>
    <w:tbl>
      <w:tblPr>
        <w:tblStyle w:val="TableGrid"/>
        <w:tblW w:w="9798" w:type="dxa"/>
        <w:jc w:val="left"/>
        <w:tblInd w:w="122" w:type="dxa"/>
        <w:tblLayout w:type="fixed"/>
        <w:tblCellMar>
          <w:top w:w="0" w:type="dxa"/>
          <w:left w:w="65" w:type="dxa"/>
          <w:bottom w:w="0" w:type="dxa"/>
          <w:right w:w="51" w:type="dxa"/>
        </w:tblCellMar>
        <w:tblLook w:firstRow="1" w:noVBand="1" w:lastRow="0" w:firstColumn="1" w:lastColumn="0" w:noHBand="0" w:val="04a0"/>
      </w:tblPr>
      <w:tblGrid>
        <w:gridCol w:w="2223"/>
        <w:gridCol w:w="1040"/>
        <w:gridCol w:w="1756"/>
        <w:gridCol w:w="1528"/>
        <w:gridCol w:w="1543"/>
        <w:gridCol w:w="1707"/>
      </w:tblGrid>
      <w:tr>
        <w:trPr>
          <w:trHeight w:val="50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619" w:left="65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Krátkodobý finančný ma •etok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4" w:left="11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Riadok súvah</w:t>
            </w:r>
          </w:p>
        </w:tc>
        <w:tc>
          <w:tcPr>
            <w:tcW w:w="17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3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2</w:t>
            </w:r>
          </w:p>
        </w:tc>
        <w:tc>
          <w:tcPr>
            <w:tcW w:w="15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Prírastky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4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Úbytky</w:t>
            </w:r>
          </w:p>
        </w:tc>
        <w:tc>
          <w:tcPr>
            <w:tcW w:w="1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11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Zostatok k</w:t>
            </w:r>
          </w:p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26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31.12.202</w:t>
            </w:r>
            <w:r>
              <w:rPr>
                <w:kern w:val="2"/>
                <w:sz w:val="24"/>
                <w:szCs w:val="24"/>
                <w:lang w:val="sk-SK" w:eastAsia="sk-SK" w:bidi="ar-SA"/>
              </w:rPr>
              <w:t>3</w:t>
            </w:r>
          </w:p>
        </w:tc>
      </w:tr>
      <w:tr>
        <w:trPr>
          <w:trHeight w:val="478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Bankové účty</w:t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053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8.701,07</w:t>
            </w: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6.067,70</w:t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7.242,79</w:t>
            </w:r>
          </w:p>
        </w:tc>
        <w:tc>
          <w:tcPr>
            <w:tcW w:w="1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7.525,98</w:t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5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7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Poskytnuté návratné finančné výpomoci</w:t>
      </w:r>
    </w:p>
    <w:p>
      <w:pPr>
        <w:pStyle w:val="Normal"/>
        <w:spacing w:lineRule="auto" w:line="264" w:before="0" w:after="285"/>
        <w:ind w:hanging="10" w:left="297" w:right="0"/>
        <w:jc w:val="left"/>
        <w:rPr/>
      </w:pPr>
      <w:r>
        <w:rPr>
          <w:sz w:val="22"/>
        </w:rPr>
        <w:t>Účtovná jednotka neposkytuje finančné výpomoci.</w:t>
      </w:r>
    </w:p>
    <w:p>
      <w:pPr>
        <w:pStyle w:val="Normal"/>
        <w:numPr>
          <w:ilvl w:val="0"/>
          <w:numId w:val="8"/>
        </w:numPr>
        <w:ind w:hanging="281" w:left="295" w:right="582"/>
        <w:rPr/>
      </w:pPr>
      <w:r>
        <w:rPr/>
        <w:t>Časové rozlíšenie</w:t>
      </w:r>
    </w:p>
    <w:p>
      <w:pPr>
        <w:pStyle w:val="Normal"/>
        <w:spacing w:lineRule="auto" w:line="264" w:before="0" w:after="299"/>
        <w:ind w:hanging="10" w:left="297" w:right="0"/>
        <w:jc w:val="left"/>
        <w:rPr/>
      </w:pPr>
      <w:r>
        <w:rPr>
          <w:sz w:val="22"/>
        </w:rPr>
        <w:t>Účtovná jednotka nemá obsahovú náplň.</w:t>
      </w:r>
    </w:p>
    <w:p>
      <w:pPr>
        <w:pStyle w:val="Heading3"/>
        <w:ind w:hanging="10" w:left="1025" w:right="50"/>
        <w:rPr/>
      </w:pPr>
      <w:r>
        <w:rPr/>
        <w:t>čl. IV</w:t>
      </w:r>
    </w:p>
    <w:p>
      <w:pPr>
        <w:pStyle w:val="Normal"/>
        <w:spacing w:before="0" w:after="284"/>
        <w:ind w:hanging="10" w:left="2694" w:right="582"/>
        <w:rPr/>
      </w:pPr>
      <w:r>
        <w:rPr/>
        <w:t>Informácie o údajoch na strane pasív súvahy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Vlastné imanie</w:t>
      </w:r>
    </w:p>
    <w:p>
      <w:pPr>
        <w:pStyle w:val="Normal"/>
        <w:spacing w:before="0" w:after="312"/>
        <w:ind w:hanging="10" w:left="291" w:right="0"/>
        <w:rPr/>
      </w:pPr>
      <w:r>
        <w:rPr/>
        <w:t>Nevysporiadaný výsledok hospodárenia minulých rokov vo výške -6.249,79 € na účte 428 Výsledok hospodárenia za účtovné obdobie — rok 2023 vo výške -1.175,09 na účte 431</w:t>
      </w:r>
    </w:p>
    <w:p>
      <w:pPr>
        <w:pStyle w:val="Normal"/>
        <w:numPr>
          <w:ilvl w:val="0"/>
          <w:numId w:val="9"/>
        </w:numPr>
        <w:ind w:hanging="281" w:left="295" w:right="582"/>
        <w:rPr/>
      </w:pPr>
      <w:r>
        <w:rPr/>
        <w:t>Záväzky</w:t>
      </w:r>
    </w:p>
    <w:p>
      <w:pPr>
        <w:pStyle w:val="Normal"/>
        <w:spacing w:before="0" w:after="31"/>
        <w:ind w:hanging="10" w:left="24" w:right="582"/>
        <w:rPr/>
      </w:pPr>
      <w:r>
        <w:rPr/>
        <w:t>1.Rezervy</w:t>
      </w:r>
    </w:p>
    <w:p>
      <w:pPr>
        <w:pStyle w:val="Normal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2.Záväzky podľa doby splatnosti</w:t>
      </w:r>
    </w:p>
    <w:p>
      <w:pPr>
        <w:pStyle w:val="Normal"/>
        <w:spacing w:before="0" w:after="38"/>
        <w:ind w:hanging="10" w:left="183" w:right="582"/>
        <w:rPr/>
      </w:pPr>
      <w:r>
        <w:rPr/>
        <w:t>Účtovná jednotka nemá obsahovú náplň.</w:t>
      </w:r>
    </w:p>
    <w:p>
      <w:pPr>
        <w:pStyle w:val="Normal"/>
        <w:ind w:hanging="180" w:left="194" w:right="0"/>
        <w:rPr/>
      </w:pPr>
      <w:r>
        <w:rPr/>
        <w:t>3.Bankové úvery a ostatné prijaté návratné finančné výpomoci dlhodobé bankové úvery a krátkodobé bankové úvery</w:t>
      </w:r>
    </w:p>
    <w:p>
      <w:pPr>
        <w:pStyle w:val="Normal"/>
        <w:spacing w:before="0" w:after="32"/>
        <w:ind w:hanging="10" w:left="190" w:right="582"/>
        <w:rPr/>
      </w:pPr>
      <w:r>
        <w:rPr/>
        <w:t>Účtovná jednotka nemá obsahovú náplň.</w:t>
      </w:r>
    </w:p>
    <w:p>
      <w:pPr>
        <w:pStyle w:val="Normal"/>
        <w:ind w:hanging="10" w:left="24" w:right="582"/>
        <w:rPr/>
      </w:pPr>
      <w:r>
        <w:rPr/>
        <w:t>4.Časové rozlíšenie</w:t>
      </w:r>
    </w:p>
    <w:p>
      <w:pPr>
        <w:pStyle w:val="Normal"/>
        <w:spacing w:before="0" w:after="618"/>
        <w:ind w:hanging="10" w:left="240" w:right="582"/>
        <w:rPr/>
      </w:pPr>
      <w:r>
        <w:rPr/>
        <w:t>Účtovná jednotka nemá obsahovú náplň.</w:t>
      </w:r>
    </w:p>
    <w:p>
      <w:pPr>
        <w:pStyle w:val="Heading3"/>
        <w:ind w:hanging="10" w:left="1025"/>
        <w:rPr/>
      </w:pPr>
      <w:r>
        <w:rPr/>
        <w:t>čl. V</w:t>
      </w:r>
    </w:p>
    <w:p>
      <w:pPr>
        <w:pStyle w:val="Normal"/>
        <w:spacing w:lineRule="auto" w:line="259" w:before="0" w:after="0"/>
        <w:ind w:hanging="10" w:left="996" w:right="0"/>
        <w:jc w:val="center"/>
        <w:rPr/>
      </w:pPr>
      <w:r>
        <w:rPr/>
        <w:t>Informácie o výnosoch a nákladoch</w:t>
      </w:r>
    </w:p>
    <w:p>
      <w:pPr>
        <w:pStyle w:val="Normal"/>
        <w:ind w:hanging="10" w:left="427" w:right="582"/>
        <w:rPr/>
      </w:pPr>
      <w:r>
        <w:rPr/>
        <w:t>Výnosy - popis a výška významných položiek výnosov</w:t>
      </w:r>
    </w:p>
    <w:tbl>
      <w:tblPr>
        <w:tblStyle w:val="TableGrid"/>
        <w:tblW w:w="9789" w:type="dxa"/>
        <w:jc w:val="left"/>
        <w:tblInd w:w="105" w:type="dxa"/>
        <w:tblLayout w:type="fixed"/>
        <w:tblCellMar>
          <w:top w:w="0" w:type="dxa"/>
          <w:left w:w="65" w:type="dxa"/>
          <w:bottom w:w="0" w:type="dxa"/>
          <w:right w:w="115" w:type="dxa"/>
        </w:tblCellMar>
        <w:tblLook w:firstRow="1" w:noVBand="1" w:lastRow="0" w:firstColumn="1" w:lastColumn="0" w:noHBand="0" w:val="04a0"/>
      </w:tblPr>
      <w:tblGrid>
        <w:gridCol w:w="3939"/>
        <w:gridCol w:w="4588"/>
        <w:gridCol w:w="1262"/>
      </w:tblGrid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nosov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39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6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tržby za vlastné výkony a tovar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b) zmena stavu vnútroorganizačných zásob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aktivácia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66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6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daňové a colné výnosy a výnosy z poplatkov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21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95" w:hRule="atLeast"/>
        </w:trPr>
        <w:tc>
          <w:tcPr>
            <w:tcW w:w="39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finančné výnosy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39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664 —Prijaté členské príspevky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46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6.067,70</w:t>
            </w:r>
          </w:p>
        </w:tc>
      </w:tr>
      <w:tr>
        <w:trPr>
          <w:trHeight w:val="278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283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mimoriadne 'nos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557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nos z transferov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5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16"/>
                <w:szCs w:val="24"/>
                <w:lang w:val="sk-SK" w:eastAsia="sk-SK" w:bidi="ar-SA"/>
              </w:rPr>
              <w:t>h ostatné ' os</w:t>
            </w:r>
          </w:p>
        </w:tc>
        <w:tc>
          <w:tcPr>
            <w:tcW w:w="45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4" w:hRule="atLeast"/>
        </w:trPr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15" w:left="190" w:right="755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i) výnosy podľa rozpočtových ro amov</w:t>
            </w:r>
          </w:p>
        </w:tc>
        <w:tc>
          <w:tcPr>
            <w:tcW w:w="4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ind w:hanging="10" w:left="24" w:right="0"/>
        <w:rPr/>
      </w:pPr>
      <w:r>
        <w:rPr/>
        <w:t>1. Náklady - popis a výška významných položiek nákladov</w:t>
      </w:r>
    </w:p>
    <w:tbl>
      <w:tblPr>
        <w:tblStyle w:val="TableGrid"/>
        <w:tblW w:w="9798" w:type="dxa"/>
        <w:jc w:val="left"/>
        <w:tblInd w:w="65" w:type="dxa"/>
        <w:tblLayout w:type="fixed"/>
        <w:tblCellMar>
          <w:top w:w="32" w:type="dxa"/>
          <w:left w:w="58" w:type="dxa"/>
          <w:bottom w:w="0" w:type="dxa"/>
          <w:right w:w="242" w:type="dxa"/>
        </w:tblCellMar>
        <w:tblLook w:firstRow="1" w:noVBand="1" w:lastRow="0" w:firstColumn="1" w:lastColumn="0" w:noHBand="0" w:val="04a0"/>
      </w:tblPr>
      <w:tblGrid>
        <w:gridCol w:w="3965"/>
        <w:gridCol w:w="4562"/>
        <w:gridCol w:w="1271"/>
      </w:tblGrid>
      <w:tr>
        <w:trPr>
          <w:trHeight w:val="276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6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Druh nákladov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7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Po is /číslo účtu a názov/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22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Suma</w:t>
            </w:r>
          </w:p>
        </w:tc>
      </w:tr>
      <w:tr>
        <w:trPr>
          <w:trHeight w:val="28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a) spotrebované nákupy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501 — Spotreba materiálu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51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b) služby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513 -Náklad na re reprezentáciu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30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5.050,05</w:t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518 - Ostatné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4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2.101,49</w:t>
            </w:r>
          </w:p>
        </w:tc>
      </w:tr>
      <w:tr>
        <w:trPr>
          <w:trHeight w:val="281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c) osobné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734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d) dane a poplatky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e) odpisy, rezervy a opravné položky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f) finančné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544 -Úroky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3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549 _ Ostatné finančné náklad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73" w:right="0"/>
              <w:jc w:val="center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91,25</w:t>
            </w:r>
          </w:p>
        </w:tc>
      </w:tr>
      <w:tr>
        <w:trPr>
          <w:trHeight w:val="283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2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g) mimoriadne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68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73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h) náklady na transfery a náklady z odvodu príjmov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420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6" w:hRule="atLeast"/>
        </w:trPr>
        <w:tc>
          <w:tcPr>
            <w:tcW w:w="39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i) ostatné náklady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7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8" w:hRule="atLeast"/>
        </w:trPr>
        <w:tc>
          <w:tcPr>
            <w:tcW w:w="3965" w:type="dxa"/>
            <w:vMerge w:val="continue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2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137" w:left="202" w:right="557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j) náklady podľa rozpočtových programov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Účtovná jednotka nemá obsahovú náplň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7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firstLine="7" w:left="14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Osobitné náklady podľa zákona o účtovníctve 18 ods.6</w:t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7" w:left="29" w:right="319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Náklady voči audítorovi alebo audítorskej spoločnosti v členení na náklad za: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79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2"/>
                <w:szCs w:val="24"/>
                <w:lang w:val="sk-SK" w:eastAsia="sk-SK" w:bidi="ar-SA"/>
              </w:rPr>
              <w:t>- overenie účtovne</w:t>
            </w:r>
            <w:r>
              <w:rPr>
                <w:kern w:val="2"/>
                <w:sz w:val="22"/>
                <w:szCs w:val="24"/>
                <w:lang w:val="sk-SK" w:eastAsia="sk-SK" w:bidi="ar-SA"/>
              </w:rPr>
              <w:t>j</w:t>
            </w:r>
            <w:r>
              <w:rPr>
                <w:kern w:val="2"/>
                <w:sz w:val="22"/>
                <w:szCs w:val="24"/>
                <w:lang w:val="sk-SK" w:eastAsia="sk-SK" w:bidi="ar-SA"/>
              </w:rPr>
              <w:t xml:space="preserve"> závier</w:t>
            </w:r>
            <w:r>
              <w:rPr>
                <w:kern w:val="2"/>
                <w:sz w:val="22"/>
                <w:szCs w:val="24"/>
                <w:lang w:val="sk-SK" w:eastAsia="sk-SK" w:bidi="ar-SA"/>
              </w:rPr>
              <w:t>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540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266" w:left="345" w:right="0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audítorské služby s výnimkou overenia účtovnej závierky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súvisiace 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5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daňové poradenstvo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  <w:tr>
        <w:trPr>
          <w:trHeight w:val="281" w:hRule="atLeast"/>
        </w:trPr>
        <w:tc>
          <w:tcPr>
            <w:tcW w:w="3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  <w:tc>
          <w:tcPr>
            <w:tcW w:w="45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0"/>
              <w:ind w:hanging="0" w:left="86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  <w:t>- ostatné neaudítorské služby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suppressAutoHyphens w:val="true"/>
              <w:spacing w:lineRule="auto" w:line="259" w:before="0" w:after="160"/>
              <w:ind w:hanging="0" w:left="0" w:right="0"/>
              <w:jc w:val="left"/>
              <w:rPr>
                <w:kern w:val="2"/>
                <w:sz w:val="24"/>
                <w:szCs w:val="24"/>
                <w:lang w:val="sk-SK" w:eastAsia="sk-SK" w:bidi="ar-SA"/>
              </w:rPr>
            </w:pPr>
            <w:r>
              <w:rPr>
                <w:kern w:val="2"/>
                <w:sz w:val="24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59" w:before="0" w:after="0"/>
        <w:ind w:hanging="10" w:left="10" w:right="14"/>
        <w:jc w:val="center"/>
        <w:rPr/>
      </w:pPr>
      <w:r>
        <w:rPr>
          <w:sz w:val="30"/>
        </w:rPr>
        <w:t>čl. VI</w:t>
      </w:r>
    </w:p>
    <w:p>
      <w:pPr>
        <w:pStyle w:val="Normal"/>
        <w:spacing w:lineRule="auto" w:line="259" w:before="0" w:after="317"/>
        <w:ind w:hanging="10" w:left="996" w:right="1000"/>
        <w:jc w:val="center"/>
        <w:rPr/>
      </w:pPr>
      <w:r>
        <w:rPr/>
        <w:t>Informácie o údajoch na podsúvahových účtoch</w:t>
      </w:r>
    </w:p>
    <w:p>
      <w:pPr>
        <w:pStyle w:val="Normal"/>
        <w:spacing w:lineRule="auto" w:line="264" w:before="0" w:after="603"/>
        <w:ind w:hanging="10" w:left="297" w:right="0"/>
        <w:jc w:val="left"/>
        <w:rPr/>
      </w:pPr>
      <w:r>
        <w:rPr>
          <w:sz w:val="22"/>
        </w:rPr>
        <w:t>Učtovná jednotka nemá obsahovú náplň</w:t>
      </w:r>
    </w:p>
    <w:p>
      <w:pPr>
        <w:pStyle w:val="Normal"/>
        <w:spacing w:lineRule="auto" w:line="259" w:before="0" w:after="0"/>
        <w:ind w:hanging="10" w:left="10" w:right="7"/>
        <w:jc w:val="center"/>
        <w:rPr/>
      </w:pPr>
      <w:r>
        <w:rPr>
          <w:sz w:val="30"/>
        </w:rPr>
        <w:t>čl. IX.</w:t>
      </w:r>
    </w:p>
    <w:p>
      <w:pPr>
        <w:pStyle w:val="Normal"/>
        <w:spacing w:lineRule="auto" w:line="259" w:before="0" w:after="276"/>
        <w:ind w:hanging="10" w:left="996" w:right="957"/>
        <w:jc w:val="center"/>
        <w:rPr/>
      </w:pPr>
      <w:r>
        <w:rPr/>
        <w:t>Informácie o rozpočte a hodnotenie plnenia rozpočtu</w:t>
      </w:r>
    </w:p>
    <w:p>
      <w:pPr>
        <w:pStyle w:val="Normal"/>
        <w:spacing w:lineRule="auto" w:line="252" w:before="0" w:after="1202"/>
        <w:ind w:firstLine="7" w:left="14" w:right="0"/>
        <w:jc w:val="left"/>
        <w:rPr/>
      </w:pPr>
      <w:r>
        <w:rPr>
          <w:rFonts w:eastAsia="Calibri" w:cs="Calibri" w:ascii="Calibri" w:hAnsi="Calibri"/>
        </w:rPr>
        <w:t>Po 31. decembri 2023 nenastali také udalosti, ktoré by si vyžadovali zverejnenie alebo vykázanie v účtovnej závierke za rok 2023.</w:t>
      </w:r>
    </w:p>
    <w:p>
      <w:pPr>
        <w:pStyle w:val="Normal"/>
        <w:ind w:hanging="10" w:left="24" w:right="582"/>
        <w:rPr/>
      </w:pPr>
      <w:r>
        <w:rPr/>
        <w:t>Banskej Štiavnici, 5. februára 2024</w:t>
      </w:r>
    </w:p>
    <w:p>
      <w:pPr>
        <w:pStyle w:val="Normal"/>
        <w:spacing w:lineRule="auto" w:line="264" w:before="0" w:after="3"/>
        <w:ind w:hanging="10" w:left="10" w:right="0"/>
        <w:jc w:val="left"/>
        <w:rPr/>
      </w:pPr>
      <w:r>
        <w:rPr>
          <w:sz w:val="22"/>
        </w:rPr>
        <w:t>Vypracoval : Ing. Štefan Henžel</w:t>
      </w:r>
    </w:p>
    <w:p>
      <w:pPr>
        <w:pStyle w:val="Normal"/>
        <w:spacing w:lineRule="auto" w:line="259" w:before="0" w:after="0"/>
        <w:ind w:hanging="0" w:left="1691" w:right="1561"/>
        <w:jc w:val="left"/>
        <w:rPr/>
      </w:pPr>
      <w:r>
        <w:rPr/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338" w:right="756" w:gutter="0" w:header="0" w:top="1105" w:footer="708" w:bottom="1866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0</w:t>
    </w:r>
    <w:r>
      <w:rPr>
        <w:sz w:val="20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0"/>
      <w:ind w:hanging="0" w:left="0" w:right="-115"/>
      <w:jc w:val="right"/>
      <w:rPr/>
    </w:pP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>
      <w:rPr>
        <w:sz w:val="20"/>
      </w:rPr>
      <w:t>6</w:t>
    </w:r>
    <w:r>
      <w:rPr>
        <w:sz w:val="20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160"/>
      <w:ind w:hanging="0" w:left="0" w:right="0"/>
      <w:jc w:val="left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02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9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01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3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5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70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3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4">
    <w:lvl w:ilvl="0">
      <w:start w:val="10"/>
      <w:numFmt w:val="lowerLetter"/>
      <w:lvlText w:val="%1)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5">
    <w:lvl w:ilvl="0">
      <w:start w:val="16"/>
      <w:numFmt w:val="lowerLetter"/>
      <w:lvlText w:val="%1)"/>
      <w:lvlJc w:val="left"/>
      <w:pPr>
        <w:tabs>
          <w:tab w:val="num" w:pos="0"/>
        </w:tabs>
        <w:ind w:left="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8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Times New Roman" w:hAnsi="Times New Roman" w:eastAsia="Times New Roman" w:cs="Times New Roman"/>
        <w:color w:val="000000"/>
      </w:rPr>
    </w:lvl>
  </w:abstractNum>
  <w:abstractNum w:abstractNumId="6">
    <w:lvl w:ilvl="0">
      <w:start w:val="4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9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287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6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8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0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2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40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3" w:hanging="0"/>
      </w:pPr>
      <w:rPr>
        <w:dstrike w:val="false"/>
        <w:strike w:val="false"/>
        <w:vertAlign w:val="baseline"/>
        <w:position w:val="0"/>
        <w:sz w:val="26"/>
        <w:sz w:val="26"/>
        <w:i w:val="false"/>
        <w:u w:val="none" w:color="000000"/>
        <w:b w:val="false"/>
        <w:shd w:fill="auto" w:val="clear"/>
        <w:szCs w:val="26"/>
        <w:rFonts w:ascii="Times New Roman" w:hAnsi="Times New Roman" w:eastAsia="Times New Roman" w:cs="Times New Roman"/>
        <w:color w:val="000000"/>
      </w:rPr>
    </w:lvl>
  </w:abstractNum>
  <w:abstractNum w:abstractNumId="9">
    <w:lvl w:ilvl="0">
      <w:start w:val="1"/>
      <w:numFmt w:val="upperLetter"/>
      <w:lvlText w:val="%1"/>
      <w:lvlJc w:val="left"/>
      <w:pPr>
        <w:tabs>
          <w:tab w:val="num" w:pos="0"/>
        </w:tabs>
        <w:ind w:left="2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5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7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9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1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34" w:hanging="0"/>
      </w:pPr>
      <w:rPr>
        <w:dstrike w:val="false"/>
        <w:strike w:val="false"/>
        <w:vertAlign w:val="baseline"/>
        <w:position w:val="0"/>
        <w:sz w:val="24"/>
        <w:sz w:val="24"/>
        <w:i w:val="false"/>
        <w:u w:val="none" w:color="000000"/>
        <w:b w:val="false"/>
        <w:shd w:fill="auto" w:val="clear"/>
        <w:szCs w:val="24"/>
        <w:rFonts w:ascii="Times New Roman" w:hAnsi="Times New Roman" w:eastAsia="Times New Roman" w:cs="Times New Roman"/>
        <w:color w:val="000000"/>
      </w:rPr>
    </w:lvl>
  </w:abstractNum>
  <w:abstractNum w:abstractNumId="1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30"/>
  <w:mirrorMargins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0"/>
      <w:ind w:hanging="10" w:left="10" w:right="22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sk-SK" w:eastAsia="sk-SK" w:bidi="ar-SA"/>
    </w:rPr>
  </w:style>
  <w:style w:type="paragraph" w:styleId="Heading1">
    <w:name w:val="Heading 1"/>
    <w:next w:val="Normal"/>
    <w:link w:val="Nadpis1Char"/>
    <w:uiPriority w:val="9"/>
    <w:qFormat/>
    <w:pPr>
      <w:keepNext w:val="true"/>
      <w:keepLines/>
      <w:widowControl/>
      <w:suppressAutoHyphens w:val="true"/>
      <w:bidi w:val="0"/>
      <w:spacing w:lineRule="auto" w:line="259" w:before="0" w:after="0"/>
      <w:ind w:left="14"/>
      <w:jc w:val="center"/>
      <w:outlineLvl w:val="0"/>
    </w:pPr>
    <w:rPr>
      <w:rFonts w:ascii="Times New Roman" w:hAnsi="Times New Roman" w:eastAsia="Times New Roman" w:cs="Times New Roman"/>
      <w:color w:val="000000"/>
      <w:kern w:val="2"/>
      <w:sz w:val="34"/>
      <w:szCs w:val="24"/>
      <w:lang w:val="sk-SK" w:eastAsia="sk-SK" w:bidi="ar-SA"/>
    </w:rPr>
  </w:style>
  <w:style w:type="paragraph" w:styleId="Heading2">
    <w:name w:val="Heading 2"/>
    <w:next w:val="Normal"/>
    <w:link w:val="Nadpis2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left="2713"/>
      <w:jc w:val="center"/>
      <w:outlineLvl w:val="1"/>
    </w:pPr>
    <w:rPr>
      <w:rFonts w:ascii="Calibri" w:hAnsi="Calibri" w:eastAsia="Calibri" w:cs="Calibri"/>
      <w:color w:val="000000"/>
      <w:kern w:val="2"/>
      <w:sz w:val="34"/>
      <w:szCs w:val="24"/>
      <w:lang w:val="sk-SK" w:eastAsia="sk-SK" w:bidi="ar-SA"/>
    </w:rPr>
  </w:style>
  <w:style w:type="paragraph" w:styleId="Heading3">
    <w:name w:val="Heading 3"/>
    <w:next w:val="Normal"/>
    <w:link w:val="Nadpis3Char"/>
    <w:uiPriority w:val="9"/>
    <w:unhideWhenUsed/>
    <w:qFormat/>
    <w:pPr>
      <w:keepNext w:val="true"/>
      <w:keepLines/>
      <w:widowControl/>
      <w:suppressAutoHyphens w:val="true"/>
      <w:bidi w:val="0"/>
      <w:spacing w:lineRule="auto" w:line="259" w:before="0" w:after="0"/>
      <w:ind w:hanging="10" w:left="974"/>
      <w:jc w:val="center"/>
      <w:outlineLvl w:val="2"/>
    </w:pPr>
    <w:rPr>
      <w:rFonts w:ascii="Times New Roman" w:hAnsi="Times New Roman" w:eastAsia="Times New Roman" w:cs="Times New Roman"/>
      <w:color w:val="000000"/>
      <w:kern w:val="2"/>
      <w:sz w:val="32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3Char" w:customStyle="1">
    <w:name w:val="Nadpis 3 Char"/>
    <w:qFormat/>
    <w:rPr>
      <w:rFonts w:ascii="Times New Roman" w:hAnsi="Times New Roman" w:eastAsia="Times New Roman" w:cs="Times New Roman"/>
      <w:color w:val="000000"/>
      <w:sz w:val="32"/>
    </w:rPr>
  </w:style>
  <w:style w:type="character" w:styleId="Nadpis2Char" w:customStyle="1">
    <w:name w:val="Nadpis 2 Char"/>
    <w:qFormat/>
    <w:rPr>
      <w:rFonts w:ascii="Calibri" w:hAnsi="Calibri" w:eastAsia="Calibri" w:cs="Calibri"/>
      <w:color w:val="000000"/>
      <w:sz w:val="34"/>
    </w:rPr>
  </w:style>
  <w:style w:type="character" w:styleId="Nadpis1Char" w:customStyle="1">
    <w:name w:val="Nadpis 1 Char"/>
    <w:qFormat/>
    <w:rPr>
      <w:rFonts w:ascii="Times New Roman" w:hAnsi="Times New Roman" w:eastAsia="Times New Roman" w:cs="Times New Roman"/>
      <w:color w:val="000000"/>
      <w:sz w:val="3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rmca">
    <w:name w:val="Obsah rámca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Hlavikaapta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Application>LibreOffice/7.6.3.2$Windows_X86_64 LibreOffice_project/29d686fea9f6705b262d369fede658f824154cc0</Application>
  <AppVersion>15.0000</AppVersion>
  <Pages>6</Pages>
  <Words>940</Words>
  <Characters>5702</Characters>
  <CharactersWithSpaces>6433</CharactersWithSpaces>
  <Paragraphs>175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2024-02-05T09:42:00Z</dcterms:created>
  <dc:creator>Microsoft Office User</dc:creator>
  <dc:description/>
  <dc:language>sk-SK</dc:language>
  <cp:lastModifiedBy/>
  <dcterms:modified xsi:type="dcterms:W3CDTF">2024-02-05T11:13:13Z</dcterms:modified>
  <cp:revision>5</cp:revision>
  <dc:subject/>
  <dc:title>_OU_Nevolne_C224e-20240205103952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