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7E0E00" w14:textId="31D362B6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IČO  </w:t>
      </w:r>
      <w:r w:rsidR="0066057D">
        <w:rPr>
          <w:rFonts w:eastAsia="Times New Roman" w:cs="Times New Roman"/>
          <w:b/>
          <w:color w:val="00000A"/>
          <w:sz w:val="32"/>
          <w:vertAlign w:val="subscript"/>
        </w:rPr>
        <w:t>46508805</w:t>
      </w:r>
      <w:r w:rsidR="00EC3348">
        <w:rPr>
          <w:rFonts w:eastAsia="Times New Roman" w:cs="Times New Roman"/>
          <w:b/>
          <w:color w:val="00000A"/>
          <w:sz w:val="32"/>
          <w:vertAlign w:val="subscript"/>
        </w:rPr>
        <w:t xml:space="preserve"> </w:t>
      </w: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 DIČ </w:t>
      </w:r>
      <w:r w:rsidR="0066057D">
        <w:rPr>
          <w:rFonts w:eastAsia="Times New Roman" w:cs="Times New Roman"/>
          <w:b/>
          <w:color w:val="00000A"/>
          <w:sz w:val="32"/>
          <w:vertAlign w:val="subscript"/>
        </w:rPr>
        <w:t>2023477005</w:t>
      </w:r>
    </w:p>
    <w:p w14:paraId="5DEBF3F5" w14:textId="77777777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>POZNÁMKY K ÚČTOVNEJ ZÁVIERKE</w:t>
      </w:r>
    </w:p>
    <w:p w14:paraId="3FFAF5D1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19B5176A" w14:textId="4C8B79EB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44"/>
          <w:szCs w:val="44"/>
          <w:vertAlign w:val="subscript"/>
        </w:rPr>
      </w:pPr>
      <w:r>
        <w:rPr>
          <w:rFonts w:eastAsia="Times New Roman" w:cs="Times New Roman"/>
          <w:b/>
          <w:color w:val="00000A"/>
          <w:sz w:val="44"/>
          <w:szCs w:val="44"/>
          <w:vertAlign w:val="subscript"/>
        </w:rPr>
        <w:t>zostavenej ku dňu 31.12.</w:t>
      </w:r>
      <w:r w:rsidR="00EC3348">
        <w:rPr>
          <w:rFonts w:eastAsia="Times New Roman" w:cs="Times New Roman"/>
          <w:b/>
          <w:color w:val="00000A"/>
          <w:sz w:val="44"/>
          <w:szCs w:val="44"/>
          <w:vertAlign w:val="subscript"/>
        </w:rPr>
        <w:t>2023</w:t>
      </w:r>
    </w:p>
    <w:p w14:paraId="534FF1BB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3CF983ED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r>
        <w:rPr>
          <w:rFonts w:eastAsia="Times New Roman" w:cs="Times New Roman"/>
          <w:color w:val="00000A"/>
          <w:sz w:val="20"/>
          <w:vertAlign w:val="subscript"/>
        </w:rPr>
        <w:t>podľa opatrenia Ministerstva financií Slovenskej republiky</w:t>
      </w:r>
    </w:p>
    <w:p w14:paraId="4B46F1A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 xml:space="preserve">/15464/2013-74 v znení </w:t>
      </w: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>/18008/2014-74</w:t>
      </w:r>
    </w:p>
    <w:p w14:paraId="7BB0F28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55DA1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9DBB7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42CB246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</w:t>
      </w:r>
    </w:p>
    <w:p w14:paraId="11BFE13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Všeobecné údaje</w:t>
      </w:r>
    </w:p>
    <w:p w14:paraId="092F3D18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744773D8" w14:textId="77777777" w:rsidR="00B82B36" w:rsidRDefault="00243917">
      <w:pPr>
        <w:pStyle w:val="Standard"/>
        <w:numPr>
          <w:ilvl w:val="0"/>
          <w:numId w:val="1"/>
        </w:numPr>
        <w:spacing w:line="240" w:lineRule="exact"/>
        <w:ind w:left="0" w:firstLine="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Názov právnickej osoby a jej sídlo alebo meno a priezvisko fyzickej osoby:</w:t>
      </w:r>
    </w:p>
    <w:p w14:paraId="74341329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0CD0091A" w14:textId="0365A7BF" w:rsidR="00B82B36" w:rsidRDefault="0066057D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32"/>
          <w:szCs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TU </w:t>
      </w: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Company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</w:t>
      </w: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s.r.o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., </w:t>
      </w: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Kovačická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15380/3, Banská Bystrica 974 04</w:t>
      </w:r>
    </w:p>
    <w:p w14:paraId="23F9F20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Účtovná jednotka nie je súčasťou konsolidovaného celku.</w:t>
      </w:r>
    </w:p>
    <w:p w14:paraId="46C5D5B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CD6E78D" w14:textId="54F229D1" w:rsidR="00B82B36" w:rsidRDefault="00243917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Priemerný prepočítaný počet zamestnancov</w:t>
      </w:r>
      <w:r w:rsidR="0027482C">
        <w:rPr>
          <w:rFonts w:eastAsia="Times New Roman" w:cs="Times New Roman"/>
          <w:color w:val="000000"/>
          <w:sz w:val="23"/>
          <w:vertAlign w:val="subscript"/>
        </w:rPr>
        <w:t xml:space="preserve">: </w:t>
      </w:r>
      <w:r w:rsidR="0066057D">
        <w:rPr>
          <w:rFonts w:eastAsia="Times New Roman" w:cs="Times New Roman"/>
          <w:color w:val="00000A"/>
          <w:vertAlign w:val="subscript"/>
        </w:rPr>
        <w:t>10</w:t>
      </w:r>
    </w:p>
    <w:p w14:paraId="4B7DE7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81DC36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DE9DAF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</w:t>
      </w:r>
    </w:p>
    <w:p w14:paraId="3F543D28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 o prijatých postupoch</w:t>
      </w:r>
    </w:p>
    <w:p w14:paraId="1DBB07A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B21E0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Účtovná závierka je zostavená, účtovná jednotka bude nepretržite pokračovať vo svojej činnosti.</w:t>
      </w:r>
    </w:p>
    <w:p w14:paraId="4DA7824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E3DCB7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Spôsob oceňovania jednotlivých položiek majetku a záväzkov, a to</w:t>
      </w:r>
    </w:p>
    <w:p w14:paraId="13B4514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dlhodobého nehmotného majetku, dlhodobého hmotného majetku a dlhodobého finančného majetku:</w:t>
      </w:r>
    </w:p>
    <w:p w14:paraId="079DF21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nakupovaný sa ocení v obstarávacích cenách, ktoré zahŕňajú cenu majetku, a náklady súvisiace s jeho obstarávaním (clo, prepravu, montáž a pod, )</w:t>
      </w:r>
    </w:p>
    <w:p w14:paraId="515D677F" w14:textId="74C7D44F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Dlhodobý majetok vytvorený vlast</w:t>
      </w:r>
      <w:r w:rsidR="00F51D1E">
        <w:rPr>
          <w:rFonts w:eastAsia="Times New Roman" w:cs="Times New Roman"/>
          <w:color w:val="000000"/>
          <w:sz w:val="23"/>
          <w:vertAlign w:val="subscript"/>
        </w:rPr>
        <w:t>n</w:t>
      </w:r>
      <w:r>
        <w:rPr>
          <w:rFonts w:eastAsia="Times New Roman" w:cs="Times New Roman"/>
          <w:color w:val="000000"/>
          <w:sz w:val="23"/>
          <w:vertAlign w:val="subscript"/>
        </w:rPr>
        <w:t>ou činnosťou sa oceňuje vlastnými nákladmi. Vlastnými nákladmi sú všetky priame náklady vynaložené na výrobu alebo inú činnosť a nepriame náklady, ktoré sa vzťahujú na výrobu alebo inú činnosť.</w:t>
      </w:r>
    </w:p>
    <w:p w14:paraId="075858BE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351303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zásob obstaraných kúpou, zásob vytvorených vlastnou činnosťou:</w:t>
      </w:r>
    </w:p>
    <w:p w14:paraId="3CB27FF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Zásoby nakupované sa ocenia v obstarávacích cenách, ktoré zahŕňajú cenu zásob a náklady súvisiace s jeho obstarávaním (clo, prepravu, montáž a pod, )</w:t>
      </w:r>
    </w:p>
    <w:p w14:paraId="26E53C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Spoločnosť neprevádzkuje vlastnú výrobu, pri ktorej vznikajú vnútroorganizačné zásoby.</w:t>
      </w:r>
    </w:p>
    <w:p w14:paraId="4347D1B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45D8C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pohľadávok:</w:t>
      </w:r>
    </w:p>
    <w:p w14:paraId="539984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Pohľadávky pri vzniku sa oceňujú ich menovitou hodnotou. Postúpené pohľadávky a pohľadávky nadobudnuté vkladom do základného imania sa oceňujú obstarávacou cenou vrátane nákladov súvisiacich s obstaraním. Toto obstaranie sa znižuje o pochybné a nevymožiteľné pohľadávky.</w:t>
      </w:r>
    </w:p>
    <w:p w14:paraId="438CB0D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7690BE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krátkodobého finančného majetku:</w:t>
      </w:r>
    </w:p>
    <w:p w14:paraId="63FAC16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Peňažné prostriedky a ceniny sa oceňujú ich menovitou hodnotou.</w:t>
      </w:r>
    </w:p>
    <w:p w14:paraId="25D9C15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DDB004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záväzkov vrátane rezerv, dlhopisov, pôžičiek a úverov:</w:t>
      </w:r>
    </w:p>
    <w:p w14:paraId="45A7275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Rezervy sa tvoria na krytie známych rizík, alebo strát z podnikania. Oceňujú sa v očakávanej výške záväzku.</w:t>
      </w:r>
    </w:p>
    <w:p w14:paraId="389D3C9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32AAD6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Záväzky (vrátane dlhopisov, pôžičiek a úverov)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74BDB0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41E90B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f) derivátových operácií:</w:t>
      </w:r>
    </w:p>
    <w:p w14:paraId="33A34A1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Spoločnosť neobchoduje s derivátmi</w:t>
      </w:r>
    </w:p>
    <w:p w14:paraId="1A5D8336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07F6C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Spôsob zostavenia odpisového plánu pre jednotlivé druhy dlhodobého hmotného majetku a dlhodobého nehmotného majetku, uvádzame dobu odpisovania, použité sadzby odpisov a odpisové metódy pri určení odpisov:</w:t>
      </w:r>
    </w:p>
    <w:p w14:paraId="0383D1A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sa odpisuje rovnomerne alebo zrýchlene na základe jeho predpokladanej ekonomickej životnosti, v súlade s ustanoveniami zákona NR SR č. 595/2003 Zb. O daniach z príjmov,  §§ 22-29.</w:t>
      </w:r>
      <w:r>
        <w:rPr>
          <w:rFonts w:eastAsia="Times New Roman" w:cs="Times New Roman"/>
          <w:color w:val="000000"/>
          <w:sz w:val="23"/>
          <w:vertAlign w:val="subscript"/>
        </w:rPr>
        <w:tab/>
      </w:r>
      <w:r>
        <w:rPr>
          <w:rFonts w:eastAsia="Times New Roman" w:cs="Times New Roman"/>
          <w:color w:val="000000"/>
          <w:sz w:val="23"/>
          <w:vertAlign w:val="subscript"/>
        </w:rPr>
        <w:tab/>
      </w:r>
    </w:p>
    <w:p w14:paraId="730E43D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Drobný nehmotný majetok, ktorého cena je nižšia ako 2400 EUR a drobný hmotný majetok, ktorého cena je nižšia </w:t>
      </w: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ko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1700 EUR sa odpisuje jednorazovo, pri uvedení do používania.</w:t>
      </w:r>
    </w:p>
    <w:p w14:paraId="054E537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E508D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Zmeny účtovných zásad a zmeny účtovných metód a dôvod týchto zmien, vy</w:t>
      </w:r>
    </w:p>
    <w:p w14:paraId="75922A8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íslenie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ich vplyvu na finančnú hodnotu majetku, záväzkov, základného imania a výsledku hospodárenia účtovnej jednotky:</w:t>
      </w:r>
    </w:p>
    <w:p w14:paraId="03765CE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zmeny účtovných zásad a zmeny účtovných metód neboli vykonané.</w:t>
      </w:r>
    </w:p>
    <w:p w14:paraId="6ED5E38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E85957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dotáciách a ich oceňovanie v účtovníctve:</w:t>
      </w:r>
    </w:p>
    <w:p w14:paraId="05C2F84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neprijala žiadne dotácie.</w:t>
      </w:r>
    </w:p>
    <w:p w14:paraId="23BB88A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6EFE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účtovaní opráv chýb minulých účtovných období:</w:t>
      </w:r>
    </w:p>
    <w:p w14:paraId="29DE13F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informácie o účtovaní významných opráv chýb minulých účtovných období v bežnom účtovnom období a ich vplyv na nerozdelený zisk minulých rokov alebo neuhradenú stratu minulých rokov:</w:t>
      </w:r>
    </w:p>
    <w:p w14:paraId="47B184A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významných opravách chýb minulých účtovných období.</w:t>
      </w:r>
    </w:p>
    <w:p w14:paraId="003C1B2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CE93D2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informácie o účtovaní nevýznamných opráv chýb minulých účtovných období v bežnom účtovnom období a ich vplyv na nerozdelený zisk minulých rokov alebo neuhradenú stratu minulých rokov:</w:t>
      </w:r>
    </w:p>
    <w:p w14:paraId="3ADC6A5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nevýznamných opravách chýb minulých účtovných období.</w:t>
      </w:r>
    </w:p>
    <w:p w14:paraId="34E8A46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BF72B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44AD18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557127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III</w:t>
      </w:r>
    </w:p>
    <w:p w14:paraId="29E2ACBA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Informácie, ktoré vysvetľujú a dopĺňajú súvahu a výkaz ziskov a strát</w:t>
      </w:r>
    </w:p>
    <w:p w14:paraId="780920F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142122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</w:t>
      </w:r>
    </w:p>
    <w:p w14:paraId="2EBE153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výnimočné položky nákladov alebo výnosov nevznikli.</w:t>
      </w:r>
    </w:p>
    <w:p w14:paraId="4D41A72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AB6E69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Informácie o záväzkoch:</w:t>
      </w:r>
    </w:p>
    <w:p w14:paraId="05B879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záväzkov so zostatkovou dobou splatnosti dlhšou ako päť rokov:</w:t>
      </w:r>
    </w:p>
    <w:p w14:paraId="112B7CB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0.00</w:t>
      </w:r>
    </w:p>
    <w:p w14:paraId="4C5BD0E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6AA4C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zabezpečených záväzkov, opis a spôsoby zabezpečenia záväzkov:</w:t>
      </w:r>
    </w:p>
    <w:p w14:paraId="0B41601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nemá žiadne zabezpečené záväzky.</w:t>
      </w:r>
    </w:p>
    <w:p w14:paraId="660FD92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90B5B2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Spoločnosť neemitovala vlastné akcie.</w:t>
      </w:r>
    </w:p>
    <w:p w14:paraId="13B3DB4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5F007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Informácie o orgánoch účtovnej jednotky:</w:t>
      </w:r>
    </w:p>
    <w:p w14:paraId="146C5CA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výška jednotlivých druhov záruk alebo iných zabezpečení poskytnutých pre členov štatutárneho orgánu, dozorného orgánu a iného orgánu účtovnej jednotky, a to v členení za jednotlivé orgány:</w:t>
      </w:r>
    </w:p>
    <w:p w14:paraId="1C2C030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F7D2DD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055369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pôžičky poskytnuté členom štatutárneho orgánu, dozorného orgánu a iného orgánu účtovnej jednotky a to:</w:t>
      </w:r>
    </w:p>
    <w:p w14:paraId="401C781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celková suma poskytnutých pôžičiek k poslednému dňu účtovného obdobia v členení za jednotlivé orgány:</w:t>
      </w:r>
    </w:p>
    <w:p w14:paraId="1F3771B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D11E9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335993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celková suma splatených pôžičiek k poslednému dňu účtovného obdobia v členení za jednotlivé orgány:</w:t>
      </w:r>
    </w:p>
    <w:p w14:paraId="5A430AC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žiadne</w:t>
      </w:r>
    </w:p>
    <w:p w14:paraId="59003DB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4B964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3. celková suma odpustených pôžičiek a odpísaných pôžičiek k poslednému dňu účtovného obdobia v členení za jednotlivé orgány:</w:t>
      </w:r>
    </w:p>
    <w:p w14:paraId="63D0051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3E61311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1A4BCA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hlavné podmienky, na základe ktorých im boli záruky alebo iné zabezpečenie a pôžičky poskytnuté, pri pôžičkách sa uvádzajú úrokové sadzby:</w:t>
      </w:r>
    </w:p>
    <w:p w14:paraId="17E6648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CAC682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D24DF2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použitých finančných prostriedkov alebo iného plnenia na súkromné účely členmi štatutárneho orgánu, dozorného orgánu a iného orgánu účtovnej jednotky, ktoré je potrebné vyúčtovať:</w:t>
      </w:r>
    </w:p>
    <w:p w14:paraId="0A9201E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1E5F1AC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193692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povinnostiach účtovnej jednotky:</w:t>
      </w:r>
    </w:p>
    <w:p w14:paraId="4F352E9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14:paraId="46485C1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102FD3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AB9B6D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významných podmienených záväzkov, a to:</w:t>
      </w:r>
    </w:p>
    <w:p w14:paraId="51A76FD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možná povinnosť, ktorá vznikla ako dôsledok minulej udalosti a ktorej existencia závisí od toho, či nastane alebo nenastane jedna alebo viac neistých udalostí v budúcnosti, ktorých vznik nezávisí od účtovnej jednotky:</w:t>
      </w:r>
    </w:p>
    <w:p w14:paraId="1F79F42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24994C3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0DF36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existujúca povinnosť, ktorá vznikla ako dôsledok minulej udalosti, ale ktorá sa nevykazuje v súvahe, pretože</w:t>
      </w:r>
    </w:p>
    <w:p w14:paraId="3A40C32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2a. nie je pravdepodobné, že na splnenie tejto povinnosti bude potrebný úbytok ekonomických úžitkov, alebo</w:t>
      </w:r>
    </w:p>
    <w:p w14:paraId="618BF3E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2b. výška tejto povinnosti sa nedá spoľahlivo oceniť:</w:t>
      </w:r>
    </w:p>
    <w:p w14:paraId="5119CAD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587DB6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7F989F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opis významných finančných povinností a významných podmienených záväzkov:</w:t>
      </w:r>
    </w:p>
    <w:p w14:paraId="2B2F7AE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78A375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A25D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významných finančných povinností a významných podmienených záväzkoch voči dcérskej účtovnej jednotke a účtovnej jednotke s podstatným vplyvom:</w:t>
      </w:r>
    </w:p>
    <w:p w14:paraId="250AF1D7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FEC90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16714F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opis významných povinností účtovnej jednotky vyplývajúcich z dôchodkových programov pre zamestnancov:</w:t>
      </w:r>
    </w:p>
    <w:p w14:paraId="0A9AF05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501FE9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908BF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udelení výlučného práva alebo osobitného práva, ktorým sa udelilo právo poskytovať služby vo verejnom záujme, pričom sa uvádza náhrada za túto činnosť v akejkoľvek forme:</w:t>
      </w:r>
    </w:p>
    <w:p w14:paraId="0C55997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neposkytuje služby vo verejnom záujme.</w:t>
      </w:r>
    </w:p>
    <w:p w14:paraId="4AECEF7A" w14:textId="77777777" w:rsidR="00B82B36" w:rsidRDefault="00B82B36">
      <w:pPr>
        <w:pStyle w:val="Standard"/>
        <w:spacing w:after="200" w:line="276" w:lineRule="exact"/>
      </w:pPr>
    </w:p>
    <w:sectPr w:rsidR="00B82B36">
      <w:pgSz w:w="12240" w:h="15840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33DFE7" w14:textId="77777777" w:rsidR="001F3B38" w:rsidRDefault="001F3B38">
      <w:r>
        <w:separator/>
      </w:r>
    </w:p>
  </w:endnote>
  <w:endnote w:type="continuationSeparator" w:id="0">
    <w:p w14:paraId="3191E01C" w14:textId="77777777" w:rsidR="001F3B38" w:rsidRDefault="001F3B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8EF215" w14:textId="77777777" w:rsidR="001F3B38" w:rsidRDefault="001F3B38">
      <w:r>
        <w:rPr>
          <w:color w:val="000000"/>
        </w:rPr>
        <w:separator/>
      </w:r>
    </w:p>
  </w:footnote>
  <w:footnote w:type="continuationSeparator" w:id="0">
    <w:p w14:paraId="2BA3CC56" w14:textId="77777777" w:rsidR="001F3B38" w:rsidRDefault="001F3B3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3F035C3"/>
    <w:multiLevelType w:val="multilevel"/>
    <w:tmpl w:val="4B3CAD3C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647829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2B36"/>
    <w:rsid w:val="001F3B38"/>
    <w:rsid w:val="00243917"/>
    <w:rsid w:val="0027482C"/>
    <w:rsid w:val="002D0572"/>
    <w:rsid w:val="0030222B"/>
    <w:rsid w:val="0033039D"/>
    <w:rsid w:val="0034048C"/>
    <w:rsid w:val="00454186"/>
    <w:rsid w:val="004B4A24"/>
    <w:rsid w:val="00650F9C"/>
    <w:rsid w:val="0066057D"/>
    <w:rsid w:val="007415D0"/>
    <w:rsid w:val="00753594"/>
    <w:rsid w:val="007B6BBF"/>
    <w:rsid w:val="00855AEE"/>
    <w:rsid w:val="008E5A3E"/>
    <w:rsid w:val="00AC6F71"/>
    <w:rsid w:val="00B82B36"/>
    <w:rsid w:val="00BE602B"/>
    <w:rsid w:val="00C36029"/>
    <w:rsid w:val="00C95563"/>
    <w:rsid w:val="00E43760"/>
    <w:rsid w:val="00EC3348"/>
    <w:rsid w:val="00F31E19"/>
    <w:rsid w:val="00F51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9DCF5"/>
  <w15:docId w15:val="{DA10D2BC-82B8-469B-BCBC-D5539799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Ari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1102</Words>
  <Characters>6288</Characters>
  <Application>Microsoft Office Word</Application>
  <DocSecurity>0</DocSecurity>
  <Lines>52</Lines>
  <Paragraphs>14</Paragraphs>
  <ScaleCrop>false</ScaleCrop>
  <Company/>
  <LinksUpToDate>false</LinksUpToDate>
  <CharactersWithSpaces>7376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Anna</dc:creator>
  <cp:lastModifiedBy>Anna Uhríková</cp:lastModifiedBy>
  <cp:revision>2</cp:revision>
  <dcterms:created xsi:type="dcterms:W3CDTF">2024-07-18T15:18:00Z</dcterms:created>
  <dcterms:modified xsi:type="dcterms:W3CDTF">2024-07-18T15:18:00Z</dcterms:modified>
</cp:coreProperties>
</file>