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pPr w:vertAnchor="text" w:tblpX="4432" w:tblpY="-94"/>
        <w:tblOverlap w:val="never"/>
        <w:tblW w:w="5953" w:type="dxa"/>
        <w:tblInd w:w="0" w:type="dxa"/>
        <w:tblCellMar>
          <w:top w:w="94" w:type="dxa"/>
          <w:left w:w="45" w:type="dxa"/>
          <w:bottom w:w="0" w:type="dxa"/>
          <w:right w:w="71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6"/>
        <w:gridCol w:w="228"/>
        <w:gridCol w:w="228"/>
        <w:gridCol w:w="228"/>
        <w:gridCol w:w="226"/>
        <w:gridCol w:w="228"/>
        <w:gridCol w:w="1853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63288E">
        <w:trPr>
          <w:trHeight w:val="340"/>
        </w:trPr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6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28" w:right="0" w:firstLine="0"/>
            </w:pPr>
            <w:r>
              <w:t xml:space="preserve"> 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7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28" w:right="0" w:firstLine="0"/>
            </w:pPr>
            <w:r>
              <w:t xml:space="preserve"> 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  <w:tc>
          <w:tcPr>
            <w:tcW w:w="1871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8" w:firstLine="0"/>
              <w:jc w:val="right"/>
            </w:pPr>
            <w:r>
              <w:t>DIČ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1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2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3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4</w:t>
            </w:r>
          </w:p>
        </w:tc>
      </w:tr>
    </w:tbl>
    <w:p w:rsidR="0063288E" w:rsidRDefault="00E4391B">
      <w:pPr>
        <w:tabs>
          <w:tab w:val="center" w:pos="1608"/>
          <w:tab w:val="center" w:pos="4125"/>
        </w:tabs>
        <w:spacing w:after="10397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dr w:val="single" w:sz="12" w:space="0" w:color="000000"/>
        </w:rPr>
        <w:t>Poznámky Úč PODV 3 - 01</w:t>
      </w:r>
      <w:r>
        <w:rPr>
          <w:bdr w:val="single" w:sz="12" w:space="0" w:color="000000"/>
        </w:rPr>
        <w:tab/>
      </w:r>
      <w:r>
        <w:t>IČO</w:t>
      </w:r>
    </w:p>
    <w:p w:rsidR="0063288E" w:rsidRDefault="00E4391B">
      <w:pPr>
        <w:pStyle w:val="Nadpis1"/>
      </w:pPr>
      <w:r>
        <w:t>Poznámky k účtovnej závierke za obdobie</w:t>
      </w:r>
    </w:p>
    <w:p w:rsidR="0063288E" w:rsidRDefault="00E4391B">
      <w:pPr>
        <w:tabs>
          <w:tab w:val="center" w:pos="4180"/>
          <w:tab w:val="center" w:pos="6898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  <w:sz w:val="36"/>
        </w:rPr>
        <w:t>od 01.01.2023 do 31.12.2023</w:t>
      </w:r>
    </w:p>
    <w:tbl>
      <w:tblPr>
        <w:tblStyle w:val="TableGrid"/>
        <w:tblW w:w="9638" w:type="dxa"/>
        <w:tblInd w:w="497" w:type="dxa"/>
        <w:tblCellMar>
          <w:top w:w="80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701"/>
        <w:gridCol w:w="7937"/>
      </w:tblGrid>
      <w:tr w:rsidR="0063288E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Obchodné meno: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Z+K Dent s.r.o.</w:t>
            </w:r>
          </w:p>
        </w:tc>
      </w:tr>
      <w:tr w:rsidR="0063288E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Hlavná 38/80,04423,Jasov</w:t>
            </w:r>
          </w:p>
        </w:tc>
      </w:tr>
      <w:tr w:rsidR="0063288E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s.r.o</w:t>
            </w:r>
          </w:p>
        </w:tc>
      </w:tr>
      <w:tr w:rsidR="0063288E">
        <w:trPr>
          <w:trHeight w:val="284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30.01.2007</w:t>
            </w:r>
          </w:p>
        </w:tc>
      </w:tr>
      <w:tr w:rsidR="0063288E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lastRenderedPageBreak/>
              <w:t>Hlavný predmet  podnikania: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ambulancia s odborným zameraním stomatológia</w:t>
            </w:r>
          </w:p>
        </w:tc>
      </w:tr>
      <w:tr w:rsidR="0063288E">
        <w:trPr>
          <w:trHeight w:val="510"/>
        </w:trPr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Štaturárny orgán:</w:t>
            </w:r>
          </w:p>
        </w:tc>
        <w:tc>
          <w:tcPr>
            <w:tcW w:w="793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Zoltán Ficsór</w:t>
            </w:r>
          </w:p>
        </w:tc>
      </w:tr>
    </w:tbl>
    <w:p w:rsidR="0063288E" w:rsidRDefault="00E4391B">
      <w:pPr>
        <w:pStyle w:val="Nadpis2"/>
        <w:spacing w:after="92"/>
        <w:ind w:left="-5"/>
      </w:pPr>
      <w:r>
        <w:t>Čl. I - (2)</w:t>
      </w:r>
    </w:p>
    <w:p w:rsidR="0063288E" w:rsidRDefault="00E4391B">
      <w:pPr>
        <w:ind w:left="-5"/>
      </w:pPr>
      <w:r>
        <w:t>Informácie o obchodnom mene, sídle, právnej forme a možno uviesť aj iné vhodné údaje o účtovnej jednotke, v ktorej je účtovná jednotka neobmedzene ručiacim spoločníkom.</w:t>
      </w:r>
    </w:p>
    <w:tbl>
      <w:tblPr>
        <w:tblStyle w:val="TableGrid"/>
        <w:tblW w:w="10772" w:type="dxa"/>
        <w:tblInd w:w="-46" w:type="dxa"/>
        <w:tblCellMar>
          <w:top w:w="84" w:type="dxa"/>
          <w:left w:w="46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10772"/>
      </w:tblGrid>
      <w:tr w:rsidR="0063288E">
        <w:trPr>
          <w:trHeight w:val="3705"/>
        </w:trPr>
        <w:tc>
          <w:tcPr>
            <w:tcW w:w="10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'Spoločnosť bola založená a do obchodného registra bola zapísaná   30.01.2007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Hlavnou  činnosťou spoločnosti je : ambulancia s odborným zameraním stomatológia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Spoločníkom spoločnosti je: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Zoltán Ficsór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Vklad: 6 640 EUR Splatené: 6 640 EUR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 (od: 12.06.2021)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3288E" w:rsidRDefault="00E4391B">
            <w:pPr>
              <w:spacing w:after="0" w:line="239" w:lineRule="auto"/>
              <w:ind w:left="0" w:right="8306" w:firstLine="0"/>
            </w:pPr>
            <w:r>
              <w:t>Štatutárny orgán:  konateľ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 (od: 14.08.2021)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Zoltán Ficsór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Hlavná 38/80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Jasov 044 23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Vznik funkcie: 10.05.2021'</w:t>
            </w:r>
          </w:p>
        </w:tc>
      </w:tr>
    </w:tbl>
    <w:p w:rsidR="0063288E" w:rsidRDefault="00E4391B">
      <w:pPr>
        <w:spacing w:after="39"/>
        <w:ind w:left="-5" w:right="1245"/>
      </w:pPr>
      <w:r>
        <w:t xml:space="preserve">         </w:t>
      </w:r>
      <w:r>
        <w:rPr>
          <w:b/>
        </w:rPr>
        <w:t>Čl. I - (6)</w:t>
      </w:r>
      <w:r>
        <w:t xml:space="preserve">        Priemerný prepočítaný počet zamestnancov účtovnej jednotky počas účtovného obdobia, počet zamestnancov účtovnej jednotky ku dňu, ku ktorému sa zostavuje účtovná závierka, z toho počet vedúcich zamestnancov, ktorými sa rozumejú členovia štatutárneho orgánu účtovnej jednotky a vedúci zamestnanci v priamej pôsobnosti štatutárneho orgánu alebo člena štatutárneho orgánu. </w:t>
      </w:r>
    </w:p>
    <w:p w:rsidR="0063288E" w:rsidRDefault="00E4391B">
      <w:pPr>
        <w:ind w:left="-5" w:right="34"/>
      </w:pPr>
      <w:r>
        <w:t>Tabuľka 1: Informácie k Čl. I odst. 6 o počte zamestnancov</w:t>
      </w:r>
    </w:p>
    <w:tbl>
      <w:tblPr>
        <w:tblStyle w:val="TableGrid"/>
        <w:tblW w:w="10772" w:type="dxa"/>
        <w:tblInd w:w="-46" w:type="dxa"/>
        <w:tblCellMar>
          <w:top w:w="107" w:type="dxa"/>
          <w:left w:w="0" w:type="dxa"/>
          <w:bottom w:w="0" w:type="dxa"/>
          <w:right w:w="73" w:type="dxa"/>
        </w:tblCellMar>
        <w:tblLook w:val="04A0" w:firstRow="1" w:lastRow="0" w:firstColumn="1" w:lastColumn="0" w:noHBand="0" w:noVBand="1"/>
      </w:tblPr>
      <w:tblGrid>
        <w:gridCol w:w="4251"/>
        <w:gridCol w:w="2991"/>
        <w:gridCol w:w="185"/>
        <w:gridCol w:w="3345"/>
      </w:tblGrid>
      <w:tr w:rsidR="0063288E">
        <w:trPr>
          <w:trHeight w:val="56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50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3288E" w:rsidRDefault="00E4391B">
            <w:pPr>
              <w:spacing w:after="0" w:line="259" w:lineRule="auto"/>
              <w:ind w:left="222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609" w:right="0" w:hanging="292"/>
            </w:pPr>
            <w:r>
              <w:rPr>
                <w:b/>
                <w:sz w:val="18"/>
              </w:rPr>
              <w:t>Bezprostredne predchádzajúce              účtovné obdobie</w:t>
            </w:r>
          </w:p>
        </w:tc>
      </w:tr>
      <w:tr w:rsidR="0063288E">
        <w:trPr>
          <w:trHeight w:val="368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t>Priemerný prepočítaný počet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63288E">
        <w:trPr>
          <w:trHeight w:val="594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420" w:firstLine="0"/>
            </w:pPr>
            <w:r>
              <w:t>Stav zamestnancov ku dňu, ku ktorému sa zostavuje účtovná závierka, z toho: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  <w:tr w:rsidR="0063288E">
        <w:trPr>
          <w:trHeight w:val="397"/>
        </w:trPr>
        <w:tc>
          <w:tcPr>
            <w:tcW w:w="42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t>Počet vedúcich zamestnancov</w:t>
            </w:r>
          </w:p>
        </w:tc>
        <w:tc>
          <w:tcPr>
            <w:tcW w:w="29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8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t>0</w:t>
            </w:r>
          </w:p>
        </w:tc>
        <w:tc>
          <w:tcPr>
            <w:tcW w:w="33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right"/>
            </w:pPr>
            <w:r>
              <w:t>0</w:t>
            </w:r>
          </w:p>
        </w:tc>
      </w:tr>
    </w:tbl>
    <w:p w:rsidR="0063288E" w:rsidRDefault="00E4391B">
      <w:pPr>
        <w:ind w:left="-5" w:right="1067"/>
      </w:pPr>
      <w:r>
        <w:t xml:space="preserve">         </w:t>
      </w:r>
      <w:r>
        <w:rPr>
          <w:b/>
        </w:rPr>
        <w:t>Čl.II - (4)</w:t>
      </w:r>
      <w:r>
        <w:t xml:space="preserve">     Spôsob a určenie ocenenia majetku a záväzkov vrátane určenia rozhodujúcich účtovných odhadov        a predpokladov, pričom sa zohľadňuje zásada významnosti. Uvádza sa najmä </w:t>
      </w:r>
    </w:p>
    <w:p w:rsidR="0063288E" w:rsidRDefault="00E4391B">
      <w:pPr>
        <w:ind w:left="-5" w:right="1956"/>
      </w:pPr>
      <w:r>
        <w:t xml:space="preserve">a) obstarávacia cena, vlastné náklady, menovitá hodnota, reálna hodnota, hodnota zistená metódou vlastného imania, aktivovanie úrokov tvoriacich súčasť ocenenia majetku a záväzkov, b) určenie odhadu zníženia hodnoty majetku a tvorba opravnej položky k majetku, </w:t>
      </w:r>
    </w:p>
    <w:p w:rsidR="0063288E" w:rsidRDefault="00E4391B">
      <w:pPr>
        <w:numPr>
          <w:ilvl w:val="0"/>
          <w:numId w:val="1"/>
        </w:numPr>
        <w:ind w:right="34" w:hanging="222"/>
      </w:pPr>
      <w:r>
        <w:t xml:space="preserve">určenie ocenenia záväzkov, stanovenie odhadu ocenenia rezerv, </w:t>
      </w:r>
    </w:p>
    <w:p w:rsidR="0063288E" w:rsidRDefault="00E4391B">
      <w:pPr>
        <w:numPr>
          <w:ilvl w:val="0"/>
          <w:numId w:val="1"/>
        </w:numPr>
        <w:ind w:right="34" w:hanging="222"/>
      </w:pPr>
      <w:r>
        <w:t xml:space="preserve">určenie ocenenia finančných nástrojov alebo majetku, ktorý nie je finančným nástrojom pri oceňovaní reálnouhodnotou, a to: </w:t>
      </w:r>
    </w:p>
    <w:p w:rsidR="0063288E" w:rsidRDefault="00E4391B">
      <w:pPr>
        <w:ind w:left="-5" w:right="34"/>
      </w:pPr>
      <w:r>
        <w:t xml:space="preserve">     1. určenie ocenenia reálnou hodnotou, pričom sa uvádza aplikácia reálnej hodnoty podľa zákona; pri kvalifikovanom          odhade sa uvádza stanovenie významných predpokladov slúžiacich ako základ modelov a postupov ocenenia,      2. 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</w:t>
      </w:r>
    </w:p>
    <w:p w:rsidR="0063288E" w:rsidRDefault="00E4391B">
      <w:pPr>
        <w:ind w:left="-5" w:right="34"/>
      </w:pPr>
      <w:r>
        <w:t xml:space="preserve">     3. 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</w:t>
      </w:r>
    </w:p>
    <w:p w:rsidR="0063288E" w:rsidRDefault="00E4391B">
      <w:pPr>
        <w:numPr>
          <w:ilvl w:val="1"/>
          <w:numId w:val="2"/>
        </w:numPr>
        <w:ind w:right="233"/>
      </w:pPr>
      <w:r>
        <w:t xml:space="preserve">pre každý druh derivátových finančných nástrojov sa uvádza reálna hodnota týchto finančných nástrojov, ak sa         môže spoľahlivo určiť ako trhová cena a informácia o rozsahu a charaktere týchto nástrojov, </w:t>
      </w:r>
    </w:p>
    <w:p w:rsidR="0063288E" w:rsidRDefault="00E4391B">
      <w:pPr>
        <w:numPr>
          <w:ilvl w:val="1"/>
          <w:numId w:val="2"/>
        </w:numPr>
        <w:ind w:right="233"/>
      </w:pPr>
      <w:r>
        <w:lastRenderedPageBreak/>
        <w:t xml:space="preserve">pri dlhodobom finančnom majetku, ktorý sa vykazuje vo vyššej hodnote ako je jeho reálna hodnota, sa uvádza           2a. účtovná hodnota a reálna hodnota za jednotlivé položky majetku alebo skupiny týchto jednotlivých položiek                majetku, </w:t>
      </w:r>
    </w:p>
    <w:p w:rsidR="0063288E" w:rsidRDefault="00E4391B">
      <w:pPr>
        <w:ind w:left="-5" w:right="34"/>
      </w:pPr>
      <w:r>
        <w:t xml:space="preserve">          2b. dôvod pre nezníženie účtovnej hodnoty vrátane povahy dôkazov pre predpoklad, že sa účtovná hodnota                 opätovne dosiahne, </w:t>
      </w:r>
    </w:p>
    <w:p w:rsidR="0063288E" w:rsidRDefault="00E4391B">
      <w:pPr>
        <w:numPr>
          <w:ilvl w:val="0"/>
          <w:numId w:val="3"/>
        </w:numPr>
        <w:ind w:right="34" w:hanging="233"/>
      </w:pPr>
      <w:r>
        <w:t xml:space="preserve">tvorba odpisového plánu pre dlhodobý majetok, pričom sa uvádza doba odpisovania, sadzby odpisov a odpisovémetódy pre účtovné odpisy, </w:t>
      </w:r>
    </w:p>
    <w:p w:rsidR="0063288E" w:rsidRDefault="00E4391B">
      <w:pPr>
        <w:numPr>
          <w:ilvl w:val="0"/>
          <w:numId w:val="3"/>
        </w:numPr>
        <w:ind w:right="34" w:hanging="233"/>
      </w:pPr>
      <w:r>
        <w:t>informácia o poskytnutých dotáciách a pri dotáciách na obstaranie majetku sa uvedú zložky majetku a ich ocenenie.</w:t>
      </w:r>
    </w:p>
    <w:tbl>
      <w:tblPr>
        <w:tblStyle w:val="TableGrid"/>
        <w:tblW w:w="10772" w:type="dxa"/>
        <w:tblInd w:w="-46" w:type="dxa"/>
        <w:tblCellMar>
          <w:top w:w="84" w:type="dxa"/>
          <w:left w:w="46" w:type="dxa"/>
          <w:bottom w:w="0" w:type="dxa"/>
          <w:right w:w="2309" w:type="dxa"/>
        </w:tblCellMar>
        <w:tblLook w:val="04A0" w:firstRow="1" w:lastRow="0" w:firstColumn="1" w:lastColumn="0" w:noHBand="0" w:noVBand="1"/>
      </w:tblPr>
      <w:tblGrid>
        <w:gridCol w:w="10772"/>
      </w:tblGrid>
      <w:tr w:rsidR="0063288E">
        <w:trPr>
          <w:trHeight w:val="3480"/>
        </w:trPr>
        <w:tc>
          <w:tcPr>
            <w:tcW w:w="107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</w:pPr>
            <w:r>
              <w:t>'Spôsob zostavenia odpisového plánu .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Daňové a účtovné odpisy dlhodobého hmotného aj nehmotného majetku sa rovnajú . 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Spôsob ocenennia jednotlivých položiek :</w:t>
            </w:r>
          </w:p>
          <w:p w:rsidR="0063288E" w:rsidRDefault="00E4391B">
            <w:pPr>
              <w:numPr>
                <w:ilvl w:val="0"/>
                <w:numId w:val="5"/>
              </w:numPr>
              <w:spacing w:after="0" w:line="259" w:lineRule="auto"/>
              <w:ind w:right="4714" w:firstLine="0"/>
            </w:pPr>
            <w:r>
              <w:t>dlhodobý nehmotný majetok spoločnosť nevlastní</w:t>
            </w:r>
          </w:p>
          <w:p w:rsidR="0063288E" w:rsidRDefault="00E4391B">
            <w:pPr>
              <w:numPr>
                <w:ilvl w:val="0"/>
                <w:numId w:val="5"/>
              </w:numPr>
              <w:spacing w:after="0" w:line="239" w:lineRule="auto"/>
              <w:ind w:right="4714" w:firstLine="0"/>
            </w:pPr>
            <w:r>
              <w:t>dlhodobý hmotný majetok nakupovaný - do     1.700 EUR na účet 501     - nad   1.700 EUR takto :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  <w:p w:rsidR="0063288E" w:rsidRDefault="00E4391B">
            <w:pPr>
              <w:spacing w:after="0" w:line="239" w:lineRule="auto"/>
              <w:ind w:left="0" w:right="278" w:firstLine="0"/>
              <w:jc w:val="both"/>
            </w:pPr>
            <w:r>
              <w:t xml:space="preserve">       druh dlhodob.hmot.majetku                 odpis.metóda        počet rokov           ročná odpis.                                                                                                    odpisovania          sadzba /koef/        samostst.hnut.veci a súbory vecí            zrýchlená                   6                              6        samostst.hnut.veci a súbory vecí            zrýchlená                   4                              4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 xml:space="preserve">                                                       </w:t>
            </w:r>
          </w:p>
          <w:p w:rsidR="0063288E" w:rsidRDefault="00E4391B">
            <w:pPr>
              <w:spacing w:after="0" w:line="259" w:lineRule="auto"/>
              <w:ind w:left="0" w:right="0" w:firstLine="0"/>
            </w:pPr>
            <w:r>
              <w:t>'</w:t>
            </w:r>
          </w:p>
        </w:tc>
      </w:tr>
    </w:tbl>
    <w:tbl>
      <w:tblPr>
        <w:tblStyle w:val="TableGrid"/>
        <w:tblpPr w:vertAnchor="page" w:horzAnchor="page" w:tblpX="577" w:tblpY="13390"/>
        <w:tblOverlap w:val="never"/>
        <w:tblW w:w="10772" w:type="dxa"/>
        <w:tblInd w:w="0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63288E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Pokladnica, ceniny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8239,26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t>8239,26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4" w:firstLine="0"/>
              <w:jc w:val="right"/>
            </w:pPr>
            <w: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t>141,92</w:t>
            </w:r>
          </w:p>
        </w:tc>
      </w:tr>
      <w:tr w:rsidR="0063288E">
        <w:trPr>
          <w:trHeight w:val="458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9"/>
        </w:trPr>
        <w:tc>
          <w:tcPr>
            <w:tcW w:w="5216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lastRenderedPageBreak/>
              <w:t>Peniaze na ceste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 w:rsidP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8239,26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t>8381,18</w:t>
            </w:r>
          </w:p>
        </w:tc>
      </w:tr>
    </w:tbl>
    <w:p w:rsidR="0063288E" w:rsidRDefault="00E4391B">
      <w:pPr>
        <w:pStyle w:val="Nadpis2"/>
        <w:ind w:left="-5"/>
      </w:pPr>
      <w:r>
        <w:t>Tabuľka 4: Informácie k Čl. III. odst. 1 písm a) o dlhodobom hmotnom majetku</w:t>
      </w:r>
    </w:p>
    <w:tbl>
      <w:tblPr>
        <w:tblStyle w:val="TableGrid"/>
        <w:tblW w:w="10772" w:type="dxa"/>
        <w:tblInd w:w="-46" w:type="dxa"/>
        <w:tblCellMar>
          <w:top w:w="61" w:type="dxa"/>
          <w:left w:w="0" w:type="dxa"/>
          <w:bottom w:w="31" w:type="dxa"/>
          <w:right w:w="12" w:type="dxa"/>
        </w:tblCellMar>
        <w:tblLook w:val="04A0" w:firstRow="1" w:lastRow="0" w:firstColumn="1" w:lastColumn="0" w:noHBand="0" w:noVBand="1"/>
      </w:tblPr>
      <w:tblGrid>
        <w:gridCol w:w="1338"/>
        <w:gridCol w:w="58"/>
        <w:gridCol w:w="846"/>
        <w:gridCol w:w="731"/>
        <w:gridCol w:w="140"/>
        <w:gridCol w:w="1081"/>
        <w:gridCol w:w="1457"/>
        <w:gridCol w:w="953"/>
        <w:gridCol w:w="926"/>
        <w:gridCol w:w="1317"/>
        <w:gridCol w:w="1009"/>
        <w:gridCol w:w="916"/>
      </w:tblGrid>
      <w:tr w:rsidR="0063288E">
        <w:trPr>
          <w:trHeight w:val="284"/>
        </w:trPr>
        <w:tc>
          <w:tcPr>
            <w:tcW w:w="153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0" w:line="243" w:lineRule="auto"/>
              <w:ind w:left="430" w:right="0" w:hanging="90"/>
            </w:pPr>
            <w:r>
              <w:rPr>
                <w:b/>
                <w:sz w:val="18"/>
              </w:rPr>
              <w:t>Dlhodobý hmotný</w:t>
            </w:r>
          </w:p>
          <w:p w:rsidR="0063288E" w:rsidRDefault="00E4391B">
            <w:pPr>
              <w:spacing w:after="303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majetok</w:t>
            </w:r>
          </w:p>
          <w:p w:rsidR="0063288E" w:rsidRDefault="00E4391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E4391B">
            <w:pPr>
              <w:spacing w:after="0" w:line="259" w:lineRule="auto"/>
              <w:ind w:left="0" w:right="7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</w:tr>
      <w:tr w:rsidR="0063288E">
        <w:trPr>
          <w:trHeight w:val="147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372" w:line="259" w:lineRule="auto"/>
              <w:ind w:left="0" w:right="0" w:firstLine="0"/>
            </w:pPr>
            <w:r>
              <w:rPr>
                <w:b/>
                <w:sz w:val="18"/>
              </w:rPr>
              <w:t>Pozemky</w:t>
            </w:r>
          </w:p>
          <w:p w:rsidR="0063288E" w:rsidRDefault="00E4391B">
            <w:pPr>
              <w:spacing w:after="0" w:line="259" w:lineRule="auto"/>
              <w:ind w:left="337" w:right="0" w:firstLine="0"/>
            </w:pPr>
            <w:r>
              <w:rPr>
                <w:sz w:val="18"/>
              </w:rPr>
              <w:t>b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63288E" w:rsidRDefault="00E4391B">
            <w:pPr>
              <w:spacing w:after="372" w:line="259" w:lineRule="auto"/>
              <w:ind w:left="0" w:right="37" w:firstLine="0"/>
              <w:jc w:val="right"/>
            </w:pPr>
            <w:r>
              <w:rPr>
                <w:b/>
                <w:sz w:val="18"/>
              </w:rPr>
              <w:t>Stavby</w:t>
            </w:r>
          </w:p>
          <w:p w:rsidR="0063288E" w:rsidRDefault="00E4391B">
            <w:pPr>
              <w:spacing w:after="0" w:line="259" w:lineRule="auto"/>
              <w:ind w:left="158" w:right="0" w:firstLine="0"/>
              <w:jc w:val="center"/>
            </w:pPr>
            <w:r>
              <w:rPr>
                <w:sz w:val="18"/>
              </w:rPr>
              <w:t>c</w:t>
            </w: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43" w:lineRule="auto"/>
              <w:ind w:left="139" w:right="0" w:hanging="126"/>
            </w:pPr>
            <w:r>
              <w:rPr>
                <w:b/>
                <w:sz w:val="18"/>
              </w:rPr>
              <w:t>Samostatné hnuteľné veci a</w:t>
            </w:r>
          </w:p>
          <w:p w:rsidR="0063288E" w:rsidRDefault="00E4391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súbory</w:t>
            </w:r>
          </w:p>
          <w:p w:rsidR="0063288E" w:rsidRDefault="00E4391B">
            <w:pPr>
              <w:spacing w:after="0" w:line="259" w:lineRule="auto"/>
              <w:ind w:left="350" w:right="48" w:hanging="312"/>
            </w:pPr>
            <w:r>
              <w:rPr>
                <w:b/>
                <w:sz w:val="18"/>
              </w:rPr>
              <w:t xml:space="preserve">hnuteľných vecí </w:t>
            </w:r>
            <w:r>
              <w:rPr>
                <w:sz w:val="18"/>
              </w:rPr>
              <w:t>d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0" w:line="243" w:lineRule="auto"/>
              <w:ind w:left="131" w:right="0" w:firstLine="90"/>
            </w:pPr>
            <w:r>
              <w:rPr>
                <w:b/>
                <w:sz w:val="18"/>
              </w:rPr>
              <w:t>Pestovateľské celky</w:t>
            </w:r>
          </w:p>
          <w:p w:rsidR="0063288E" w:rsidRDefault="00E4391B">
            <w:pPr>
              <w:spacing w:after="0" w:line="259" w:lineRule="auto"/>
              <w:ind w:left="156" w:right="0" w:firstLine="0"/>
            </w:pPr>
            <w:r>
              <w:rPr>
                <w:b/>
                <w:sz w:val="18"/>
              </w:rPr>
              <w:t>trvalých</w:t>
            </w:r>
          </w:p>
          <w:p w:rsidR="0063288E" w:rsidRDefault="00E4391B">
            <w:pPr>
              <w:spacing w:after="0" w:line="259" w:lineRule="auto"/>
              <w:ind w:left="446" w:right="31" w:hanging="330"/>
            </w:pPr>
            <w:r>
              <w:rPr>
                <w:b/>
                <w:sz w:val="18"/>
              </w:rPr>
              <w:t xml:space="preserve">porastov </w:t>
            </w:r>
            <w:r>
              <w:rPr>
                <w:sz w:val="18"/>
              </w:rPr>
              <w:t>e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0" w:line="243" w:lineRule="auto"/>
              <w:ind w:left="180" w:right="0" w:hanging="76"/>
            </w:pPr>
            <w:r>
              <w:rPr>
                <w:b/>
                <w:sz w:val="18"/>
              </w:rPr>
              <w:t>Základné stádo a ťažné</w:t>
            </w:r>
          </w:p>
          <w:p w:rsidR="0063288E" w:rsidRDefault="00E4391B">
            <w:pPr>
              <w:spacing w:after="57" w:line="259" w:lineRule="auto"/>
              <w:ind w:left="161" w:right="0" w:firstLine="0"/>
            </w:pPr>
            <w:r>
              <w:rPr>
                <w:b/>
                <w:sz w:val="18"/>
              </w:rPr>
              <w:t>zvieratá</w:t>
            </w:r>
          </w:p>
          <w:p w:rsidR="0063288E" w:rsidRDefault="00E4391B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f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0" w:line="259" w:lineRule="auto"/>
              <w:ind w:left="165" w:right="0" w:firstLine="0"/>
            </w:pPr>
            <w:r>
              <w:rPr>
                <w:b/>
                <w:sz w:val="18"/>
              </w:rPr>
              <w:t>Ostatný</w:t>
            </w:r>
          </w:p>
          <w:p w:rsidR="0063288E" w:rsidRDefault="00E4391B">
            <w:pPr>
              <w:spacing w:after="267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DHM</w:t>
            </w:r>
          </w:p>
          <w:p w:rsidR="0063288E" w:rsidRDefault="00E4391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g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0" w:line="243" w:lineRule="auto"/>
              <w:ind w:left="211" w:right="0" w:firstLine="0"/>
            </w:pPr>
            <w:r>
              <w:rPr>
                <w:b/>
                <w:sz w:val="18"/>
              </w:rPr>
              <w:t>Obstarávaný</w:t>
            </w:r>
          </w:p>
          <w:p w:rsidR="0063288E" w:rsidRDefault="00E4391B">
            <w:pPr>
              <w:spacing w:after="162" w:line="259" w:lineRule="auto"/>
              <w:ind w:left="0" w:right="15" w:firstLine="0"/>
              <w:jc w:val="center"/>
            </w:pPr>
            <w:r>
              <w:rPr>
                <w:b/>
                <w:sz w:val="18"/>
              </w:rPr>
              <w:t>DHM</w:t>
            </w:r>
          </w:p>
          <w:p w:rsidR="0063288E" w:rsidRDefault="00E4391B">
            <w:pPr>
              <w:spacing w:after="0" w:line="259" w:lineRule="auto"/>
              <w:ind w:left="0" w:right="15" w:firstLine="0"/>
              <w:jc w:val="center"/>
            </w:pPr>
            <w:r>
              <w:rPr>
                <w:sz w:val="18"/>
              </w:rPr>
              <w:t>h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0" w:line="243" w:lineRule="auto"/>
              <w:ind w:left="50" w:right="0" w:hanging="36"/>
            </w:pPr>
            <w:r>
              <w:rPr>
                <w:b/>
                <w:sz w:val="18"/>
              </w:rPr>
              <w:t>Poskytnuté preddavky</w:t>
            </w:r>
          </w:p>
          <w:p w:rsidR="0063288E" w:rsidRDefault="00E4391B">
            <w:pPr>
              <w:spacing w:after="162" w:line="259" w:lineRule="auto"/>
              <w:ind w:left="161" w:right="0" w:firstLine="0"/>
            </w:pPr>
            <w:r>
              <w:rPr>
                <w:b/>
                <w:sz w:val="18"/>
              </w:rPr>
              <w:t>na DHM</w:t>
            </w:r>
          </w:p>
          <w:p w:rsidR="0063288E" w:rsidRDefault="00E4391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i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E4391B">
            <w:pPr>
              <w:spacing w:after="372" w:line="259" w:lineRule="auto"/>
              <w:ind w:left="0" w:right="16" w:firstLine="0"/>
              <w:jc w:val="center"/>
            </w:pPr>
            <w:r>
              <w:rPr>
                <w:b/>
                <w:sz w:val="18"/>
              </w:rPr>
              <w:t>Spolu</w:t>
            </w:r>
          </w:p>
          <w:p w:rsidR="0063288E" w:rsidRDefault="00E4391B">
            <w:pPr>
              <w:spacing w:after="0" w:line="259" w:lineRule="auto"/>
              <w:ind w:left="0" w:right="16" w:firstLine="0"/>
              <w:jc w:val="center"/>
            </w:pPr>
            <w:r>
              <w:rPr>
                <w:sz w:val="18"/>
              </w:rPr>
              <w:t>i</w:t>
            </w:r>
          </w:p>
        </w:tc>
      </w:tr>
      <w:tr w:rsidR="0063288E">
        <w:trPr>
          <w:trHeight w:val="283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Prvotné ocenenie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6804,75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6804,75</w:t>
            </w:r>
          </w:p>
        </w:tc>
      </w:tr>
      <w:tr w:rsidR="0063288E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8000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8000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16000</w:t>
            </w:r>
          </w:p>
        </w:tc>
      </w:tr>
      <w:tr w:rsidR="0063288E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8000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4" w:firstLine="0"/>
              <w:jc w:val="right"/>
            </w:pPr>
            <w:r>
              <w:rPr>
                <w:sz w:val="18"/>
              </w:rPr>
              <w:t>8000</w:t>
            </w:r>
          </w:p>
        </w:tc>
      </w:tr>
      <w:tr w:rsidR="0063288E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14804,75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14804,75</w:t>
            </w:r>
          </w:p>
        </w:tc>
      </w:tr>
      <w:tr w:rsidR="0063288E">
        <w:trPr>
          <w:trHeight w:val="284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Oprávky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6804,76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6804,76</w:t>
            </w:r>
          </w:p>
        </w:tc>
      </w:tr>
      <w:tr w:rsidR="0063288E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666,67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5" w:firstLine="0"/>
              <w:jc w:val="right"/>
            </w:pPr>
            <w:r>
              <w:rPr>
                <w:sz w:val="18"/>
              </w:rPr>
              <w:t>666,67</w:t>
            </w:r>
          </w:p>
        </w:tc>
      </w:tr>
      <w:tr w:rsidR="0063288E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7471,43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7471,43</w:t>
            </w:r>
          </w:p>
        </w:tc>
      </w:tr>
      <w:tr w:rsidR="0063288E">
        <w:trPr>
          <w:trHeight w:val="283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Oprávné položky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Prírastky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Úbytky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sz w:val="18"/>
              </w:rPr>
              <w:t>Presuny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lastRenderedPageBreak/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16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E4391B">
            <w:pPr>
              <w:spacing w:after="0" w:line="259" w:lineRule="auto"/>
              <w:ind w:left="46" w:right="0" w:firstLine="0"/>
              <w:jc w:val="both"/>
            </w:pPr>
            <w:r>
              <w:rPr>
                <w:sz w:val="18"/>
              </w:rPr>
              <w:t>Zostatková hodnota</w:t>
            </w: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846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252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3061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2041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začiatku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6804,75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6" w:firstLine="0"/>
              <w:jc w:val="right"/>
            </w:pPr>
            <w:r>
              <w:rPr>
                <w:sz w:val="18"/>
              </w:rPr>
              <w:t>6804,75</w:t>
            </w:r>
          </w:p>
        </w:tc>
      </w:tr>
      <w:tr w:rsidR="0063288E">
        <w:trPr>
          <w:trHeight w:val="680"/>
        </w:trPr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46" w:right="0" w:firstLine="0"/>
            </w:pPr>
            <w:r>
              <w:rPr>
                <w:b/>
                <w:sz w:val="18"/>
              </w:rPr>
              <w:t>Stav na konci účtovného obdobia</w:t>
            </w:r>
          </w:p>
        </w:tc>
        <w:tc>
          <w:tcPr>
            <w:tcW w:w="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912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8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63288E" w:rsidRDefault="0063288E">
            <w:pPr>
              <w:spacing w:after="160" w:line="259" w:lineRule="auto"/>
              <w:ind w:left="0" w:right="0" w:firstLine="0"/>
            </w:pPr>
          </w:p>
        </w:tc>
        <w:tc>
          <w:tcPr>
            <w:tcW w:w="17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0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14804,75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2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67" w:firstLine="0"/>
              <w:jc w:val="right"/>
            </w:pPr>
            <w:r>
              <w:rPr>
                <w:sz w:val="18"/>
              </w:rPr>
              <w:t>14804,75</w:t>
            </w:r>
          </w:p>
        </w:tc>
      </w:tr>
    </w:tbl>
    <w:p w:rsidR="0063288E" w:rsidRDefault="00E4391B">
      <w:pPr>
        <w:spacing w:after="43"/>
        <w:ind w:left="-5" w:right="34"/>
      </w:pPr>
      <w:r>
        <w:t xml:space="preserve">          </w:t>
      </w:r>
      <w:r>
        <w:rPr>
          <w:b/>
        </w:rPr>
        <w:t>Čl.III - t)</w:t>
      </w:r>
      <w:r>
        <w:t xml:space="preserve">  zložkách krátkodobého finančného majetku,</w:t>
      </w:r>
    </w:p>
    <w:p w:rsidR="0063288E" w:rsidRDefault="00E4391B">
      <w:pPr>
        <w:pStyle w:val="Nadpis2"/>
        <w:ind w:left="-5"/>
      </w:pPr>
      <w:r>
        <w:t xml:space="preserve">Tabuľka 21: Informácie k Čl. III odst.1 písm t) o krátkodobom finančnom majetku </w:t>
      </w:r>
      <w:r>
        <w:rPr>
          <w:b w:val="0"/>
        </w:rPr>
        <w:t xml:space="preserve">          </w:t>
      </w:r>
      <w:r>
        <w:t>Čl.III - (2) - c)</w:t>
      </w:r>
      <w:r>
        <w:rPr>
          <w:b w:val="0"/>
        </w:rPr>
        <w:t xml:space="preserve">         výške záväzkov do lehoty splatnosti a po lehote splatnosti, </w:t>
      </w:r>
    </w:p>
    <w:p w:rsidR="0063288E" w:rsidRDefault="00E4391B">
      <w:pPr>
        <w:ind w:left="-5" w:right="34"/>
      </w:pPr>
      <w:r>
        <w:t xml:space="preserve">          </w:t>
      </w:r>
      <w:r>
        <w:rPr>
          <w:b/>
        </w:rPr>
        <w:t>Čl.III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</w:t>
      </w:r>
    </w:p>
    <w:p w:rsidR="0063288E" w:rsidRDefault="00E4391B">
      <w:pPr>
        <w:pStyle w:val="Nadpis2"/>
        <w:ind w:left="-5"/>
      </w:pPr>
      <w:r>
        <w:t>Tabuľka 26: Informácie k Čl. III odst. 2 písm. c) a d) o záväzkoch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49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63288E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7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19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Dlhodobé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nad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Krátkodobé záväzky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15,5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0849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15,5</w:t>
            </w:r>
          </w:p>
        </w:tc>
      </w:tr>
      <w:tr w:rsidR="0063288E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so zostatkovou dobou splatnosti do jedného roka vrátane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27" w:firstLine="0"/>
              <w:jc w:val="right"/>
            </w:pPr>
            <w:r>
              <w:rPr>
                <w:sz w:val="18"/>
              </w:rPr>
              <w:t>15,5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08491E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15,5</w:t>
            </w:r>
            <w:bookmarkStart w:id="0" w:name="_GoBack"/>
            <w:bookmarkEnd w:id="0"/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Záväzky po lehote splatnosti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25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3288E" w:rsidRDefault="00E4391B">
      <w:pPr>
        <w:spacing w:after="168"/>
        <w:ind w:left="-5" w:right="34"/>
      </w:pPr>
      <w:r>
        <w:t xml:space="preserve">          </w:t>
      </w:r>
      <w:r>
        <w:rPr>
          <w:b/>
        </w:rPr>
        <w:t>Čl.III - (2) - g)</w:t>
      </w:r>
      <w:r>
        <w:t xml:space="preserve">          záväzkoch zo sociálneho fondu, s uvedením stavu na začiatku bežného účtovného obdobia, tvorbe a      čerpaní sociálneho fondu počas bežného účtovného obdobia a stavu na konci účtovného obdobia, </w:t>
      </w:r>
    </w:p>
    <w:p w:rsidR="0063288E" w:rsidRDefault="00E4391B">
      <w:pPr>
        <w:pStyle w:val="Nadpis2"/>
        <w:ind w:left="-5"/>
      </w:pPr>
      <w:r>
        <w:t>Tabuľka 28: Informácie k Čl. III odst. 2 písm. g) o záväzkoch zo sociálneho fondu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63288E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Začiatočný stav socialného fondu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601,32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08491E" w:rsidP="0008491E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601,32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Tvorba socialného fondu na ťarchu nákladov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Tvorba socialného fondu zo zisku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Ostatná forma sociálného fondu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Tvorba sociálného fondu spolu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Čerpanie sociálného fondu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Konečný zostatok sociálného fondu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4" w:firstLine="0"/>
              <w:jc w:val="right"/>
            </w:pPr>
            <w:r>
              <w:rPr>
                <w:sz w:val="18"/>
              </w:rPr>
              <w:t>601,32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08491E">
            <w:pPr>
              <w:spacing w:after="0" w:line="259" w:lineRule="auto"/>
              <w:ind w:left="0" w:right="1" w:firstLine="0"/>
              <w:jc w:val="right"/>
            </w:pPr>
            <w:r>
              <w:t>601,32</w:t>
            </w:r>
          </w:p>
        </w:tc>
      </w:tr>
    </w:tbl>
    <w:p w:rsidR="0063288E" w:rsidRDefault="00E4391B">
      <w:pPr>
        <w:spacing w:after="36"/>
        <w:ind w:left="-5" w:right="34"/>
      </w:pPr>
      <w:r>
        <w:rPr>
          <w:b/>
        </w:rPr>
        <w:t>Čl. IV - (4)</w:t>
      </w:r>
      <w:r>
        <w:t xml:space="preserve">               V poznámkach sa uvádza členenie čistého obratu podľa § 2 ods. 14 zákona podľa jednotlivých typov výrobkov,      tovarov, služieb alebo iných činností účtovnej jednotky a hlavných geografických oblastí odbytu, ak sa tieto činnosti      a oblasti odbytu z hľadiska organizácie predaja výrobkov a tovarov a poskytovania služieb výrazne odlišujú. Ak      predmetom činnosti účtovnej jednotky je dosahovanie iných výnosov ako sú výnosy z predaja výrobkov, tovarov a      služieb, uvádza sa aj opis iných výnosov zahrňovaných do čistého obratu. </w:t>
      </w:r>
    </w:p>
    <w:p w:rsidR="0063288E" w:rsidRDefault="00E4391B">
      <w:pPr>
        <w:pStyle w:val="Nadpis2"/>
        <w:ind w:left="-5"/>
      </w:pPr>
      <w:r>
        <w:t>Tabuľka 47: Informácie k čl. IV odst. 4 o čistom obrate</w:t>
      </w:r>
    </w:p>
    <w:tbl>
      <w:tblPr>
        <w:tblStyle w:val="TableGrid"/>
        <w:tblW w:w="10772" w:type="dxa"/>
        <w:tblInd w:w="-46" w:type="dxa"/>
        <w:tblCellMar>
          <w:top w:w="7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63288E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17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vlastné výrobky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lastRenderedPageBreak/>
              <w:t>Tržby z predaja služieb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08491E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Tržby za tovar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zo zákazky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Výnosy z nehnuteľností na predaj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Iné výnosy súvisiace s bežnou činnosťou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Čistý obrat celkom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3288E" w:rsidRDefault="00E4391B">
      <w:pPr>
        <w:spacing w:after="92" w:line="259" w:lineRule="auto"/>
        <w:ind w:left="0" w:right="150" w:firstLine="0"/>
        <w:jc w:val="center"/>
      </w:pPr>
      <w:r>
        <w:rPr>
          <w:b/>
        </w:rPr>
        <w:t>Čl. IX</w:t>
      </w:r>
    </w:p>
    <w:p w:rsidR="0063288E" w:rsidRDefault="00E4391B">
      <w:pPr>
        <w:spacing w:after="73" w:line="259" w:lineRule="auto"/>
        <w:ind w:left="0" w:right="184" w:firstLine="0"/>
        <w:jc w:val="center"/>
      </w:pPr>
      <w:r>
        <w:t xml:space="preserve">Prehľad o pohybe vlastného imania </w:t>
      </w:r>
    </w:p>
    <w:p w:rsidR="0063288E" w:rsidRDefault="00E4391B">
      <w:pPr>
        <w:numPr>
          <w:ilvl w:val="0"/>
          <w:numId w:val="4"/>
        </w:numPr>
        <w:ind w:right="1045"/>
      </w:pPr>
      <w:r>
        <w:t xml:space="preserve">Prehľad o pohybe vlastného imania zobrazuje zmenu vo vlastnom imaní účtovnej jednotky medzi dvomi účtovnými závierkami a čím bola spôsobená. V tabuľkovej forme sa uvádza zobrazenie pohybu vo vlastnom imaní vrátane zobrazenia pohybu v oceňovacích rozdieloch vykázaných vo vlastnom imaní z dôvodu ocenenia reálnou hodnotou počas účtovného obdobia. </w:t>
      </w:r>
    </w:p>
    <w:p w:rsidR="0063288E" w:rsidRDefault="00E4391B">
      <w:pPr>
        <w:spacing w:after="0" w:line="259" w:lineRule="auto"/>
        <w:ind w:left="0" w:right="0" w:firstLine="0"/>
      </w:pPr>
      <w:r>
        <w:t xml:space="preserve"> </w:t>
      </w:r>
    </w:p>
    <w:p w:rsidR="0063288E" w:rsidRDefault="00E4391B">
      <w:pPr>
        <w:numPr>
          <w:ilvl w:val="0"/>
          <w:numId w:val="4"/>
        </w:numPr>
        <w:ind w:right="1045"/>
      </w:pPr>
      <w:r>
        <w:t xml:space="preserve">Prehľad o pohybe vlastného imania v rámci riadnej účtovnej závierky porovnáva zmenu stavu medzi dvomi po sebe nasledujúcimi riadnymi účtovnými závierkami. Skladá sa z dvoch prehľadov. Jeden prehľad zobrazuje zmenu stavu vlastného imania za účtovné obdobie a druhý prehľad za bezprostredne predchádzajúce účtovné obdobie. </w:t>
      </w:r>
    </w:p>
    <w:p w:rsidR="0063288E" w:rsidRDefault="00E4391B">
      <w:pPr>
        <w:spacing w:after="0" w:line="259" w:lineRule="auto"/>
        <w:ind w:left="0" w:right="0" w:firstLine="0"/>
      </w:pPr>
      <w:r>
        <w:t xml:space="preserve"> </w:t>
      </w:r>
    </w:p>
    <w:p w:rsidR="0063288E" w:rsidRDefault="00E4391B">
      <w:pPr>
        <w:numPr>
          <w:ilvl w:val="0"/>
          <w:numId w:val="4"/>
        </w:numPr>
        <w:spacing w:after="92"/>
        <w:ind w:right="1045"/>
      </w:pPr>
      <w:r>
        <w:t>Prehľad o pohybe vlastného imania v rámci mimoriadnej účtovnej závierky porovnáva zmenu stavu vlastného imania medzi dňom, ku ktorému je zostavená mimoriadna účtovná závierka a dňom, ku ktorému bola zostavená posledná riadna účtovná závierka.</w:t>
      </w:r>
    </w:p>
    <w:p w:rsidR="0063288E" w:rsidRDefault="00E4391B">
      <w:pPr>
        <w:pStyle w:val="Nadpis2"/>
        <w:ind w:left="-5"/>
      </w:pPr>
      <w:r>
        <w:t>Tabuľka 53: Informácie k Čl. IX odst. 1 až 3 o pohybe vlastného imania, ktoré zobrazuje zmenu vo vlastnom imaní účtovnej jednotky medzi dvomi účtovnými závierkami</w:t>
      </w:r>
    </w:p>
    <w:tbl>
      <w:tblPr>
        <w:tblStyle w:val="TableGrid"/>
        <w:tblW w:w="10772" w:type="dxa"/>
        <w:tblInd w:w="-46" w:type="dxa"/>
        <w:tblCellMar>
          <w:top w:w="52" w:type="dxa"/>
          <w:left w:w="34" w:type="dxa"/>
          <w:bottom w:w="0" w:type="dxa"/>
          <w:right w:w="74" w:type="dxa"/>
        </w:tblCellMar>
        <w:tblLook w:val="04A0" w:firstRow="1" w:lastRow="0" w:firstColumn="1" w:lastColumn="0" w:noHBand="0" w:noVBand="1"/>
      </w:tblPr>
      <w:tblGrid>
        <w:gridCol w:w="5216"/>
        <w:gridCol w:w="2778"/>
        <w:gridCol w:w="2778"/>
      </w:tblGrid>
      <w:tr w:rsidR="0063288E">
        <w:trPr>
          <w:trHeight w:val="567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b/>
                <w:sz w:val="18"/>
              </w:rPr>
              <w:t>Pohyb vlastného imania (VI)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5" w:right="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619" w:right="0" w:hanging="619"/>
            </w:pPr>
            <w:r>
              <w:rPr>
                <w:b/>
                <w:sz w:val="18"/>
              </w:rPr>
              <w:t>Bezprostredne predchádzajúce účtovné obdobie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 VI na začiatku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6638,78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6638,78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Zvýšenie alebo zníženie VI počas účt. obdobia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Stav VI na konci účt. obdobia: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6638,78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6638,78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Dôvody zmien VI :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zapísané do OR (411)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6638,78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6638,78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Zákl. imanie nezapísané do OR (419)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Emisné ážio (412)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Zákonné rezervné fondy (417,418,421,422)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kapitálové fondy (413)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3" w:firstLine="0"/>
              <w:jc w:val="right"/>
            </w:pPr>
            <w:r>
              <w:rPr>
                <w:sz w:val="18"/>
              </w:rPr>
              <w:t>7660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45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Oceňovacie rozdiely nezahrnuté do výsledku hospodárenia (414,415,416)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Ostatné fondy tvorené zo zisku (423,427)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Nerozdelený zisk min. rokov (428)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34013,84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30339,27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Neuhradná strata min. rokov (429)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11012,66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11012,66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Účtovný zisk alebo strata (431)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-3206,92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5" w:firstLine="0"/>
              <w:jc w:val="right"/>
            </w:pPr>
            <w:r>
              <w:rPr>
                <w:sz w:val="18"/>
              </w:rPr>
              <w:t>3674,57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Vyplatené dividendy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3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Ďalšie zmeny vlastného imania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  <w:tr w:rsidR="0063288E">
        <w:trPr>
          <w:trHeight w:val="284"/>
        </w:trPr>
        <w:tc>
          <w:tcPr>
            <w:tcW w:w="52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12" w:right="0" w:firstLine="0"/>
            </w:pPr>
            <w:r>
              <w:rPr>
                <w:sz w:val="18"/>
              </w:rPr>
              <w:t>Zmeny na účte fyzickej osoby (491)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7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3288E" w:rsidRDefault="00E4391B">
            <w:pPr>
              <w:spacing w:after="0" w:line="259" w:lineRule="auto"/>
              <w:ind w:left="0" w:right="1" w:firstLine="0"/>
              <w:jc w:val="right"/>
            </w:pPr>
            <w:r>
              <w:rPr>
                <w:sz w:val="18"/>
              </w:rPr>
              <w:t>0</w:t>
            </w:r>
          </w:p>
        </w:tc>
      </w:tr>
    </w:tbl>
    <w:p w:rsidR="0063288E" w:rsidRDefault="00E4391B">
      <w:pPr>
        <w:ind w:left="-5" w:right="34"/>
      </w:pPr>
      <w:r>
        <w:t>Ine informácie k vlastnému imaniu:</w:t>
      </w:r>
    </w:p>
    <w:p w:rsidR="0063288E" w:rsidRDefault="00E4391B">
      <w:pPr>
        <w:ind w:left="-5" w:right="34"/>
      </w:pPr>
      <w:r>
        <w:t xml:space="preserve">(napr. informácia, či účtovná jednotka vytvorila kapitálový fond z príspevkov podľa § 123 ods. 2 a § 217a Obchodného zákonníka v znení neskorších predpisov) </w:t>
      </w:r>
    </w:p>
    <w:p w:rsidR="0063288E" w:rsidRDefault="00E4391B">
      <w:pPr>
        <w:spacing w:after="0" w:line="259" w:lineRule="auto"/>
        <w:ind w:left="-46" w:right="0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6839966" cy="179959"/>
                <wp:effectExtent l="0" t="0" r="0" b="0"/>
                <wp:docPr id="19094" name="Group 1909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39966" cy="179959"/>
                          <a:chOff x="0" y="0"/>
                          <a:chExt cx="6839966" cy="179959"/>
                        </a:xfrm>
                      </wpg:grpSpPr>
                      <wps:wsp>
                        <wps:cNvPr id="2555" name="Shape 2555"/>
                        <wps:cNvSpPr/>
                        <wps:spPr>
                          <a:xfrm>
                            <a:off x="0" y="0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6" name="Shape 2556"/>
                        <wps:cNvSpPr/>
                        <wps:spPr>
                          <a:xfrm>
                            <a:off x="6839966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7" name="Shape 2557"/>
                        <wps:cNvSpPr/>
                        <wps:spPr>
                          <a:xfrm>
                            <a:off x="0" y="179959"/>
                            <a:ext cx="6839966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839966">
                                <a:moveTo>
                                  <a:pt x="0" y="0"/>
                                </a:moveTo>
                                <a:lnTo>
                                  <a:pt x="6839966" y="0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2558" name="Shape 2558"/>
                        <wps:cNvSpPr/>
                        <wps:spPr>
                          <a:xfrm>
                            <a:off x="0" y="0"/>
                            <a:ext cx="0" cy="17995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h="179959">
                                <a:moveTo>
                                  <a:pt x="0" y="0"/>
                                </a:moveTo>
                                <a:lnTo>
                                  <a:pt x="0" y="179959"/>
                                </a:lnTo>
                              </a:path>
                            </a:pathLst>
                          </a:custGeom>
                          <a:ln w="9525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BD7AE6" id="Group 19094" o:spid="_x0000_s1026" style="width:538.6pt;height:14.15pt;mso-position-horizontal-relative:char;mso-position-vertical-relative:line" coordsize="68399,17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bqT8gIAABsPAAAOAAAAZHJzL2Uyb0RvYy54bWzsV81u2zAMvg/YOwi+r3ay5cdGkh7WrZdh&#10;K9buAVRZ/gFkSZDUOHn7UbStpAnaotnWw5AcHFqmKPIjP0paXG4aQdbc2FrJZTS6SCLCJVN5Lctl&#10;9Ovu64d5RKyjMqdCSb6MttxGl6v37xatzvhYVUrk3BAwIm3W6mVUOaezOLas4g21F0pzCR8LZRrq&#10;4NWUcW5oC9YbEY+TZBq3yuTaKMathdGr7mO0QvtFwZn7URSWOyKWEfjm8Gnwee+f8WpBs9JQXdWs&#10;d4Oe4EVDawmLBlNX1FHyYOojU03NjLKqcBdMNbEqippxjAGiGSUH0Vwb9aAxljJrSx1gAmgPcDrZ&#10;LPu+vjGkziF3aZJ+ioikDaQJVybdEEDU6jIDzWujb/WN6QfK7s1HvSlM4/8hHrJBcLcBXL5xhMHg&#10;dP4xTafTiDD4Npql6STt0GcVpOhoGqu+PD8xHpaNvXfBmVZDIdkdVvbPsLqtqOaYAusR6LEaTyaT&#10;ASrUIDiCwKBegMlmFhA7CSMszhAlzdiDdddcIdB0/c26rnbzQaLVILGNHEQDDHi29jV1fp730Iuk&#10;3WXKjzVqze8UfnUHOQLXdl+F3NcKuR7KAHQ7DRD8MqtFL+DSIO8HJ6T3Ip2MAWNGoSkUgjpkV1M7&#10;6BaibqCCxrMkGSASEgz6zHdgo+S2gnu/hfzJC6hwKMERGrGmvP8sDFlT3xPw5wsRXQRVP6eohQiz&#10;kidneVUqdEV7W72ZfgE02Vvymhzb0aFZ1nvT9SRgNnSpoTOBS2ESuqWkC/Ml9FNccC9aL96rfIsc&#10;RUCACp6+b8MJIHfXPgInpt5Dvzxw52VOHJUNxN83AUDlcd8AbIaus187/44YVehaPhW7ytev4AVE&#10;8aj5Yc154oBwpgVytGfb/0SL2REtZq+ixWHV7FgRCOO5MTTDt6XFeb847xcvHGOfPEPB3eBgv5if&#10;QIz+EH/eKcLp8HyA2nXDv3KAwisG3MBwo+5vi/6Kt/8O8v6ddvUbAAD//wMAUEsDBBQABgAIAAAA&#10;IQBLbNg93AAAAAUBAAAPAAAAZHJzL2Rvd25yZXYueG1sTI9Ba8JAEIXvhf6HZQq91U0iVkmzERHt&#10;SQrVQultzI5JMDsbsmsS/71rL+1l4PEe732TLUfTiJ46V1tWEE8iEMSF1TWXCr4O25cFCOeRNTaW&#10;ScGVHCzzx4cMU20H/qR+70sRStilqKDyvk2ldEVFBt3EtsTBO9nOoA+yK6XucAjlppFJFL1KgzWH&#10;hQpbWldUnPcXo+B9wGE1jTf97nxaX38Os4/vXUxKPT+NqzcQnkb/F4Y7fkCHPDAd7YW1E42C8Ij/&#10;vXcvms8TEEcFyWIKMs/kf/r8BgAA//8DAFBLAQItABQABgAIAAAAIQC2gziS/gAAAOEBAAATAAAA&#10;AAAAAAAAAAAAAAAAAABbQ29udGVudF9UeXBlc10ueG1sUEsBAi0AFAAGAAgAAAAhADj9If/WAAAA&#10;lAEAAAsAAAAAAAAAAAAAAAAALwEAAF9yZWxzLy5yZWxzUEsBAi0AFAAGAAgAAAAhAIsFupPyAgAA&#10;Gw8AAA4AAAAAAAAAAAAAAAAALgIAAGRycy9lMm9Eb2MueG1sUEsBAi0AFAAGAAgAAAAhAEts2D3c&#10;AAAABQEAAA8AAAAAAAAAAAAAAAAATAUAAGRycy9kb3ducmV2LnhtbFBLBQYAAAAABAAEAPMAAABV&#10;BgAAAAA=&#10;">
                <v:shape id="Shape 2555" o:spid="_x0000_s1027" style="position:absolute;width:68399;height:0;visibility:visible;mso-wrap-style:square;v-text-anchor:top" coordsize="6839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lhcK8cA&#10;AADdAAAADwAAAGRycy9kb3ducmV2LnhtbESP3YrCMBSE7wXfIRzBG9F0hYpUo+iKsCy7iH+gd4fm&#10;2Babk9JE7b69ERa8HGbmG2Y6b0wp7lS7wrKCj0EEgji1uuBMwWG/7o9BOI+ssbRMCv7IwXzWbk0x&#10;0fbBW7rvfCYChF2CCnLvq0RKl+Zk0A1sRRy8i60N+iDrTOoaHwFuSjmMopE0WHBYyLGiz5zS6+5m&#10;FETjc7PcHore9360+j1tysXP8ZIp1e00iwkIT41/h//bX1rBMI5jeL0JT0DOng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KZYXCvHAAAA3QAAAA8AAAAAAAAAAAAAAAAAmAIAAGRy&#10;cy9kb3ducmV2LnhtbFBLBQYAAAAABAAEAPUAAACMAwAAAAA=&#10;" path="m,l6839966,e" filled="f">
                  <v:stroke miterlimit="83231f" joinstyle="miter"/>
                  <v:path arrowok="t" textboxrect="0,0,6839966,0"/>
                </v:shape>
                <v:shape id="Shape 2556" o:spid="_x0000_s1028" style="position:absolute;left:68399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pGBXcYA&#10;AADdAAAADwAAAGRycy9kb3ducmV2LnhtbESPT2sCMRTE74LfITyhN81WUJatUaQo7UGQ+gd6fGye&#10;u4ublyWJa+qnN4VCj8PM/IZZrKJpRU/ON5YVvE4yEMSl1Q1XCk7H7TgH4QOyxtYyKfghD6vlcLDA&#10;Qts7f1F/CJVIEPYFKqhD6AopfVmTQT+xHXHyLtYZDEm6SmqH9wQ3rZxm2VwabDgt1NjRe03l9XAz&#10;Cnb2fHz05/0mz3V+jd9+Ez9cptTLKK7fQASK4T/81/7UCqaz2Rx+36QnIJdP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QpGBXcYAAADdAAAADwAAAAAAAAAAAAAAAACYAgAAZHJz&#10;L2Rvd25yZXYueG1sUEsFBgAAAAAEAAQA9QAAAIsDAAAAAA==&#10;" path="m,l,179959e" filled="f">
                  <v:stroke miterlimit="83231f" joinstyle="miter"/>
                  <v:path arrowok="t" textboxrect="0,0,0,179959"/>
                </v:shape>
                <v:shape id="Shape 2557" o:spid="_x0000_s1029" style="position:absolute;top:1799;width:68399;height:0;visibility:visible;mso-wrap-style:square;v-text-anchor:top" coordsize="6839966,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cZnx8kA&#10;AADdAAAADwAAAGRycy9kb3ducmV2LnhtbESPW2vCQBSE34X+h+UU+lLqRkEraTZBLYKIpXgptG+H&#10;7MkFs2dDdtX033eFgo/DzHzDJFlvGnGhztWWFYyGEQji3OqaSwXHw+plBsJ5ZI2NZVLwSw6y9GGQ&#10;YKztlXd02ftSBAi7GBVU3rexlC6vyKAb2pY4eIXtDPogu1LqDq8Bbho5jqKpNFhzWKiwpWVF+Wl/&#10;Ngqi2U+/2B3r581h+v7x/dnMt19FqdTTYz9/A+Gp9/fwf3utFYwnk1e4vQlPQKZ/AAAA//8DAFBL&#10;AQItABQABgAIAAAAIQDw94q7/QAAAOIBAAATAAAAAAAAAAAAAAAAAAAAAABbQ29udGVudF9UeXBl&#10;c10ueG1sUEsBAi0AFAAGAAgAAAAhADHdX2HSAAAAjwEAAAsAAAAAAAAAAAAAAAAALgEAAF9yZWxz&#10;Ly5yZWxzUEsBAi0AFAAGAAgAAAAhADMvBZ5BAAAAOQAAABAAAAAAAAAAAAAAAAAAKQIAAGRycy9z&#10;aGFwZXhtbC54bWxQSwECLQAUAAYACAAAACEAOcZnx8kAAADdAAAADwAAAAAAAAAAAAAAAACYAgAA&#10;ZHJzL2Rvd25yZXYueG1sUEsFBgAAAAAEAAQA9QAAAI4DAAAAAA==&#10;" path="m,l6839966,e" filled="f">
                  <v:stroke miterlimit="83231f" joinstyle="miter"/>
                  <v:path arrowok="t" textboxrect="0,0,6839966,0"/>
                </v:shape>
                <v:shape id="Shape 2558" o:spid="_x0000_s1030" style="position:absolute;width:0;height:1799;visibility:visible;mso-wrap-style:square;v-text-anchor:top" coordsize="0,17995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XEKwtMIA&#10;AADdAAAADwAAAGRycy9kb3ducmV2LnhtbERPy4rCMBTdD/gP4QqzG1MFh1KNIqLoQhjGB7i8NNe2&#10;2NyUJNaMXz9ZDMzycN7zZTSt6Mn5xrKC8SgDQVxa3XCl4HzafuQgfEDW2FomBT/kYbkYvM2x0PbJ&#10;39QfQyVSCPsCFdQhdIWUvqzJoB/ZjjhxN+sMhgRdJbXDZwo3rZxk2ac02HBqqLGjdU3l/fgwCg72&#10;cnr1l69Nnuv8Hq9+E3cuU+p9GFczEIFi+Bf/ufdawWQ6TXPTm/QE5OIX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cQrC0wgAAAN0AAAAPAAAAAAAAAAAAAAAAAJgCAABkcnMvZG93&#10;bnJldi54bWxQSwUGAAAAAAQABAD1AAAAhwMAAAAA&#10;" path="m,l,179959e" filled="f">
                  <v:stroke miterlimit="83231f" joinstyle="miter"/>
                  <v:path arrowok="t" textboxrect="0,0,0,179959"/>
                </v:shape>
                <w10:anchorlock/>
              </v:group>
            </w:pict>
          </mc:Fallback>
        </mc:AlternateContent>
      </w:r>
    </w:p>
    <w:sectPr w:rsidR="0063288E">
      <w:headerReference w:type="even" r:id="rId7"/>
      <w:headerReference w:type="default" r:id="rId8"/>
      <w:headerReference w:type="first" r:id="rId9"/>
      <w:pgSz w:w="11910" w:h="16845"/>
      <w:pgMar w:top="634" w:right="482" w:bottom="1291" w:left="623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43DCA" w:rsidRDefault="00743DCA">
      <w:pPr>
        <w:spacing w:after="0" w:line="240" w:lineRule="auto"/>
      </w:pPr>
      <w:r>
        <w:separator/>
      </w:r>
    </w:p>
  </w:endnote>
  <w:endnote w:type="continuationSeparator" w:id="0">
    <w:p w:rsidR="00743DCA" w:rsidRDefault="00743D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43DCA" w:rsidRDefault="00743DCA">
      <w:pPr>
        <w:spacing w:after="0" w:line="240" w:lineRule="auto"/>
      </w:pPr>
      <w:r>
        <w:separator/>
      </w:r>
    </w:p>
  </w:footnote>
  <w:footnote w:type="continuationSeparator" w:id="0">
    <w:p w:rsidR="00743DCA" w:rsidRDefault="00743DC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27"/>
      <w:gridCol w:w="227"/>
      <w:gridCol w:w="227"/>
      <w:gridCol w:w="227"/>
      <w:gridCol w:w="227"/>
      <w:gridCol w:w="227"/>
      <w:gridCol w:w="227"/>
      <w:gridCol w:w="227"/>
      <w:gridCol w:w="1871"/>
      <w:gridCol w:w="227"/>
      <w:gridCol w:w="227"/>
      <w:gridCol w:w="227"/>
      <w:gridCol w:w="227"/>
      <w:gridCol w:w="227"/>
      <w:gridCol w:w="227"/>
      <w:gridCol w:w="227"/>
      <w:gridCol w:w="227"/>
      <w:gridCol w:w="227"/>
      <w:gridCol w:w="227"/>
    </w:tblGrid>
    <w:tr w:rsidR="00E4391B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>
              <w:t>6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28" w:right="0" w:firstLine="0"/>
          </w:pPr>
          <w:r>
            <w:t xml:space="preserve"> 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28" w:right="0" w:firstLine="0"/>
          </w:pPr>
          <w:r>
            <w:t xml:space="preserve"> 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</w:tr>
  </w:tbl>
  <w:p w:rsidR="00E4391B" w:rsidRDefault="00E4391B">
    <w:pPr>
      <w:tabs>
        <w:tab w:val="right" w:pos="10805"/>
      </w:tabs>
      <w:spacing w:after="0" w:line="259" w:lineRule="auto"/>
      <w:ind w:left="0" w:right="0" w:firstLine="0"/>
    </w:pPr>
    <w:r>
      <w:rPr>
        <w:bdr w:val="single" w:sz="12" w:space="0" w:color="000000"/>
      </w:rPr>
      <w:t>Poznámky Úč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pPr w:vertAnchor="page" w:horzAnchor="page" w:tblpX="4659" w:tblpY="577"/>
      <w:tblOverlap w:val="never"/>
      <w:tblW w:w="5953" w:type="dxa"/>
      <w:tblInd w:w="0" w:type="dxa"/>
      <w:tblCellMar>
        <w:top w:w="94" w:type="dxa"/>
        <w:left w:w="45" w:type="dxa"/>
        <w:bottom w:w="0" w:type="dxa"/>
        <w:right w:w="71" w:type="dxa"/>
      </w:tblCellMar>
      <w:tblLook w:val="04A0" w:firstRow="1" w:lastRow="0" w:firstColumn="1" w:lastColumn="0" w:noHBand="0" w:noVBand="1"/>
    </w:tblPr>
    <w:tblGrid>
      <w:gridCol w:w="228"/>
      <w:gridCol w:w="228"/>
      <w:gridCol w:w="226"/>
      <w:gridCol w:w="228"/>
      <w:gridCol w:w="228"/>
      <w:gridCol w:w="228"/>
      <w:gridCol w:w="226"/>
      <w:gridCol w:w="228"/>
      <w:gridCol w:w="1853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E4391B">
      <w:trPr>
        <w:trHeight w:val="340"/>
      </w:trPr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fldSimple w:instr=" NUMPAGES   \* MERGEFORMAT ">
            <w:r w:rsidR="0008491E">
              <w:rPr>
                <w:noProof/>
              </w:rPr>
              <w:t>6</w:t>
            </w:r>
          </w:fldSimple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28" w:right="0" w:firstLine="0"/>
          </w:pPr>
          <w:r>
            <w:t xml:space="preserve"> 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7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28" w:right="0" w:firstLine="0"/>
          </w:pPr>
          <w:r>
            <w:t xml:space="preserve"> 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  <w:tc>
        <w:tcPr>
          <w:tcW w:w="1871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58" w:firstLine="0"/>
            <w:jc w:val="right"/>
          </w:pPr>
          <w:r>
            <w:t>DIČ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0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1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2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3</w:t>
          </w:r>
        </w:p>
      </w:tc>
      <w:tc>
        <w:tcPr>
          <w:tcW w:w="227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E4391B" w:rsidRDefault="00E4391B">
          <w:pPr>
            <w:spacing w:after="0" w:line="259" w:lineRule="auto"/>
            <w:ind w:left="0" w:right="0" w:firstLine="0"/>
            <w:jc w:val="both"/>
          </w:pPr>
          <w:r>
            <w:t>4</w:t>
          </w:r>
        </w:p>
      </w:tc>
    </w:tr>
  </w:tbl>
  <w:p w:rsidR="00E4391B" w:rsidRDefault="00E4391B">
    <w:pPr>
      <w:tabs>
        <w:tab w:val="right" w:pos="10805"/>
      </w:tabs>
      <w:spacing w:after="0" w:line="259" w:lineRule="auto"/>
      <w:ind w:left="0" w:right="0" w:firstLine="0"/>
    </w:pPr>
    <w:r>
      <w:rPr>
        <w:bdr w:val="single" w:sz="12" w:space="0" w:color="000000"/>
      </w:rPr>
      <w:t>Poznámky Úč PODV 3 - 01</w:t>
    </w:r>
    <w:r>
      <w:rPr>
        <w:bdr w:val="single" w:sz="12" w:space="0" w:color="000000"/>
      </w:rPr>
      <w:tab/>
    </w:r>
    <w:r>
      <w:t>IČOstr.</w:t>
    </w:r>
    <w:r>
      <w:fldChar w:fldCharType="begin"/>
    </w:r>
    <w:r>
      <w:instrText xml:space="preserve"> PAGE   \* MERGEFORMAT </w:instrText>
    </w:r>
    <w:r>
      <w:fldChar w:fldCharType="separate"/>
    </w:r>
    <w:r w:rsidR="0008491E">
      <w:rPr>
        <w:noProof/>
      </w:rPr>
      <w:t>6</w:t>
    </w:r>
    <w: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4391B" w:rsidRDefault="00E4391B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ACD1BA8"/>
    <w:multiLevelType w:val="hybridMultilevel"/>
    <w:tmpl w:val="702E23C6"/>
    <w:lvl w:ilvl="0" w:tplc="E1FE84DA">
      <w:start w:val="3"/>
      <w:numFmt w:val="lowerLetter"/>
      <w:lvlText w:val="%1)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284C44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7EA6970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69289B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B2040F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6CEA12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8C37D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3CCB9C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AF476A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80733ED"/>
    <w:multiLevelType w:val="hybridMultilevel"/>
    <w:tmpl w:val="93A6F40C"/>
    <w:lvl w:ilvl="0" w:tplc="3A6C996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7E4553A">
      <w:start w:val="1"/>
      <w:numFmt w:val="decimal"/>
      <w:lvlText w:val="%2."/>
      <w:lvlJc w:val="left"/>
      <w:pPr>
        <w:ind w:left="7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9866766">
      <w:start w:val="1"/>
      <w:numFmt w:val="lowerRoman"/>
      <w:lvlText w:val="%3"/>
      <w:lvlJc w:val="left"/>
      <w:pPr>
        <w:ind w:left="13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7447C2">
      <w:start w:val="1"/>
      <w:numFmt w:val="decimal"/>
      <w:lvlText w:val="%4"/>
      <w:lvlJc w:val="left"/>
      <w:pPr>
        <w:ind w:left="20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9A7D6A">
      <w:start w:val="1"/>
      <w:numFmt w:val="lowerLetter"/>
      <w:lvlText w:val="%5"/>
      <w:lvlJc w:val="left"/>
      <w:pPr>
        <w:ind w:left="2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E56A32A">
      <w:start w:val="1"/>
      <w:numFmt w:val="lowerRoman"/>
      <w:lvlText w:val="%6"/>
      <w:lvlJc w:val="left"/>
      <w:pPr>
        <w:ind w:left="351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0CEB7EE">
      <w:start w:val="1"/>
      <w:numFmt w:val="decimal"/>
      <w:lvlText w:val="%7"/>
      <w:lvlJc w:val="left"/>
      <w:pPr>
        <w:ind w:left="42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EBA2436">
      <w:start w:val="1"/>
      <w:numFmt w:val="lowerLetter"/>
      <w:lvlText w:val="%8"/>
      <w:lvlJc w:val="left"/>
      <w:pPr>
        <w:ind w:left="495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0682932">
      <w:start w:val="1"/>
      <w:numFmt w:val="lowerRoman"/>
      <w:lvlText w:val="%9"/>
      <w:lvlJc w:val="left"/>
      <w:pPr>
        <w:ind w:left="56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A366C45"/>
    <w:multiLevelType w:val="hybridMultilevel"/>
    <w:tmpl w:val="E4AE84F6"/>
    <w:lvl w:ilvl="0" w:tplc="2F9C0452">
      <w:start w:val="1"/>
      <w:numFmt w:val="lowerLetter"/>
      <w:lvlText w:val="%1)"/>
      <w:lvlJc w:val="left"/>
      <w:pPr>
        <w:ind w:left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052A04C">
      <w:start w:val="1"/>
      <w:numFmt w:val="lowerLetter"/>
      <w:lvlText w:val="%2"/>
      <w:lvlJc w:val="left"/>
      <w:pPr>
        <w:ind w:left="11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F60314A">
      <w:start w:val="1"/>
      <w:numFmt w:val="lowerRoman"/>
      <w:lvlText w:val="%3"/>
      <w:lvlJc w:val="left"/>
      <w:pPr>
        <w:ind w:left="18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50627E0">
      <w:start w:val="1"/>
      <w:numFmt w:val="decimal"/>
      <w:lvlText w:val="%4"/>
      <w:lvlJc w:val="left"/>
      <w:pPr>
        <w:ind w:left="2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90BA54">
      <w:start w:val="1"/>
      <w:numFmt w:val="lowerLetter"/>
      <w:lvlText w:val="%5"/>
      <w:lvlJc w:val="left"/>
      <w:pPr>
        <w:ind w:left="328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F687FE">
      <w:start w:val="1"/>
      <w:numFmt w:val="lowerRoman"/>
      <w:lvlText w:val="%6"/>
      <w:lvlJc w:val="left"/>
      <w:pPr>
        <w:ind w:left="400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17EDF78">
      <w:start w:val="1"/>
      <w:numFmt w:val="decimal"/>
      <w:lvlText w:val="%7"/>
      <w:lvlJc w:val="left"/>
      <w:pPr>
        <w:ind w:left="47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785872">
      <w:start w:val="1"/>
      <w:numFmt w:val="lowerLetter"/>
      <w:lvlText w:val="%8"/>
      <w:lvlJc w:val="left"/>
      <w:pPr>
        <w:ind w:left="544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9AC55C8">
      <w:start w:val="1"/>
      <w:numFmt w:val="lowerRoman"/>
      <w:lvlText w:val="%9"/>
      <w:lvlJc w:val="left"/>
      <w:pPr>
        <w:ind w:left="61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70430F3F"/>
    <w:multiLevelType w:val="hybridMultilevel"/>
    <w:tmpl w:val="474214AC"/>
    <w:lvl w:ilvl="0" w:tplc="7B84DED0">
      <w:start w:val="6"/>
      <w:numFmt w:val="lowerLetter"/>
      <w:lvlText w:val="%1)"/>
      <w:lvlJc w:val="left"/>
      <w:pPr>
        <w:ind w:left="2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F66E982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204A3B2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D4C860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CAAE0D0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063E2A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44E84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C80260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008D390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4E2448B"/>
    <w:multiLevelType w:val="hybridMultilevel"/>
    <w:tmpl w:val="77A20188"/>
    <w:lvl w:ilvl="0" w:tplc="359E65A6">
      <w:start w:val="1"/>
      <w:numFmt w:val="decimal"/>
      <w:lvlText w:val="(%1)"/>
      <w:lvlJc w:val="left"/>
      <w:pPr>
        <w:ind w:left="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76F37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1A39E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78E7E5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FAE700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F2B37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7983E5C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152B86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B249E6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3288E"/>
    <w:rsid w:val="0008491E"/>
    <w:rsid w:val="0063288E"/>
    <w:rsid w:val="00743DCA"/>
    <w:rsid w:val="00E43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B6DB214-B962-4404-8FE2-C9E180E06D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4" w:line="249" w:lineRule="auto"/>
      <w:ind w:left="10" w:right="1136" w:hanging="10"/>
    </w:pPr>
    <w:rPr>
      <w:rFonts w:ascii="Arial" w:eastAsia="Arial" w:hAnsi="Arial" w:cs="Arial"/>
      <w:color w:val="000000"/>
      <w:sz w:val="20"/>
    </w:rPr>
  </w:style>
  <w:style w:type="paragraph" w:styleId="Nadpis1">
    <w:name w:val="heading 1"/>
    <w:next w:val="Normlny"/>
    <w:link w:val="Nadpis1Char"/>
    <w:uiPriority w:val="9"/>
    <w:unhideWhenUsed/>
    <w:qFormat/>
    <w:pPr>
      <w:keepNext/>
      <w:keepLines/>
      <w:spacing w:after="68"/>
      <w:ind w:right="1827"/>
      <w:jc w:val="right"/>
      <w:outlineLvl w:val="0"/>
    </w:pPr>
    <w:rPr>
      <w:rFonts w:ascii="Arial" w:eastAsia="Arial" w:hAnsi="Arial" w:cs="Arial"/>
      <w:b/>
      <w:color w:val="000000"/>
      <w:sz w:val="36"/>
    </w:rPr>
  </w:style>
  <w:style w:type="paragraph" w:styleId="Nadpis2">
    <w:name w:val="heading 2"/>
    <w:next w:val="Normlny"/>
    <w:link w:val="Nadpis2Char"/>
    <w:uiPriority w:val="9"/>
    <w:unhideWhenUsed/>
    <w:qFormat/>
    <w:pPr>
      <w:keepNext/>
      <w:keepLines/>
      <w:spacing w:after="0"/>
      <w:ind w:left="10" w:hanging="10"/>
      <w:outlineLvl w:val="1"/>
    </w:pPr>
    <w:rPr>
      <w:rFonts w:ascii="Arial" w:eastAsia="Arial" w:hAnsi="Arial" w:cs="Arial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link w:val="Nadpis2"/>
    <w:rPr>
      <w:rFonts w:ascii="Arial" w:eastAsia="Arial" w:hAnsi="Arial" w:cs="Arial"/>
      <w:b/>
      <w:color w:val="000000"/>
      <w:sz w:val="20"/>
    </w:rPr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36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1648</Words>
  <Characters>9396</Characters>
  <Application>Microsoft Office Word</Application>
  <DocSecurity>0</DocSecurity>
  <Lines>78</Lines>
  <Paragraphs>22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11022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Zuzanka</cp:lastModifiedBy>
  <cp:revision>2</cp:revision>
  <dcterms:created xsi:type="dcterms:W3CDTF">2024-11-02T17:00:00Z</dcterms:created>
  <dcterms:modified xsi:type="dcterms:W3CDTF">2024-11-02T17:00:00Z</dcterms:modified>
</cp:coreProperties>
</file>