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color="000000" w:space="0" w:sz="4" w:val="single"/>
          <w:left w:color="000000" w:space="4" w:sz="4" w:val="single"/>
          <w:bottom w:color="000000" w:space="1" w:sz="4" w:val="single"/>
          <w:right w:color="000000" w:space="6" w:sz="4" w:val="single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POZNÁMKY K ÚČTOVNEJ ZÁVIERKE 202</w:t>
      </w:r>
      <w:r w:rsidDel="00000000" w:rsidR="00000000" w:rsidRPr="00000000">
        <w:rPr>
          <w:rFonts w:ascii="Arial Narrow" w:cs="Arial Narrow" w:eastAsia="Arial Narrow" w:hAnsi="Arial Narrow"/>
          <w:b w:val="1"/>
          <w:sz w:val="24"/>
          <w:szCs w:val="24"/>
          <w:rtl w:val="0"/>
        </w:rPr>
        <w:t xml:space="preserve">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color="000000" w:space="0" w:sz="4" w:val="single"/>
          <w:left w:color="000000" w:space="4" w:sz="4" w:val="single"/>
          <w:bottom w:color="000000" w:space="1" w:sz="4" w:val="single"/>
          <w:right w:color="000000" w:space="6" w:sz="4" w:val="single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color="000000" w:space="0" w:sz="4" w:val="single"/>
          <w:left w:color="000000" w:space="4" w:sz="4" w:val="single"/>
          <w:bottom w:color="000000" w:space="1" w:sz="4" w:val="single"/>
          <w:right w:color="000000" w:space="6" w:sz="4" w:val="single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pre mikro účtovné jednotky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Článok I – VŠEOBECNÉ INFORMÁCIE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1)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Základné informácie o účtovnej jednotke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: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05.0" w:type="dxa"/>
        <w:jc w:val="left"/>
        <w:tblInd w:w="-108.0" w:type="dxa"/>
        <w:tblLayout w:type="fixed"/>
        <w:tblLook w:val="0000"/>
      </w:tblPr>
      <w:tblGrid>
        <w:gridCol w:w="2636"/>
        <w:gridCol w:w="6969"/>
        <w:tblGridChange w:id="0">
          <w:tblGrid>
            <w:gridCol w:w="2636"/>
            <w:gridCol w:w="6969"/>
          </w:tblGrid>
        </w:tblGridChange>
      </w:tblGrid>
      <w:tr>
        <w:trPr>
          <w:cantSplit w:val="0"/>
          <w:trHeight w:val="231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Obchodné meno: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Dvor na Štiavničke, s. r. o.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Sídlo: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Kozmonautov 123/16, 977 01  Brezno</w:t>
            </w:r>
          </w:p>
        </w:tc>
      </w:tr>
      <w:tr>
        <w:trPr>
          <w:cantSplit w:val="0"/>
          <w:trHeight w:val="12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Právna forma: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Spoločnosť s ručením obmedzeným</w:t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Dátum vzniku: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Zápis do obchodného registra: 05. 03. 2009</w:t>
            </w:r>
          </w:p>
        </w:tc>
      </w:tr>
      <w:tr>
        <w:trPr>
          <w:cantSplit w:val="0"/>
          <w:trHeight w:val="175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Hlavný predmet podnikania: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Kombinované administratívno-kancelárske činnosti</w:t>
            </w:r>
          </w:p>
        </w:tc>
      </w:tr>
      <w:tr>
        <w:trPr>
          <w:cantSplit w:val="0"/>
          <w:trHeight w:val="194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Účtovné obdobie: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01. 01. 202</w:t>
            </w:r>
            <w:r w:rsidDel="00000000" w:rsidR="00000000" w:rsidRPr="00000000">
              <w:rPr>
                <w:rFonts w:ascii="Arial Narrow" w:cs="Arial Narrow" w:eastAsia="Arial Narrow" w:hAnsi="Arial Narrow"/>
                <w:sz w:val="22"/>
                <w:szCs w:val="22"/>
                <w:rtl w:val="0"/>
              </w:rPr>
              <w:t xml:space="preserve">3</w:t>
            </w: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– 31. 12. 202</w:t>
            </w:r>
            <w:r w:rsidDel="00000000" w:rsidR="00000000" w:rsidRPr="00000000">
              <w:rPr>
                <w:rFonts w:ascii="Arial Narrow" w:cs="Arial Narrow" w:eastAsia="Arial Narrow" w:hAnsi="Arial Narrow"/>
                <w:sz w:val="22"/>
                <w:szCs w:val="22"/>
                <w:rtl w:val="0"/>
              </w:rPr>
              <w:t xml:space="preserve">3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2) Účtovná jednotka</w:t>
      </w: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nie je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súčasťou žiadneho konsolidovaného celku</w:t>
      </w: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3)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Priemerný prepočítaný počet zamestnancov účtovnej jednotky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:</w:t>
      </w:r>
    </w:p>
    <w:tbl>
      <w:tblPr>
        <w:tblStyle w:val="Table2"/>
        <w:tblW w:w="9747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857"/>
        <w:gridCol w:w="2523"/>
        <w:gridCol w:w="2367"/>
        <w:tblGridChange w:id="0">
          <w:tblGrid>
            <w:gridCol w:w="4857"/>
            <w:gridCol w:w="2523"/>
            <w:gridCol w:w="2367"/>
          </w:tblGrid>
        </w:tblGridChange>
      </w:tblGrid>
      <w:tr>
        <w:trPr>
          <w:cantSplit w:val="0"/>
          <w:trHeight w:val="53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59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63" w:hRule="atLeast"/>
          <w:tblHeader w:val="0"/>
        </w:trPr>
        <w:tc>
          <w:tcPr/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Priemerný prepočítaný počet počas účtovného obdobia</w:t>
            </w:r>
          </w:p>
        </w:tc>
        <w:tc>
          <w:tcPr/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0</w:t>
            </w:r>
          </w:p>
        </w:tc>
        <w:tc>
          <w:tcPr/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0</w:t>
            </w:r>
          </w:p>
        </w:tc>
      </w:tr>
    </w:tbl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Čl. II – INFORMÁCIE O PRIJATÝCH POSTUPOCH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41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1) Účtovná závierka je zostavená za splnenia predpokladu, že účtovná jednotka bude </w:t>
      </w: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nepretržite pokračovať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vo svojej činnosti minimálne 12 mesiacov po závierkovom dni v zmysle § 7 ods. 4 zákona o účtovníctve. 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41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41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2) </w:t>
      </w: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Spôsob a určenie oceňovania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majetku a záväzkov: účtovná jednotka oceňovala majetok a záväzky ku dňu uskutočnenia účtovného prípadu a ku dňu, ku ktorému sa zostavuje účtovná závierka. 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41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41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Spôsob oceňovania majetku a záväzkov (§ 25 ZoU):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06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06"/>
        <w:gridCol w:w="5300"/>
        <w:gridCol w:w="3600"/>
        <w:tblGridChange w:id="0">
          <w:tblGrid>
            <w:gridCol w:w="706"/>
            <w:gridCol w:w="5300"/>
            <w:gridCol w:w="360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Č.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Spôsob oceňovania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nehmotný majetok externe kúpený: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hmotný majetok externe kúpený: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hmotný majetok interne vytvorený: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náklady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 obstarané kúpou: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6.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 vytvorené vlastnou činnosťou: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náklady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7.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pohľadávky: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8.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9.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Časové rozlíšenie na strane aktív súvahy: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10.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Záväzky, vrátane rezerv, dlhopisov, pôžičiek a úverov: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11.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Časové rozlíšenie na strane pasív súvahy: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12.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Prenajatý majetok a majetok obstaraný na základe zmluvy o kúpe prenajatej veci: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13.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Splatná daň z príjmov a odložená daň z príjmov: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</w:tr>
    </w:tbl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Trvalé zníženie hodnoty majetku nebolo účtované. </w:t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d) Určenie ocenenia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finančných nástrojov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pri oceňovaní obstarávacou cenou alebo vlastnými nákladmi:</w:t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e)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 Komentár k oceňovaniu majetku a záväzkov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: </w:t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27" w:right="0" w:hanging="227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Finančné nástroje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27" w:right="0" w:hanging="227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Opravnú položku k dlhodobej pohľadávke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 opravnú položku k dlhodobej pôžičke UJ stanovila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metódu odúročenia na súčasnú hodnotu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(§ 18/8 PU; § 21/6 PU).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27" w:right="0" w:hanging="227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Rezervy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ocenila UJ kalkulačnou metódou kvalifikovaného odhadu ich menovitej hodnoty na pokrytie budúcich záväzkov.</w:t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27" w:right="0" w:hanging="227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UJ počas účtovného obdobia (§ 25 ZoU), ani k závierkovému dňu (§ 27 ZoU) nepoužila ocenenie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reálnou hodnotou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– lebo nemala k tomu vecnú náplň.</w:t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27" w:right="0" w:hanging="227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ÚJ používa pri oceňovaní úbytku rovnakého druhu zásob a cenných papierov –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vážený aritmetický priemer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(§ 25/5 ZoU; § 22/1 PU).</w:t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f) Účtovná jednotka nepoužila dobrovoľné oceňovanie obchodných podielov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metódou vlastného imania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(§ 27/9 ZoU).</w:t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05"/>
        </w:tabs>
        <w:spacing w:after="12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3) </w:t>
      </w: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Tvorba odpisového plánu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pre dlhodobý majetok, pričom sa uvádza doba odpisovania, sadzby odpisov a odpisové metódy pre účtovné odpisy:</w:t>
      </w:r>
    </w:p>
    <w:tbl>
      <w:tblPr>
        <w:tblStyle w:val="Table4"/>
        <w:tblW w:w="9606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218"/>
        <w:gridCol w:w="1013"/>
        <w:gridCol w:w="2107"/>
        <w:gridCol w:w="2268"/>
        <w:tblGridChange w:id="0">
          <w:tblGrid>
            <w:gridCol w:w="4218"/>
            <w:gridCol w:w="1013"/>
            <w:gridCol w:w="2107"/>
            <w:gridCol w:w="2268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hmotný a nehmotný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odpisovaný majetok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číslo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doba odpisovania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(počet rokov)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odpisová sadzba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(%)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Software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013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25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Stavby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021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20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Samostatne hnuteľné veci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022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25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Dopravné prostriedky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022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25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Ostatný dlhodobý hmotný majetok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029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20</w:t>
            </w:r>
          </w:p>
        </w:tc>
      </w:tr>
    </w:tbl>
    <w:p w:rsidR="00000000" w:rsidDel="00000000" w:rsidP="00000000" w:rsidRDefault="00000000" w:rsidRPr="00000000" w14:paraId="0000007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7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Komentár k odpisovému plánu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: </w:t>
      </w:r>
    </w:p>
    <w:p w:rsidR="00000000" w:rsidDel="00000000" w:rsidP="00000000" w:rsidRDefault="00000000" w:rsidRPr="00000000" w14:paraId="0000007E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27" w:right="0" w:hanging="227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UJ používa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účtovné odpisy nezávisle na daňových odpisoch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Majetok sa začína odpisovať v mesiaci, kedy bol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zaradený do užívania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Dlhodobý nehmotný majetok sa odpisuje počas 4 rokov od jeho obstarania.</w:t>
      </w:r>
    </w:p>
    <w:p w:rsidR="00000000" w:rsidDel="00000000" w:rsidP="00000000" w:rsidRDefault="00000000" w:rsidRPr="00000000" w14:paraId="0000007F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27" w:right="0" w:hanging="227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UJ používa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rovnomerné odpisovanie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dlhodobého hmotného majetku a dlhodobého nehmotného majetku. Podrobný účtovný odpisový plán po položkách sa vedie v Knihe dlhodobého hmotného majetku (taktiež daňové odpisy podľa zákona o dani z príjmov).</w:t>
      </w:r>
    </w:p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27" w:right="0" w:hanging="227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UJ odpisuje jednotlivé veci alebo relevantné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súbory hnuteľných vecí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(napr. počítačová sieť, nábytková zostava). UJ nepoužíva komponentné odpisovanie (odpisovanie častí majetku - komponentov).</w:t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27" w:right="0" w:hanging="227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UJ nepoužila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jednorazový odpis</w:t>
      </w: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dlhodobého majetku z dôvodu jednorazového trvalého zníženia hodnoty majetku (§ 21/5 PU).</w:t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27" w:right="0" w:hanging="227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ÚJ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nepoužíva kategóriu drobného dlhodobého nehmotného majetku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- položky pod 2 400 eur jednotkovej ceny so životnosťou nad jeden rok (§ 13/2 PU).</w:t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27" w:right="0" w:hanging="227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ÚJ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nepoužíva kategóriu drobného dlhodobého hmotného majetku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- položky pod 1 700 eur jednotkovej ceny so životnosťou nad jeden rok (§ 13/6 PU).</w:t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27" w:right="0" w:hanging="227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ÚJ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nepoužíva dobrovoľné účtovanie podlimitného technického zhodnotenia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do odpisovaného dlhodobého majetku – technické zhodnotenie pod 1 700 eur za účtovné obdobie (§ 21/3 PU; § 29/2 ZDP).</w:t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360" w:right="0" w:hanging="36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ÚJ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nepoužíva dobrovoľnú kapitalizáciu úrokov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do obstarávacej ceny odpisovaného dlhodobého hmotného majetku alebo dlhodobého nehmotného majetku (§ 34/1 PU; § 35/2/h PU).</w:t>
      </w:r>
    </w:p>
    <w:p w:rsidR="00000000" w:rsidDel="00000000" w:rsidP="00000000" w:rsidRDefault="00000000" w:rsidRPr="00000000" w14:paraId="0000008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41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4) </w:t>
      </w: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Použité účtovné zásady a účtovné metódy a ich zmeny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: účtovná jednotka nezmenila účtovné zásady oproti predchádzajúcemu účtovnému obdobiu. </w:t>
      </w:r>
    </w:p>
    <w:p w:rsidR="00000000" w:rsidDel="00000000" w:rsidP="00000000" w:rsidRDefault="00000000" w:rsidRPr="00000000" w14:paraId="0000008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Cambria" w:cs="Cambria" w:eastAsia="Cambria" w:hAnsi="Cambria"/>
          <w:b w:val="1"/>
          <w:i w:val="1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5)</w:t>
      </w: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Informácia </w:t>
      </w: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 poskytnutých dotáciách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 pri dotáciách na obstaranie majetku sa uvedú zložky majetku a ich ocenenie:</w:t>
      </w: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mbria" w:cs="Cambria" w:eastAsia="Cambria" w:hAnsi="Cambria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Žiadne dotácie neboli účtovnej jednotke poskytnuté.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6) </w:t>
      </w:r>
      <w:r w:rsidDel="00000000" w:rsidR="00000000" w:rsidRPr="00000000">
        <w:rPr>
          <w:rFonts w:ascii="Arial Narrow" w:cs="Arial Narrow" w:eastAsia="Arial Narrow" w:hAnsi="Arial Narrow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Informácie o oprave </w:t>
      </w:r>
      <w:r w:rsidDel="00000000" w:rsidR="00000000" w:rsidRPr="00000000">
        <w:rPr>
          <w:rFonts w:ascii="Arial Narrow" w:cs="Arial Narrow" w:eastAsia="Arial Narrow" w:hAnsi="Arial Narrow"/>
          <w:b w:val="1"/>
          <w:i w:val="1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významných chýb</w:t>
      </w: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minulých účtovných období účtovaných v bežnom účtovnom období </w:t>
      </w: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s uvedením sumy vplyvu</w:t>
      </w: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na nerozdelený zisk minulých rokov alebo na neuhradenú stratu minulých rokov. Účtovná jednotka môže uviesť aj informácie o oprave </w:t>
      </w: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nevýznamných chýb</w:t>
      </w: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minulých účtovných období účtovaných v bežnom účtovnom období s uvedením sumy vplyvu na výsledok hospodárenia bežného účtovného obdobia: </w:t>
      </w:r>
      <w:r w:rsidDel="00000000" w:rsidR="00000000" w:rsidRPr="00000000">
        <w:rPr>
          <w:rtl w:val="0"/>
        </w:rPr>
      </w:r>
    </w:p>
    <w:tbl>
      <w:tblPr>
        <w:tblStyle w:val="Table5"/>
        <w:tblW w:w="9601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074"/>
        <w:gridCol w:w="1041"/>
        <w:gridCol w:w="1039"/>
        <w:gridCol w:w="1928"/>
        <w:gridCol w:w="2519"/>
        <w:tblGridChange w:id="0">
          <w:tblGrid>
            <w:gridCol w:w="3074"/>
            <w:gridCol w:w="1041"/>
            <w:gridCol w:w="1039"/>
            <w:gridCol w:w="1928"/>
            <w:gridCol w:w="2519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-471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     Opis účtovného prípadu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-471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 Suma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-471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MD/DAL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-471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Vplyv na výsledok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-471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Vplyv na vlastné imanie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-471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-471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-471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-471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-471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468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Vysvetlivky k oprave chýb minulých účtovných období:</w:t>
      </w:r>
    </w:p>
    <w:p w:rsidR="00000000" w:rsidDel="00000000" w:rsidP="00000000" w:rsidRDefault="00000000" w:rsidRPr="00000000" w14:paraId="00000097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27" w:right="0" w:hanging="227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Po schválení účtovnej závierky na valnom zhromaždení už nemožno otvárať účtovné knihy minulých účtovných období a prípadné opravy sa vykonajú v bežnom účtovnom období (§ 16/10,11 ZoU).</w:t>
      </w:r>
    </w:p>
    <w:p w:rsidR="00000000" w:rsidDel="00000000" w:rsidP="00000000" w:rsidRDefault="00000000" w:rsidRPr="00000000" w14:paraId="00000098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27" w:right="0" w:hanging="227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000000" w:rsidDel="00000000" w:rsidP="00000000" w:rsidRDefault="00000000" w:rsidRPr="00000000" w14:paraId="00000099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27" w:right="0" w:hanging="227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000000" w:rsidDel="00000000" w:rsidP="00000000" w:rsidRDefault="00000000" w:rsidRPr="00000000" w14:paraId="0000009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468" w:firstLine="0"/>
        <w:jc w:val="center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Článok III – INFORMÁCIE, KTORÉ VYSVETĽUJÚ A DOPĹŇAJÚ SÚVAHU A VÝKAZ ZISKOV A STRÁT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471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41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1) Najvýznamnejšia nákladová položka:</w:t>
      </w:r>
    </w:p>
    <w:p w:rsidR="00000000" w:rsidDel="00000000" w:rsidP="00000000" w:rsidRDefault="00000000" w:rsidRPr="00000000" w14:paraId="0000009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41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518 – Ostatné služby (nájomné): k 31. 12. 2022 vo výške 4 202,00 €</w:t>
      </w:r>
    </w:p>
    <w:p w:rsidR="00000000" w:rsidDel="00000000" w:rsidP="00000000" w:rsidRDefault="00000000" w:rsidRPr="00000000" w14:paraId="0000009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41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41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2) Celková suma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záväzkov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:  </w:t>
      </w:r>
    </w:p>
    <w:tbl>
      <w:tblPr>
        <w:tblStyle w:val="Table6"/>
        <w:tblW w:w="9714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785"/>
        <w:gridCol w:w="2553"/>
        <w:gridCol w:w="2376"/>
        <w:tblGridChange w:id="0">
          <w:tblGrid>
            <w:gridCol w:w="4785"/>
            <w:gridCol w:w="2553"/>
            <w:gridCol w:w="2376"/>
          </w:tblGrid>
        </w:tblGridChange>
      </w:tblGrid>
      <w:tr>
        <w:trPr>
          <w:cantSplit w:val="0"/>
          <w:trHeight w:val="69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20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Záväzky so zostatkovou dobou splatnosti nad 5 rokov </w:t>
            </w:r>
          </w:p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(Záväzky zo sociálneho fondu)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0,00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0,00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0" w:line="240" w:lineRule="auto"/>
        <w:ind w:left="0" w:right="-141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[Vysvetlivky: Zostatková doba splatnosti záväzku alebo jeho časti – je rozdiel medzi dohodnutou dobou splatnosti záväzkov a závierkovým dňom (§ 12 PU).]</w:t>
      </w:r>
    </w:p>
    <w:p w:rsidR="00000000" w:rsidDel="00000000" w:rsidP="00000000" w:rsidRDefault="00000000" w:rsidRPr="00000000" w14:paraId="000000A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0" w:line="240" w:lineRule="auto"/>
        <w:ind w:left="0" w:right="-141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3) Účtovná jednotka nemá vlastné akcie.</w:t>
      </w:r>
    </w:p>
    <w:p w:rsidR="00000000" w:rsidDel="00000000" w:rsidP="00000000" w:rsidRDefault="00000000" w:rsidRPr="00000000" w14:paraId="000000A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0" w:line="240" w:lineRule="auto"/>
        <w:ind w:left="0" w:right="-141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4) Účtovná jednotka neposkytla orgánom spoločnosti záruky, pôžičky alebo iné zabezpečenia.</w:t>
      </w:r>
    </w:p>
    <w:p w:rsidR="00000000" w:rsidDel="00000000" w:rsidP="00000000" w:rsidRDefault="00000000" w:rsidRPr="00000000" w14:paraId="000000A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0" w:line="240" w:lineRule="auto"/>
        <w:ind w:left="0" w:right="-141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5) Účtovná jednotka nemá povinnosti, ktoré nie sú vykázané v súvahe alebo výkaze ziskov a strát</w:t>
      </w:r>
    </w:p>
    <w:p w:rsidR="00000000" w:rsidDel="00000000" w:rsidP="00000000" w:rsidRDefault="00000000" w:rsidRPr="00000000" w14:paraId="000000A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0" w:line="240" w:lineRule="auto"/>
        <w:ind w:left="0" w:right="-141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6) Účtovná jednotka neudelila výlučné alebo osobitné právo, ktorým sa udelilo právo poskytovať služby vo verejnom záujme. </w:t>
      </w:r>
    </w:p>
    <w:p w:rsidR="00000000" w:rsidDel="00000000" w:rsidP="00000000" w:rsidRDefault="00000000" w:rsidRPr="00000000" w14:paraId="000000A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471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footerReference r:id="rId9" w:type="default"/>
      <w:pgSz w:h="16840" w:w="11907" w:orient="portrait"/>
      <w:pgMar w:bottom="1417" w:top="1417" w:left="1417" w:right="992" w:header="567" w:footer="56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Times New Roman"/>
  <w:font w:name="Cambria"/>
  <w:font w:name="Courier New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Noto Sans Symbols">
    <w:embedRegular w:fontKey="{00000000-0000-0000-0000-000000000000}" r:id="rId5" w:subsetted="0"/>
    <w:embedBold w:fontKey="{00000000-0000-0000-0000-000000000000}" r:id="rId6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B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C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AE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singl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7"/>
      <w:tblW w:w="8794.0" w:type="dxa"/>
      <w:jc w:val="left"/>
      <w:tblInd w:w="-15.0" w:type="dxa"/>
      <w:tblLayout w:type="fixed"/>
      <w:tblLook w:val="000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  <w:tblGridChange w:id="0">
        <w:tblGrid>
          <w:gridCol w:w="2780"/>
          <w:gridCol w:w="2260"/>
          <w:gridCol w:w="554"/>
          <w:gridCol w:w="320"/>
          <w:gridCol w:w="320"/>
          <w:gridCol w:w="320"/>
          <w:gridCol w:w="320"/>
          <w:gridCol w:w="320"/>
          <w:gridCol w:w="320"/>
          <w:gridCol w:w="320"/>
          <w:gridCol w:w="320"/>
          <w:gridCol w:w="320"/>
          <w:gridCol w:w="320"/>
        </w:tblGrid>
      </w:tblGridChange>
    </w:tblGrid>
    <w:tr>
      <w:trPr>
        <w:cantSplit w:val="0"/>
        <w:trHeight w:val="330" w:hRule="atLeast"/>
        <w:tblHeader w:val="0"/>
      </w:trPr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</w:tcPr>
        <w:p w:rsidR="00000000" w:rsidDel="00000000" w:rsidP="00000000" w:rsidRDefault="00000000" w:rsidRPr="00000000" w14:paraId="000000AF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Poznámky Úč POD 3 - 04</w:t>
          </w:r>
        </w:p>
      </w:tc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  <w:right w:color="000000" w:space="0" w:sz="0" w:val="nil"/>
          </w:tcBorders>
        </w:tcPr>
        <w:p w:rsidR="00000000" w:rsidDel="00000000" w:rsidP="00000000" w:rsidRDefault="00000000" w:rsidRPr="00000000" w14:paraId="000000B0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  <w:right w:color="000000" w:space="0" w:sz="0" w:val="nil"/>
          </w:tcBorders>
        </w:tcPr>
        <w:p w:rsidR="00000000" w:rsidDel="00000000" w:rsidP="00000000" w:rsidRDefault="00000000" w:rsidRPr="00000000" w14:paraId="000000B1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DIČ</w:t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2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 1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3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2 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4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3 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5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4 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6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5 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7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6 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8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7 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9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8 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A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9 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B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0 </w:t>
          </w:r>
        </w:p>
      </w:tc>
    </w:tr>
  </w:tbl>
  <w:p w:rsidR="00000000" w:rsidDel="00000000" w:rsidP="00000000" w:rsidRDefault="00000000" w:rsidRPr="00000000" w14:paraId="000000B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703"/>
        <w:tab w:val="right" w:leader="none" w:pos="9406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BD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2990"/>
        <w:tab w:val="left" w:leader="none" w:pos="6348"/>
      </w:tabs>
      <w:spacing w:after="0" w:before="0" w:line="240" w:lineRule="auto"/>
      <w:ind w:left="-397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Poznámky Úč POD 3 – 01                           IČO: 44616724        DIČ: 2022800626</w:t>
    </w:r>
  </w:p>
  <w:p w:rsidR="00000000" w:rsidDel="00000000" w:rsidP="00000000" w:rsidRDefault="00000000" w:rsidRPr="00000000" w14:paraId="000000B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703"/>
        <w:tab w:val="right" w:leader="none" w:pos="9406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  <w:vertAlign w:val="baseline"/>
      </w:rPr>
    </w:lvl>
  </w:abstractNum>
  <w:abstractNum w:abstractNumId="2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  <w:vertAlign w:val="baseline"/>
      </w:rPr>
    </w:lvl>
  </w:abstractNum>
  <w:abstractNum w:abstractNumId="3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  <w:vertAlign w:val="baseli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sk-SK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álny">
    <w:name w:val="Normálny"/>
    <w:next w:val="Normálny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sk-SK" w:val="sk-SK"/>
    </w:rPr>
  </w:style>
  <w:style w:type="paragraph" w:styleId="Nadpis1">
    <w:name w:val="Nadpis 1"/>
    <w:basedOn w:val="Normálny"/>
    <w:next w:val="Nadpis2"/>
    <w:autoRedefine w:val="0"/>
    <w:hidden w:val="0"/>
    <w:qFormat w:val="0"/>
    <w:pPr>
      <w:keepNext w:val="1"/>
      <w:numPr>
        <w:ilvl w:val="0"/>
        <w:numId w:val="1"/>
      </w:numPr>
      <w:tabs>
        <w:tab w:val="clear" w:pos="360"/>
        <w:tab w:val="num" w:leader="none" w:pos="5220"/>
      </w:tabs>
      <w:suppressAutoHyphens w:val="1"/>
      <w:spacing w:after="60" w:before="240" w:line="1" w:lineRule="atLeast"/>
      <w:ind w:left="4500" w:leftChars="-1" w:rightChars="0" w:firstLine="360" w:firstLineChars="-1"/>
      <w:jc w:val="center"/>
      <w:textDirection w:val="btLr"/>
      <w:textAlignment w:val="top"/>
      <w:outlineLvl w:val="0"/>
    </w:pPr>
    <w:rPr>
      <w:b w:val="1"/>
      <w:bCs w:val="1"/>
      <w:w w:val="100"/>
      <w:kern w:val="32"/>
      <w:position w:val="-1"/>
      <w:sz w:val="24"/>
      <w:szCs w:val="24"/>
      <w:effect w:val="none"/>
      <w:vertAlign w:val="baseline"/>
      <w:cs w:val="0"/>
      <w:em w:val="none"/>
      <w:lang w:bidi="ar-SA" w:eastAsia="sk-SK" w:val="sk-SK"/>
    </w:rPr>
  </w:style>
  <w:style w:type="paragraph" w:styleId="Nadpis2">
    <w:name w:val="Nadpis 2"/>
    <w:basedOn w:val="Normálny"/>
    <w:next w:val="Normálny"/>
    <w:autoRedefine w:val="0"/>
    <w:hidden w:val="0"/>
    <w:qFormat w:val="0"/>
    <w:pPr>
      <w:keepNext w:val="1"/>
      <w:suppressAutoHyphens w:val="1"/>
      <w:spacing w:after="120" w:line="1" w:lineRule="atLeast"/>
      <w:ind w:leftChars="-1" w:rightChars="0" w:firstLineChars="-1"/>
      <w:jc w:val="center"/>
      <w:textDirection w:val="btLr"/>
      <w:textAlignment w:val="top"/>
      <w:outlineLvl w:val="1"/>
    </w:pPr>
    <w:rPr>
      <w:rFonts w:ascii="Cambria" w:hAnsi="Cambria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und" w:val="und"/>
    </w:rPr>
  </w:style>
  <w:style w:type="character" w:styleId="Predvolenépísmoodseku">
    <w:name w:val="Predvolené písmo odseku"/>
    <w:next w:val="Predvolenépísmoodseku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Normálnatabuľka">
    <w:name w:val="Normálna tabuľka"/>
    <w:next w:val="Normálnatabuľk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zoznamu">
    <w:name w:val="Bez zoznamu"/>
    <w:next w:val="Bezzoznamu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Nadpis1Char">
    <w:name w:val="Nadpis 1 Char"/>
    <w:next w:val="Nadpis1Char"/>
    <w:autoRedefine w:val="0"/>
    <w:hidden w:val="0"/>
    <w:qFormat w:val="0"/>
    <w:rPr>
      <w:b w:val="1"/>
      <w:bCs w:val="1"/>
      <w:w w:val="100"/>
      <w:kern w:val="32"/>
      <w:position w:val="-1"/>
      <w:sz w:val="24"/>
      <w:szCs w:val="24"/>
      <w:effect w:val="none"/>
      <w:vertAlign w:val="baseline"/>
      <w:cs w:val="0"/>
      <w:em w:val="none"/>
      <w:lang w:eastAsia="sk-SK" w:val="sk-SK"/>
    </w:rPr>
  </w:style>
  <w:style w:type="character" w:styleId="Nadpis2Char">
    <w:name w:val="Nadpis 2 Char"/>
    <w:next w:val="Nadpis2Char"/>
    <w:autoRedefine w:val="0"/>
    <w:hidden w:val="0"/>
    <w:qFormat w:val="0"/>
    <w:rPr>
      <w:rFonts w:ascii="Cambria" w:cs="Cambria" w:eastAsia="Times New Roman" w:hAnsi="Cambria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Základnítext">
    <w:name w:val="Základní text"/>
    <w:next w:val="Základnítext"/>
    <w:autoRedefine w:val="0"/>
    <w:hidden w:val="0"/>
    <w:qFormat w:val="0"/>
    <w:pPr>
      <w:suppressAutoHyphens w:val="1"/>
      <w:spacing w:after="240" w:line="1" w:lineRule="atLeast"/>
      <w:ind w:leftChars="-1" w:rightChars="0" w:firstLineChars="-1"/>
      <w:jc w:val="both"/>
      <w:textDirection w:val="btLr"/>
      <w:textAlignment w:val="top"/>
      <w:outlineLvl w:val="0"/>
    </w:pPr>
    <w:rPr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sk-SK" w:val="sk-SK"/>
    </w:rPr>
  </w:style>
  <w:style w:type="paragraph" w:styleId="Textpoznámkypodčiarou">
    <w:name w:val="Text poznámky pod čiarou"/>
    <w:basedOn w:val="Normálny"/>
    <w:next w:val="Textpoznámkypodčiarou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ar-SA" w:eastAsia="und" w:val="und"/>
    </w:rPr>
  </w:style>
  <w:style w:type="character" w:styleId="TextpoznámkypodčiarouChar">
    <w:name w:val="Text poznámky pod čiarou Char"/>
    <w:next w:val="TextpoznámkypodčiarouChar"/>
    <w:autoRedefine w:val="0"/>
    <w:hidden w:val="0"/>
    <w:qFormat w:val="0"/>
    <w:rPr>
      <w:w w:val="100"/>
      <w:position w:val="-1"/>
      <w:sz w:val="20"/>
      <w:szCs w:val="20"/>
      <w:effect w:val="none"/>
      <w:vertAlign w:val="baseline"/>
      <w:cs w:val="0"/>
      <w:em w:val="none"/>
      <w:lang/>
    </w:rPr>
  </w:style>
  <w:style w:type="character" w:styleId="Odkaznapoznámkupodčiarou">
    <w:name w:val="Odkaz na poznámku pod čiarou"/>
    <w:next w:val="Odkaznapoznámkupodčiarou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Päta">
    <w:name w:val="Päta"/>
    <w:basedOn w:val="Normálny"/>
    <w:next w:val="Päta"/>
    <w:autoRedefine w:val="0"/>
    <w:hidden w:val="0"/>
    <w:qFormat w:val="0"/>
    <w:pPr>
      <w:tabs>
        <w:tab w:val="center" w:leader="none" w:pos="4536"/>
        <w:tab w:val="right" w:leader="none" w:pos="9072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und" w:val="und"/>
    </w:rPr>
  </w:style>
  <w:style w:type="character" w:styleId="PätaChar">
    <w:name w:val="Päta Char"/>
    <w:next w:val="Päta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Číslostrany">
    <w:name w:val="Číslo strany"/>
    <w:basedOn w:val="Predvolenépísmoodseku"/>
    <w:next w:val="Číslostrany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Mriežkatabuľky">
    <w:name w:val="Mriežka tabuľky"/>
    <w:basedOn w:val="Normálnatabuľka"/>
    <w:next w:val="Mriežkatabuľky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 w:bidi="ar-SA" w:eastAsia="sk-SK" w:val="sk-SK"/>
    </w:rPr>
    <w:tblPr>
      <w:tblStyle w:val="Mriežkatabuľky"/>
      <w:jc w:val="left"/>
      <w:tblInd w:w="0.0" w:type="nil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Názov">
    <w:name w:val="Názov"/>
    <w:basedOn w:val="Normálny"/>
    <w:next w:val="Normálny"/>
    <w:autoRedefine w:val="0"/>
    <w:hidden w:val="0"/>
    <w:qFormat w:val="0"/>
    <w:pPr>
      <w:keepNext w:val="1"/>
      <w:suppressAutoHyphens w:val="1"/>
      <w:spacing w:after="220" w:before="100" w:beforeAutospacing="1" w:line="1" w:lineRule="atLeast"/>
      <w:ind w:leftChars="-1" w:rightChars="0" w:firstLineChars="-1"/>
      <w:jc w:val="center"/>
      <w:textDirection w:val="btLr"/>
      <w:textAlignment w:val="top"/>
      <w:outlineLvl w:val="0"/>
    </w:pPr>
    <w:rPr>
      <w:rFonts w:ascii="Arial Narrow" w:hAnsi="Arial Narrow"/>
      <w:b w:val="1"/>
      <w:bCs w:val="1"/>
      <w:w w:val="100"/>
      <w:kern w:val="28"/>
      <w:position w:val="-1"/>
      <w:sz w:val="32"/>
      <w:szCs w:val="32"/>
      <w:effect w:val="none"/>
      <w:vertAlign w:val="baseline"/>
      <w:cs w:val="0"/>
      <w:em w:val="none"/>
      <w:lang w:bidi="ar-SA" w:eastAsia="und" w:val="sk-SK"/>
    </w:rPr>
  </w:style>
  <w:style w:type="character" w:styleId="NázovChar">
    <w:name w:val="Názov Char"/>
    <w:next w:val="NázovChar"/>
    <w:autoRedefine w:val="0"/>
    <w:hidden w:val="0"/>
    <w:qFormat w:val="0"/>
    <w:rPr>
      <w:rFonts w:ascii="Arial Narrow" w:cs="Arial Narrow" w:hAnsi="Arial Narrow"/>
      <w:b w:val="1"/>
      <w:bCs w:val="1"/>
      <w:w w:val="100"/>
      <w:kern w:val="28"/>
      <w:position w:val="-1"/>
      <w:sz w:val="32"/>
      <w:szCs w:val="32"/>
      <w:effect w:val="none"/>
      <w:vertAlign w:val="baseline"/>
      <w:cs w:val="0"/>
      <w:em w:val="none"/>
      <w:lang w:eastAsia="und" w:val="sk-SK"/>
    </w:rPr>
  </w:style>
  <w:style w:type="paragraph" w:styleId="TopHeader">
    <w:name w:val="Top Header"/>
    <w:basedOn w:val="Normálny"/>
    <w:next w:val="TopHeader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rFonts w:ascii="Arial Narrow" w:cs="Arial Narrow" w:hAnsi="Arial Narrow"/>
      <w:b w:val="1"/>
      <w:bCs w:val="1"/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sk-SK"/>
    </w:rPr>
  </w:style>
  <w:style w:type="paragraph" w:styleId="Hlavička">
    <w:name w:val="Hlavička"/>
    <w:basedOn w:val="Normálny"/>
    <w:next w:val="Hlavička"/>
    <w:autoRedefine w:val="0"/>
    <w:hidden w:val="0"/>
    <w:qFormat w:val="0"/>
    <w:pPr>
      <w:tabs>
        <w:tab w:val="center" w:leader="none" w:pos="4703"/>
        <w:tab w:val="right" w:leader="none" w:pos="9406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sk-SK" w:val="sk-SK"/>
    </w:rPr>
  </w:style>
  <w:style w:type="character" w:styleId="HlavičkaChar">
    <w:name w:val="Hlavička Char"/>
    <w:next w:val="Hlavička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sk-SK" w:val="sk-SK"/>
    </w:rPr>
  </w:style>
  <w:style w:type="paragraph" w:styleId="Základnýtext">
    <w:name w:val="Základný text"/>
    <w:basedOn w:val="Normálny"/>
    <w:next w:val="Základnýtext"/>
    <w:autoRedefine w:val="0"/>
    <w:hidden w:val="0"/>
    <w:qFormat w:val="1"/>
    <w:pPr>
      <w:widowControl w:val="0"/>
      <w:suppressAutoHyphens w:val="1"/>
      <w:spacing w:line="1" w:lineRule="atLeast"/>
      <w:ind w:left="668" w:leftChars="-1" w:rightChars="0" w:hanging="567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en-US"/>
    </w:rPr>
  </w:style>
  <w:style w:type="character" w:styleId="ZákladnýtextChar">
    <w:name w:val="Základný text Char"/>
    <w:next w:val="Základnýtext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en-US" w:val="en-US"/>
    </w:rPr>
  </w:style>
  <w:style w:type="table" w:styleId="TableNormal">
    <w:name w:val="Table Normal"/>
    <w:next w:val="TableNormal"/>
    <w:autoRedefine w:val="0"/>
    <w:hidden w:val="0"/>
    <w:qFormat w:val="0"/>
    <w:pPr>
      <w:widowControl w:val="0"/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alibri" w:eastAsia="Calibri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en-US"/>
    </w:rPr>
    <w:tblPr>
      <w:tblStyle w:val="TableNormal"/>
      <w:jc w:val="left"/>
      <w:tblCellMar>
        <w:top w:w="0.0" w:type="dxa"/>
        <w:left w:w="0.0" w:type="dxa"/>
        <w:bottom w:w="0.0" w:type="dxa"/>
        <w:right w:w="0.0" w:type="dxa"/>
      </w:tblCellMar>
    </w:tblPr>
  </w:style>
  <w:style w:type="character" w:styleId="Zvýraznenie">
    <w:name w:val="Zvýraznenie"/>
    <w:next w:val="Zvýraznenie"/>
    <w:autoRedefine w:val="0"/>
    <w:hidden w:val="0"/>
    <w:qFormat w:val="0"/>
    <w:rPr>
      <w:i w:val="1"/>
      <w:iCs w:val="1"/>
      <w:w w:val="100"/>
      <w:position w:val="-1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2.xml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Relationship Id="rId5" Type="http://schemas.openxmlformats.org/officeDocument/2006/relationships/font" Target="fonts/NotoSansSymbols-regular.ttf"/><Relationship Id="rId6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hPXh6VgWCMfz7RG1sk/2EM67oWg==">CgMxLjA4AHIhMXF6SXYxZmtCQTFTNjFTWU1CLWlhb0kxMlBKT1AxRlJH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2023-06-29T05:01:00Z</dcterms:created>
  <dc:creator>user</dc:creator>
</cp:coreProperties>
</file>