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6787" w:rsidRPr="00F46787" w:rsidRDefault="00F46787" w:rsidP="00F46787"/>
    <w:p w:rsidR="00FD5822" w:rsidRPr="00FD5822" w:rsidRDefault="00FD5822" w:rsidP="00FD5822"/>
    <w:p w:rsidR="002A14F9" w:rsidRDefault="002A14F9" w:rsidP="00791251">
      <w:pPr>
        <w:pStyle w:val="Nadpis1"/>
        <w:jc w:val="center"/>
        <w:rPr>
          <w:color w:val="auto"/>
        </w:rPr>
      </w:pPr>
    </w:p>
    <w:p w:rsidR="002A14F9" w:rsidRPr="0007129C" w:rsidRDefault="002A14F9" w:rsidP="002A14F9"/>
    <w:p w:rsidR="002A14F9" w:rsidRPr="0007129C" w:rsidRDefault="002A14F9" w:rsidP="002A14F9"/>
    <w:p w:rsidR="002A14F9" w:rsidRPr="0007129C" w:rsidRDefault="002A14F9" w:rsidP="002A14F9"/>
    <w:p w:rsidR="002A14F9" w:rsidRPr="0007129C" w:rsidRDefault="002A14F9" w:rsidP="002A14F9"/>
    <w:p w:rsidR="002A14F9" w:rsidRPr="00240FBB" w:rsidRDefault="002A14F9" w:rsidP="002A14F9">
      <w:pPr>
        <w:pStyle w:val="Nadpis1"/>
        <w:jc w:val="center"/>
        <w:rPr>
          <w:rFonts w:asciiTheme="minorHAnsi" w:hAnsiTheme="minorHAnsi"/>
          <w:color w:val="auto"/>
        </w:rPr>
      </w:pPr>
      <w:r w:rsidRPr="00240FBB">
        <w:rPr>
          <w:rFonts w:asciiTheme="minorHAnsi" w:hAnsiTheme="minorHAnsi"/>
          <w:color w:val="auto"/>
        </w:rPr>
        <w:t>SPRÁVA NEZÁVISLÉHO AUDÍTORA</w:t>
      </w:r>
    </w:p>
    <w:p w:rsidR="009D290A" w:rsidRPr="00240FBB" w:rsidRDefault="009D290A" w:rsidP="002A14F9">
      <w:pPr>
        <w:autoSpaceDE w:val="0"/>
        <w:autoSpaceDN w:val="0"/>
        <w:adjustRightInd w:val="0"/>
        <w:spacing w:after="0" w:line="240" w:lineRule="auto"/>
        <w:jc w:val="center"/>
        <w:rPr>
          <w:rFonts w:cstheme="minorHAnsi"/>
          <w:sz w:val="28"/>
          <w:szCs w:val="28"/>
        </w:rPr>
      </w:pPr>
      <w:r w:rsidRPr="00240FBB">
        <w:rPr>
          <w:rFonts w:cstheme="minorHAnsi"/>
          <w:sz w:val="28"/>
          <w:szCs w:val="28"/>
        </w:rPr>
        <w:t>štatutárnemu orgánu a členom občianskeho združenia</w:t>
      </w:r>
    </w:p>
    <w:p w:rsidR="009D290A" w:rsidRDefault="009D290A" w:rsidP="002A14F9">
      <w:pPr>
        <w:autoSpaceDE w:val="0"/>
        <w:autoSpaceDN w:val="0"/>
        <w:adjustRightInd w:val="0"/>
        <w:spacing w:after="0" w:line="240" w:lineRule="auto"/>
        <w:jc w:val="center"/>
        <w:rPr>
          <w:rFonts w:cstheme="minorHAnsi"/>
          <w:b/>
          <w:sz w:val="32"/>
          <w:szCs w:val="32"/>
        </w:rPr>
      </w:pPr>
    </w:p>
    <w:p w:rsidR="00240FBB" w:rsidRDefault="00240FBB" w:rsidP="002A14F9">
      <w:pPr>
        <w:autoSpaceDE w:val="0"/>
        <w:autoSpaceDN w:val="0"/>
        <w:adjustRightInd w:val="0"/>
        <w:spacing w:after="0" w:line="240" w:lineRule="auto"/>
        <w:jc w:val="center"/>
        <w:rPr>
          <w:rFonts w:cstheme="minorHAnsi"/>
          <w:b/>
          <w:sz w:val="32"/>
          <w:szCs w:val="32"/>
        </w:rPr>
      </w:pPr>
    </w:p>
    <w:p w:rsidR="00240FBB" w:rsidRDefault="00240FBB" w:rsidP="002A14F9">
      <w:pPr>
        <w:autoSpaceDE w:val="0"/>
        <w:autoSpaceDN w:val="0"/>
        <w:adjustRightInd w:val="0"/>
        <w:spacing w:after="0" w:line="240" w:lineRule="auto"/>
        <w:jc w:val="center"/>
        <w:rPr>
          <w:rFonts w:cstheme="minorHAnsi"/>
          <w:b/>
          <w:sz w:val="32"/>
          <w:szCs w:val="32"/>
        </w:rPr>
      </w:pPr>
    </w:p>
    <w:p w:rsidR="00C41885" w:rsidRDefault="00C41885" w:rsidP="002A14F9">
      <w:pPr>
        <w:autoSpaceDE w:val="0"/>
        <w:autoSpaceDN w:val="0"/>
        <w:adjustRightInd w:val="0"/>
        <w:spacing w:after="0" w:line="240" w:lineRule="auto"/>
        <w:jc w:val="center"/>
        <w:rPr>
          <w:rFonts w:cstheme="minorHAnsi"/>
          <w:b/>
          <w:sz w:val="32"/>
          <w:szCs w:val="32"/>
        </w:rPr>
      </w:pPr>
    </w:p>
    <w:p w:rsidR="00240FBB" w:rsidRDefault="00240FBB" w:rsidP="002A14F9">
      <w:pPr>
        <w:autoSpaceDE w:val="0"/>
        <w:autoSpaceDN w:val="0"/>
        <w:adjustRightInd w:val="0"/>
        <w:spacing w:after="0" w:line="240" w:lineRule="auto"/>
        <w:jc w:val="center"/>
        <w:rPr>
          <w:rFonts w:cstheme="minorHAnsi"/>
          <w:b/>
          <w:sz w:val="32"/>
          <w:szCs w:val="32"/>
        </w:rPr>
      </w:pPr>
    </w:p>
    <w:p w:rsidR="002A14F9" w:rsidRPr="00240FBB" w:rsidRDefault="005A1544" w:rsidP="002A14F9">
      <w:pPr>
        <w:autoSpaceDE w:val="0"/>
        <w:autoSpaceDN w:val="0"/>
        <w:adjustRightInd w:val="0"/>
        <w:spacing w:after="0" w:line="240" w:lineRule="auto"/>
        <w:jc w:val="center"/>
        <w:rPr>
          <w:rFonts w:cstheme="minorHAnsi"/>
          <w:b/>
          <w:sz w:val="28"/>
          <w:szCs w:val="28"/>
        </w:rPr>
      </w:pPr>
      <w:r w:rsidRPr="00240FBB">
        <w:rPr>
          <w:rFonts w:cstheme="minorHAnsi"/>
          <w:b/>
          <w:sz w:val="28"/>
          <w:szCs w:val="28"/>
        </w:rPr>
        <w:t xml:space="preserve"> </w:t>
      </w:r>
      <w:r w:rsidR="00A01563" w:rsidRPr="00240FBB">
        <w:rPr>
          <w:rFonts w:cstheme="minorHAnsi"/>
          <w:b/>
          <w:sz w:val="28"/>
          <w:szCs w:val="28"/>
        </w:rPr>
        <w:t xml:space="preserve"> Slovenský strelecký zväz</w:t>
      </w:r>
    </w:p>
    <w:p w:rsidR="00240FBB" w:rsidRDefault="00240FBB" w:rsidP="002A14F9">
      <w:pPr>
        <w:autoSpaceDE w:val="0"/>
        <w:autoSpaceDN w:val="0"/>
        <w:adjustRightInd w:val="0"/>
        <w:spacing w:after="0" w:line="240" w:lineRule="auto"/>
        <w:jc w:val="center"/>
        <w:rPr>
          <w:rFonts w:cstheme="minorHAnsi"/>
          <w:sz w:val="28"/>
          <w:szCs w:val="28"/>
        </w:rPr>
      </w:pPr>
      <w:r>
        <w:rPr>
          <w:rFonts w:cstheme="minorHAnsi"/>
          <w:sz w:val="28"/>
          <w:szCs w:val="28"/>
        </w:rPr>
        <w:t>Wolkrova 3335/4</w:t>
      </w:r>
    </w:p>
    <w:p w:rsidR="00240FBB" w:rsidRPr="00240FBB" w:rsidRDefault="00240FBB" w:rsidP="002A14F9">
      <w:pPr>
        <w:autoSpaceDE w:val="0"/>
        <w:autoSpaceDN w:val="0"/>
        <w:adjustRightInd w:val="0"/>
        <w:spacing w:after="0" w:line="240" w:lineRule="auto"/>
        <w:jc w:val="center"/>
        <w:rPr>
          <w:rFonts w:cstheme="minorHAnsi"/>
          <w:sz w:val="28"/>
          <w:szCs w:val="28"/>
        </w:rPr>
      </w:pPr>
      <w:r>
        <w:rPr>
          <w:rFonts w:cstheme="minorHAnsi"/>
          <w:sz w:val="28"/>
          <w:szCs w:val="28"/>
        </w:rPr>
        <w:t>851 01 Bratislava</w:t>
      </w: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Default="00240FBB" w:rsidP="00240FBB">
      <w:pPr>
        <w:spacing w:after="0" w:line="240" w:lineRule="auto"/>
        <w:jc w:val="center"/>
        <w:rPr>
          <w:rFonts w:cstheme="minorHAnsi"/>
          <w:b/>
          <w:bCs/>
          <w:sz w:val="28"/>
          <w:szCs w:val="28"/>
        </w:rPr>
      </w:pPr>
    </w:p>
    <w:p w:rsidR="00240FBB" w:rsidRPr="00E7327E" w:rsidRDefault="00A9057D" w:rsidP="00240FBB">
      <w:pPr>
        <w:spacing w:after="0" w:line="240" w:lineRule="auto"/>
        <w:jc w:val="center"/>
        <w:rPr>
          <w:rFonts w:cstheme="minorHAnsi"/>
          <w:b/>
          <w:bCs/>
          <w:sz w:val="28"/>
          <w:szCs w:val="28"/>
        </w:rPr>
      </w:pPr>
      <w:r>
        <w:rPr>
          <w:rFonts w:cstheme="minorHAnsi"/>
          <w:b/>
          <w:bCs/>
          <w:sz w:val="28"/>
          <w:szCs w:val="28"/>
        </w:rPr>
        <w:t>202</w:t>
      </w:r>
      <w:r w:rsidR="00DD371D">
        <w:rPr>
          <w:rFonts w:cstheme="minorHAnsi"/>
          <w:b/>
          <w:bCs/>
          <w:sz w:val="28"/>
          <w:szCs w:val="28"/>
        </w:rPr>
        <w:t>3</w:t>
      </w:r>
    </w:p>
    <w:p w:rsidR="00C41885" w:rsidRDefault="00C41885" w:rsidP="00791251">
      <w:pPr>
        <w:pStyle w:val="Nadpis1"/>
        <w:jc w:val="center"/>
        <w:rPr>
          <w:color w:val="auto"/>
          <w:sz w:val="24"/>
          <w:szCs w:val="24"/>
        </w:rPr>
      </w:pPr>
    </w:p>
    <w:p w:rsidR="00674E85" w:rsidRPr="00522077" w:rsidRDefault="00674E85" w:rsidP="00791251">
      <w:pPr>
        <w:pStyle w:val="Nadpis1"/>
        <w:jc w:val="center"/>
        <w:rPr>
          <w:color w:val="auto"/>
          <w:sz w:val="24"/>
          <w:szCs w:val="24"/>
        </w:rPr>
      </w:pPr>
      <w:r w:rsidRPr="00522077">
        <w:rPr>
          <w:color w:val="auto"/>
          <w:sz w:val="24"/>
          <w:szCs w:val="24"/>
        </w:rPr>
        <w:t>SPRÁVA NEZÁVISLÉHO AUDÍTORA</w:t>
      </w:r>
    </w:p>
    <w:p w:rsidR="009D290A" w:rsidRPr="00522077" w:rsidRDefault="009D290A" w:rsidP="009D290A">
      <w:pPr>
        <w:autoSpaceDE w:val="0"/>
        <w:autoSpaceDN w:val="0"/>
        <w:adjustRightInd w:val="0"/>
        <w:spacing w:after="0" w:line="240" w:lineRule="auto"/>
        <w:jc w:val="center"/>
        <w:rPr>
          <w:rFonts w:cstheme="minorHAnsi"/>
          <w:sz w:val="24"/>
          <w:szCs w:val="24"/>
        </w:rPr>
      </w:pPr>
      <w:r w:rsidRPr="00522077">
        <w:rPr>
          <w:rFonts w:cstheme="minorHAnsi"/>
          <w:sz w:val="24"/>
          <w:szCs w:val="24"/>
        </w:rPr>
        <w:t>štatutárnemu orgánu a členom občianskeho združenia</w:t>
      </w:r>
    </w:p>
    <w:p w:rsidR="00240FBB" w:rsidRPr="00522077" w:rsidRDefault="00A01563" w:rsidP="009D290A">
      <w:pPr>
        <w:autoSpaceDE w:val="0"/>
        <w:autoSpaceDN w:val="0"/>
        <w:adjustRightInd w:val="0"/>
        <w:spacing w:after="0" w:line="240" w:lineRule="auto"/>
        <w:jc w:val="center"/>
        <w:rPr>
          <w:rFonts w:cstheme="minorHAnsi"/>
          <w:b/>
          <w:sz w:val="24"/>
          <w:szCs w:val="24"/>
        </w:rPr>
      </w:pPr>
      <w:r w:rsidRPr="00522077">
        <w:rPr>
          <w:rFonts w:cstheme="minorHAnsi"/>
          <w:b/>
          <w:sz w:val="24"/>
          <w:szCs w:val="24"/>
        </w:rPr>
        <w:t xml:space="preserve">  </w:t>
      </w:r>
    </w:p>
    <w:p w:rsidR="009D290A" w:rsidRPr="00522077" w:rsidRDefault="00A01563" w:rsidP="009D290A">
      <w:pPr>
        <w:autoSpaceDE w:val="0"/>
        <w:autoSpaceDN w:val="0"/>
        <w:adjustRightInd w:val="0"/>
        <w:spacing w:after="0" w:line="240" w:lineRule="auto"/>
        <w:jc w:val="center"/>
        <w:rPr>
          <w:rFonts w:cstheme="minorHAnsi"/>
          <w:b/>
          <w:sz w:val="24"/>
          <w:szCs w:val="24"/>
        </w:rPr>
      </w:pPr>
      <w:r w:rsidRPr="00522077">
        <w:rPr>
          <w:rFonts w:cstheme="minorHAnsi"/>
          <w:b/>
          <w:sz w:val="24"/>
          <w:szCs w:val="24"/>
        </w:rPr>
        <w:t>Slovenský strelecký zväz</w:t>
      </w:r>
    </w:p>
    <w:p w:rsidR="00240FBB" w:rsidRPr="00522077" w:rsidRDefault="00240FBB" w:rsidP="009D290A">
      <w:pPr>
        <w:autoSpaceDE w:val="0"/>
        <w:autoSpaceDN w:val="0"/>
        <w:adjustRightInd w:val="0"/>
        <w:spacing w:after="0" w:line="240" w:lineRule="auto"/>
        <w:jc w:val="center"/>
        <w:rPr>
          <w:rFonts w:cstheme="minorHAnsi"/>
          <w:sz w:val="24"/>
          <w:szCs w:val="24"/>
        </w:rPr>
      </w:pPr>
      <w:r w:rsidRPr="00522077">
        <w:rPr>
          <w:rFonts w:cstheme="minorHAnsi"/>
          <w:sz w:val="24"/>
          <w:szCs w:val="24"/>
        </w:rPr>
        <w:t>Wolkrova 3335/4</w:t>
      </w:r>
    </w:p>
    <w:p w:rsidR="00522077" w:rsidRPr="00522077" w:rsidRDefault="00522077" w:rsidP="009D290A">
      <w:pPr>
        <w:autoSpaceDE w:val="0"/>
        <w:autoSpaceDN w:val="0"/>
        <w:adjustRightInd w:val="0"/>
        <w:spacing w:after="0" w:line="240" w:lineRule="auto"/>
        <w:jc w:val="center"/>
        <w:rPr>
          <w:rFonts w:cstheme="minorHAnsi"/>
          <w:sz w:val="24"/>
          <w:szCs w:val="24"/>
        </w:rPr>
      </w:pPr>
      <w:r w:rsidRPr="00522077">
        <w:rPr>
          <w:rFonts w:cstheme="minorHAnsi"/>
          <w:sz w:val="24"/>
          <w:szCs w:val="24"/>
        </w:rPr>
        <w:t>851 01 Bratislava</w:t>
      </w:r>
    </w:p>
    <w:p w:rsidR="00674E85" w:rsidRPr="0007129C" w:rsidRDefault="00674E85" w:rsidP="00EB79B6">
      <w:pPr>
        <w:autoSpaceDE w:val="0"/>
        <w:autoSpaceDN w:val="0"/>
        <w:adjustRightInd w:val="0"/>
        <w:spacing w:after="0" w:line="240" w:lineRule="auto"/>
        <w:jc w:val="both"/>
        <w:rPr>
          <w:rFonts w:asciiTheme="majorHAnsi" w:hAnsiTheme="majorHAnsi" w:cstheme="minorHAnsi"/>
          <w:sz w:val="24"/>
          <w:szCs w:val="24"/>
        </w:rPr>
      </w:pPr>
    </w:p>
    <w:p w:rsidR="00DC3674" w:rsidRPr="0007129C" w:rsidRDefault="00240FBB" w:rsidP="00240FBB">
      <w:pPr>
        <w:pStyle w:val="level2"/>
        <w:widowControl w:val="0"/>
        <w:tabs>
          <w:tab w:val="clear" w:pos="576"/>
          <w:tab w:val="left" w:pos="0"/>
        </w:tabs>
        <w:spacing w:after="240" w:line="276" w:lineRule="auto"/>
        <w:ind w:left="0" w:firstLine="0"/>
        <w:rPr>
          <w:rFonts w:asciiTheme="majorHAnsi" w:hAnsiTheme="majorHAnsi"/>
          <w:b/>
          <w:sz w:val="24"/>
          <w:lang w:val="sk-SK"/>
        </w:rPr>
      </w:pPr>
      <w:r>
        <w:rPr>
          <w:rFonts w:asciiTheme="majorHAnsi" w:hAnsiTheme="majorHAnsi"/>
          <w:b/>
          <w:sz w:val="24"/>
          <w:lang w:val="sk-SK"/>
        </w:rPr>
        <w:t>l. S</w:t>
      </w:r>
      <w:r w:rsidR="00DC3674" w:rsidRPr="0007129C">
        <w:rPr>
          <w:rFonts w:asciiTheme="majorHAnsi" w:hAnsiTheme="majorHAnsi"/>
          <w:b/>
          <w:sz w:val="24"/>
          <w:lang w:val="sk-SK"/>
        </w:rPr>
        <w:t>práva z auditu účtovnej závierky</w:t>
      </w:r>
    </w:p>
    <w:p w:rsidR="00DC3674" w:rsidRPr="0007129C" w:rsidRDefault="00DD371D" w:rsidP="0007129C">
      <w:pPr>
        <w:pStyle w:val="level2"/>
        <w:widowControl w:val="0"/>
        <w:tabs>
          <w:tab w:val="clear" w:pos="576"/>
          <w:tab w:val="left" w:pos="0"/>
        </w:tabs>
        <w:spacing w:before="0" w:after="0" w:line="276" w:lineRule="auto"/>
        <w:ind w:left="0" w:firstLine="0"/>
        <w:rPr>
          <w:rFonts w:asciiTheme="majorHAnsi" w:hAnsiTheme="majorHAnsi"/>
          <w:sz w:val="24"/>
          <w:u w:val="single"/>
          <w:lang w:val="sk-SK"/>
        </w:rPr>
      </w:pPr>
      <w:r>
        <w:rPr>
          <w:rFonts w:asciiTheme="majorHAnsi" w:hAnsiTheme="majorHAnsi"/>
          <w:sz w:val="24"/>
          <w:u w:val="single"/>
          <w:lang w:val="sk-SK"/>
        </w:rPr>
        <w:t>Podmienený n</w:t>
      </w:r>
      <w:r w:rsidR="00DC3674" w:rsidRPr="0007129C">
        <w:rPr>
          <w:rFonts w:asciiTheme="majorHAnsi" w:hAnsiTheme="majorHAnsi"/>
          <w:sz w:val="24"/>
          <w:u w:val="single"/>
          <w:lang w:val="sk-SK"/>
        </w:rPr>
        <w:t>ázor</w:t>
      </w:r>
    </w:p>
    <w:p w:rsidR="00DC3674" w:rsidRPr="0007129C" w:rsidRDefault="00DC3674" w:rsidP="0007129C">
      <w:pPr>
        <w:pStyle w:val="level2"/>
        <w:widowControl w:val="0"/>
        <w:tabs>
          <w:tab w:val="clear" w:pos="576"/>
          <w:tab w:val="left" w:pos="0"/>
        </w:tabs>
        <w:spacing w:before="0" w:after="0" w:line="276" w:lineRule="auto"/>
        <w:ind w:left="0" w:firstLine="0"/>
        <w:rPr>
          <w:rFonts w:asciiTheme="majorHAnsi" w:hAnsiTheme="majorHAnsi"/>
          <w:sz w:val="24"/>
          <w:u w:val="single"/>
          <w:lang w:val="sk-SK"/>
        </w:rPr>
      </w:pPr>
      <w:r w:rsidRPr="0007129C">
        <w:rPr>
          <w:rFonts w:asciiTheme="majorHAnsi" w:hAnsiTheme="majorHAnsi"/>
          <w:sz w:val="24"/>
          <w:lang w:val="sk-SK"/>
        </w:rPr>
        <w:t>Uskutočnili sme audit účtovnej závierky</w:t>
      </w:r>
      <w:r w:rsidR="00E32BF1">
        <w:rPr>
          <w:rFonts w:asciiTheme="majorHAnsi" w:hAnsiTheme="majorHAnsi"/>
          <w:sz w:val="24"/>
          <w:lang w:val="sk-SK"/>
        </w:rPr>
        <w:t xml:space="preserve"> občianskeho združenia</w:t>
      </w:r>
      <w:r w:rsidR="009D290A">
        <w:rPr>
          <w:rFonts w:asciiTheme="majorHAnsi" w:hAnsiTheme="majorHAnsi"/>
          <w:sz w:val="24"/>
          <w:lang w:val="sk-SK"/>
        </w:rPr>
        <w:t xml:space="preserve"> </w:t>
      </w:r>
      <w:r w:rsidR="00A01563">
        <w:rPr>
          <w:rFonts w:asciiTheme="majorHAnsi" w:hAnsiTheme="majorHAnsi"/>
          <w:b/>
          <w:sz w:val="24"/>
          <w:lang w:val="sk-SK"/>
        </w:rPr>
        <w:t>Slovenský strelecký zväz</w:t>
      </w:r>
      <w:r w:rsidR="009D290A">
        <w:rPr>
          <w:rFonts w:asciiTheme="majorHAnsi" w:hAnsiTheme="majorHAnsi"/>
          <w:sz w:val="24"/>
          <w:lang w:val="sk-SK"/>
        </w:rPr>
        <w:t xml:space="preserve"> (ďalej len „občianske združenie</w:t>
      </w:r>
      <w:r w:rsidRPr="0007129C">
        <w:rPr>
          <w:rFonts w:asciiTheme="majorHAnsi" w:hAnsiTheme="majorHAnsi"/>
          <w:sz w:val="24"/>
          <w:lang w:val="sk-SK"/>
        </w:rPr>
        <w:t>“), ktorá obsahuje</w:t>
      </w:r>
      <w:r w:rsidR="00FC1C86">
        <w:rPr>
          <w:rFonts w:asciiTheme="majorHAnsi" w:hAnsiTheme="majorHAnsi"/>
          <w:sz w:val="24"/>
          <w:lang w:val="sk-SK"/>
        </w:rPr>
        <w:t xml:space="preserve"> súvahu k 31. decembru 202</w:t>
      </w:r>
      <w:r w:rsidR="00DD371D">
        <w:rPr>
          <w:rFonts w:asciiTheme="majorHAnsi" w:hAnsiTheme="majorHAnsi"/>
          <w:sz w:val="24"/>
          <w:lang w:val="sk-SK"/>
        </w:rPr>
        <w:t>3</w:t>
      </w:r>
      <w:r w:rsidRPr="0007129C">
        <w:rPr>
          <w:rFonts w:asciiTheme="majorHAnsi" w:hAnsiTheme="majorHAnsi"/>
          <w:sz w:val="24"/>
          <w:lang w:val="sk-SK"/>
        </w:rPr>
        <w:t>, výkaz ziskov a strát za rok končiaci sa k uvedenému dátumu, a poznámky, ktoré obsahujú súhrn významných účtovných zásad a účtovných metód.</w:t>
      </w:r>
    </w:p>
    <w:p w:rsidR="00DC3674" w:rsidRPr="0007129C" w:rsidRDefault="00DC3674" w:rsidP="0007129C">
      <w:pPr>
        <w:pStyle w:val="level2"/>
        <w:widowControl w:val="0"/>
        <w:tabs>
          <w:tab w:val="clear" w:pos="576"/>
          <w:tab w:val="left" w:pos="0"/>
        </w:tabs>
        <w:spacing w:after="240" w:line="276" w:lineRule="auto"/>
        <w:ind w:left="0" w:firstLine="0"/>
        <w:rPr>
          <w:rFonts w:asciiTheme="majorHAnsi" w:hAnsiTheme="majorHAnsi"/>
          <w:sz w:val="24"/>
          <w:lang w:val="sk-SK"/>
        </w:rPr>
      </w:pPr>
      <w:r w:rsidRPr="0007129C">
        <w:rPr>
          <w:rFonts w:asciiTheme="majorHAnsi" w:hAnsiTheme="majorHAnsi"/>
          <w:sz w:val="24"/>
          <w:lang w:val="sk-SK"/>
        </w:rPr>
        <w:t>Podľa nášho názoru,</w:t>
      </w:r>
      <w:r w:rsidR="00E32BF1">
        <w:rPr>
          <w:rFonts w:asciiTheme="majorHAnsi" w:hAnsiTheme="majorHAnsi"/>
          <w:sz w:val="24"/>
          <w:lang w:val="sk-SK"/>
        </w:rPr>
        <w:t xml:space="preserve"> </w:t>
      </w:r>
      <w:r w:rsidR="00DD371D">
        <w:rPr>
          <w:rFonts w:asciiTheme="majorHAnsi" w:hAnsiTheme="majorHAnsi"/>
          <w:sz w:val="24"/>
          <w:lang w:val="sk-SK"/>
        </w:rPr>
        <w:t xml:space="preserve">okrem vplyvu skutočnosti opísanej v odseku Základ pre podmienený názor, </w:t>
      </w:r>
      <w:r w:rsidR="00ED3D25">
        <w:rPr>
          <w:rFonts w:asciiTheme="majorHAnsi" w:hAnsiTheme="majorHAnsi"/>
          <w:sz w:val="24"/>
          <w:lang w:val="sk-SK"/>
        </w:rPr>
        <w:t>p</w:t>
      </w:r>
      <w:r w:rsidRPr="0007129C">
        <w:rPr>
          <w:rFonts w:asciiTheme="majorHAnsi" w:hAnsiTheme="majorHAnsi"/>
          <w:sz w:val="24"/>
          <w:lang w:val="sk-SK"/>
        </w:rPr>
        <w:t xml:space="preserve">riložená účtovná závierka </w:t>
      </w:r>
      <w:r w:rsidRPr="0007129C">
        <w:rPr>
          <w:rFonts w:asciiTheme="majorHAnsi" w:hAnsiTheme="majorHAnsi"/>
          <w:iCs/>
          <w:sz w:val="24"/>
          <w:lang w:val="sk-SK"/>
        </w:rPr>
        <w:t>poskytuje pravdivý a verný obraz finančnej situácie</w:t>
      </w:r>
      <w:r w:rsidR="00C81B3F">
        <w:rPr>
          <w:rFonts w:asciiTheme="majorHAnsi" w:hAnsiTheme="majorHAnsi"/>
          <w:sz w:val="24"/>
          <w:lang w:val="sk-SK"/>
        </w:rPr>
        <w:t xml:space="preserve"> občianskeho združenia</w:t>
      </w:r>
      <w:r w:rsidR="00B871D0">
        <w:rPr>
          <w:rFonts w:asciiTheme="majorHAnsi" w:hAnsiTheme="majorHAnsi"/>
          <w:sz w:val="24"/>
          <w:lang w:val="sk-SK"/>
        </w:rPr>
        <w:t xml:space="preserve"> k 31. decembru 202</w:t>
      </w:r>
      <w:r w:rsidR="00DD371D">
        <w:rPr>
          <w:rFonts w:asciiTheme="majorHAnsi" w:hAnsiTheme="majorHAnsi"/>
          <w:sz w:val="24"/>
          <w:lang w:val="sk-SK"/>
        </w:rPr>
        <w:t>3</w:t>
      </w:r>
      <w:r w:rsidRPr="0007129C">
        <w:rPr>
          <w:rFonts w:asciiTheme="majorHAnsi" w:hAnsiTheme="majorHAnsi"/>
          <w:sz w:val="24"/>
          <w:lang w:val="sk-SK"/>
        </w:rPr>
        <w:t xml:space="preserve"> a výsledku jej hospodárenia za rok končiaci sa k uvedenému dátumu podľa zákona č. 431/2002 </w:t>
      </w:r>
      <w:proofErr w:type="spellStart"/>
      <w:r w:rsidRPr="0007129C">
        <w:rPr>
          <w:rFonts w:asciiTheme="majorHAnsi" w:hAnsiTheme="majorHAnsi"/>
          <w:sz w:val="24"/>
          <w:lang w:val="sk-SK"/>
        </w:rPr>
        <w:t>Z.z</w:t>
      </w:r>
      <w:proofErr w:type="spellEnd"/>
      <w:r w:rsidRPr="0007129C">
        <w:rPr>
          <w:rFonts w:asciiTheme="majorHAnsi" w:hAnsiTheme="majorHAnsi"/>
          <w:sz w:val="24"/>
          <w:lang w:val="sk-SK"/>
        </w:rPr>
        <w:t xml:space="preserve">. o účtovníctve v znení neskorších predpisov (ďalej len „zákon o účtovníctve“).  </w:t>
      </w:r>
    </w:p>
    <w:p w:rsidR="00ED3D25" w:rsidRPr="00ED3D25" w:rsidRDefault="00ED3D25" w:rsidP="0007129C">
      <w:pPr>
        <w:pStyle w:val="Default"/>
        <w:spacing w:line="276" w:lineRule="auto"/>
        <w:jc w:val="both"/>
        <w:rPr>
          <w:rFonts w:asciiTheme="majorHAnsi" w:hAnsiTheme="majorHAnsi" w:cs="Times New Roman"/>
          <w:u w:val="single"/>
        </w:rPr>
      </w:pPr>
      <w:r>
        <w:rPr>
          <w:rFonts w:asciiTheme="majorHAnsi" w:hAnsiTheme="majorHAnsi" w:cs="Times New Roman"/>
          <w:u w:val="single"/>
        </w:rPr>
        <w:t xml:space="preserve">Základ pre </w:t>
      </w:r>
      <w:r w:rsidR="00DD371D">
        <w:rPr>
          <w:rFonts w:asciiTheme="majorHAnsi" w:hAnsiTheme="majorHAnsi" w:cs="Times New Roman"/>
          <w:u w:val="single"/>
        </w:rPr>
        <w:t xml:space="preserve">podmienený </w:t>
      </w:r>
      <w:r>
        <w:rPr>
          <w:rFonts w:asciiTheme="majorHAnsi" w:hAnsiTheme="majorHAnsi" w:cs="Times New Roman"/>
          <w:u w:val="single"/>
        </w:rPr>
        <w:t>názor</w:t>
      </w:r>
    </w:p>
    <w:p w:rsidR="00DD371D" w:rsidRDefault="00DD371D" w:rsidP="0007129C">
      <w:pPr>
        <w:pStyle w:val="Default"/>
        <w:spacing w:line="276" w:lineRule="auto"/>
        <w:jc w:val="both"/>
        <w:rPr>
          <w:rFonts w:asciiTheme="majorHAnsi" w:hAnsiTheme="majorHAnsi" w:cs="Times New Roman"/>
        </w:rPr>
      </w:pPr>
      <w:r>
        <w:rPr>
          <w:rFonts w:asciiTheme="majorHAnsi" w:hAnsiTheme="majorHAnsi" w:cs="Times New Roman"/>
        </w:rPr>
        <w:t>Nemohli sme uskutočni pozorovanie fyzického počítania zásob, ktoré sú vykázané k 31. decembru 2023 vo výške 12.529,50 EUR, pretože dátum inventúry bol skôr, ako sme prijali zákazu auditu. Nemohli sme preto získa dostatočné a vhodné dôkazy o množstve zásob, a to ani inými náhradnými postupmi.</w:t>
      </w:r>
    </w:p>
    <w:p w:rsidR="004D7297" w:rsidRDefault="004D7297" w:rsidP="0007129C">
      <w:pPr>
        <w:pStyle w:val="Default"/>
        <w:spacing w:line="276" w:lineRule="auto"/>
        <w:jc w:val="both"/>
        <w:rPr>
          <w:rFonts w:asciiTheme="majorHAnsi" w:hAnsiTheme="majorHAnsi" w:cs="Times New Roman"/>
        </w:rPr>
      </w:pPr>
      <w:r>
        <w:rPr>
          <w:rFonts w:asciiTheme="majorHAnsi" w:hAnsiTheme="majorHAnsi" w:cs="Times New Roman"/>
        </w:rPr>
        <w:t>Občianske združenie vykazuje vo výkaze ziskov a strát (na riadku 64), na účte 656 – Výnosy z použitia fondu sumu 16.296,39 EUR,  pričom išlo o rozpustenie rezervy na nevyčerpané dovolenky. Uvedená suma mala byť vykázaná na nákladových účtoch 521</w:t>
      </w:r>
      <w:r w:rsidR="00A16B58">
        <w:rPr>
          <w:rFonts w:asciiTheme="majorHAnsi" w:hAnsiTheme="majorHAnsi" w:cs="Times New Roman"/>
        </w:rPr>
        <w:t>- Mzdové náklady</w:t>
      </w:r>
      <w:r>
        <w:rPr>
          <w:rFonts w:asciiTheme="majorHAnsi" w:hAnsiTheme="majorHAnsi" w:cs="Times New Roman"/>
        </w:rPr>
        <w:t xml:space="preserve"> v sume </w:t>
      </w:r>
      <w:r w:rsidR="00A16B58">
        <w:rPr>
          <w:rFonts w:asciiTheme="majorHAnsi" w:hAnsiTheme="majorHAnsi" w:cs="Times New Roman"/>
        </w:rPr>
        <w:t>12.214,86 EUR</w:t>
      </w:r>
      <w:r>
        <w:rPr>
          <w:rFonts w:asciiTheme="majorHAnsi" w:hAnsiTheme="majorHAnsi" w:cs="Times New Roman"/>
        </w:rPr>
        <w:t xml:space="preserve"> </w:t>
      </w:r>
      <w:r w:rsidR="00A16B58">
        <w:rPr>
          <w:rFonts w:asciiTheme="majorHAnsi" w:hAnsiTheme="majorHAnsi" w:cs="Times New Roman"/>
        </w:rPr>
        <w:t>a na účte 524 – Zákonné sociálne poistenie a zdravotné poistenie v sume 4.081,33 EUR.</w:t>
      </w:r>
    </w:p>
    <w:p w:rsidR="005A3AB4" w:rsidRDefault="005A3AB4" w:rsidP="0007129C">
      <w:pPr>
        <w:pStyle w:val="Default"/>
        <w:spacing w:line="276" w:lineRule="auto"/>
        <w:jc w:val="both"/>
        <w:rPr>
          <w:rFonts w:asciiTheme="majorHAnsi" w:hAnsiTheme="majorHAnsi" w:cs="Times New Roman"/>
        </w:rPr>
      </w:pPr>
      <w:r>
        <w:rPr>
          <w:rFonts w:asciiTheme="majorHAnsi" w:hAnsiTheme="majorHAnsi" w:cs="Times New Roman"/>
        </w:rPr>
        <w:t xml:space="preserve">Občianske zduženie nevykazuje </w:t>
      </w:r>
      <w:r w:rsidR="00353955">
        <w:rPr>
          <w:rFonts w:asciiTheme="majorHAnsi" w:hAnsiTheme="majorHAnsi" w:cs="Times New Roman"/>
        </w:rPr>
        <w:t>dlhodobú</w:t>
      </w:r>
      <w:r>
        <w:rPr>
          <w:rFonts w:asciiTheme="majorHAnsi" w:hAnsiTheme="majorHAnsi" w:cs="Times New Roman"/>
        </w:rPr>
        <w:t xml:space="preserve"> časť</w:t>
      </w:r>
      <w:r w:rsidR="00353955">
        <w:rPr>
          <w:rFonts w:asciiTheme="majorHAnsi" w:hAnsiTheme="majorHAnsi" w:cs="Times New Roman"/>
        </w:rPr>
        <w:t xml:space="preserve"> účtu 384 – Výnosy budúcich období na riadku 103. Krátkodobá časť Výnosov budúcich období predstavuje 368.672,30 EUR a dlhodobá časť 685.707,89 EUR.</w:t>
      </w:r>
    </w:p>
    <w:p w:rsidR="00495199" w:rsidRDefault="00353955" w:rsidP="0007129C">
      <w:pPr>
        <w:pStyle w:val="Default"/>
        <w:spacing w:line="276" w:lineRule="auto"/>
        <w:jc w:val="both"/>
        <w:rPr>
          <w:rFonts w:asciiTheme="majorHAnsi" w:hAnsiTheme="majorHAnsi" w:cs="Times New Roman"/>
          <w:color w:val="auto"/>
        </w:rPr>
      </w:pPr>
      <w:r>
        <w:rPr>
          <w:rFonts w:asciiTheme="majorHAnsi" w:hAnsiTheme="majorHAnsi" w:cs="Times New Roman"/>
          <w:color w:val="auto"/>
        </w:rPr>
        <w:t>Občianske združenie nesprávne vykazuje v súvahe Bezprostredne predchádzajúce účtovné obdobie a to riadky: 037 – Dlhodobé pohľadávky, ktoré predstavovali sumu 363,46 EUR a nato nadviazané riadky 039 a</w:t>
      </w:r>
      <w:r w:rsidR="007D3FD1">
        <w:rPr>
          <w:rFonts w:asciiTheme="majorHAnsi" w:hAnsiTheme="majorHAnsi" w:cs="Times New Roman"/>
          <w:color w:val="auto"/>
        </w:rPr>
        <w:t> </w:t>
      </w:r>
      <w:r>
        <w:rPr>
          <w:rFonts w:asciiTheme="majorHAnsi" w:hAnsiTheme="majorHAnsi" w:cs="Times New Roman"/>
          <w:color w:val="auto"/>
        </w:rPr>
        <w:t>041</w:t>
      </w:r>
      <w:r w:rsidR="007D3FD1">
        <w:rPr>
          <w:rFonts w:asciiTheme="majorHAnsi" w:hAnsiTheme="majorHAnsi" w:cs="Times New Roman"/>
          <w:color w:val="auto"/>
        </w:rPr>
        <w:t>,</w:t>
      </w:r>
      <w:r>
        <w:rPr>
          <w:rFonts w:asciiTheme="majorHAnsi" w:hAnsiTheme="majorHAnsi" w:cs="Times New Roman"/>
          <w:color w:val="auto"/>
        </w:rPr>
        <w:t xml:space="preserve"> </w:t>
      </w:r>
      <w:r w:rsidR="007D3FD1">
        <w:rPr>
          <w:rFonts w:asciiTheme="majorHAnsi" w:hAnsiTheme="majorHAnsi" w:cs="Times New Roman"/>
          <w:color w:val="auto"/>
        </w:rPr>
        <w:t>r</w:t>
      </w:r>
      <w:r>
        <w:rPr>
          <w:rFonts w:asciiTheme="majorHAnsi" w:hAnsiTheme="majorHAnsi" w:cs="Times New Roman"/>
          <w:color w:val="auto"/>
        </w:rPr>
        <w:t>iadok 042 – Krátkodobé pohľadávky, ktoré predstavovali sumu 25.490,94 EUR a nato nadviazané riadky 044, 045, 046 a</w:t>
      </w:r>
      <w:r w:rsidR="007D3FD1">
        <w:rPr>
          <w:rFonts w:asciiTheme="majorHAnsi" w:hAnsiTheme="majorHAnsi" w:cs="Times New Roman"/>
          <w:color w:val="auto"/>
        </w:rPr>
        <w:t> </w:t>
      </w:r>
      <w:r>
        <w:rPr>
          <w:rFonts w:asciiTheme="majorHAnsi" w:hAnsiTheme="majorHAnsi" w:cs="Times New Roman"/>
          <w:color w:val="auto"/>
        </w:rPr>
        <w:t>050</w:t>
      </w:r>
      <w:r w:rsidR="007D3FD1">
        <w:rPr>
          <w:rFonts w:asciiTheme="majorHAnsi" w:hAnsiTheme="majorHAnsi" w:cs="Times New Roman"/>
          <w:color w:val="auto"/>
        </w:rPr>
        <w:t>,</w:t>
      </w:r>
      <w:r>
        <w:rPr>
          <w:rFonts w:asciiTheme="majorHAnsi" w:hAnsiTheme="majorHAnsi" w:cs="Times New Roman"/>
          <w:color w:val="auto"/>
        </w:rPr>
        <w:t xml:space="preserve"> </w:t>
      </w:r>
      <w:r w:rsidR="007D3FD1">
        <w:rPr>
          <w:rFonts w:asciiTheme="majorHAnsi" w:hAnsiTheme="majorHAnsi" w:cs="Times New Roman"/>
          <w:color w:val="auto"/>
        </w:rPr>
        <w:t>r</w:t>
      </w:r>
      <w:r>
        <w:rPr>
          <w:rFonts w:asciiTheme="majorHAnsi" w:hAnsiTheme="majorHAnsi" w:cs="Times New Roman"/>
          <w:color w:val="auto"/>
        </w:rPr>
        <w:t>iadk</w:t>
      </w:r>
      <w:r w:rsidR="007D3FD1">
        <w:rPr>
          <w:rFonts w:asciiTheme="majorHAnsi" w:hAnsiTheme="majorHAnsi" w:cs="Times New Roman"/>
          <w:color w:val="auto"/>
        </w:rPr>
        <w:t>y</w:t>
      </w:r>
      <w:r>
        <w:rPr>
          <w:rFonts w:asciiTheme="majorHAnsi" w:hAnsiTheme="majorHAnsi" w:cs="Times New Roman"/>
          <w:color w:val="auto"/>
        </w:rPr>
        <w:t xml:space="preserve"> 060 a 104 Majetok spolu predstavovala sumu 2.592.829,12 EUR</w:t>
      </w:r>
      <w:r w:rsidR="007D3FD1">
        <w:rPr>
          <w:rFonts w:asciiTheme="majorHAnsi" w:hAnsiTheme="majorHAnsi" w:cs="Times New Roman"/>
          <w:color w:val="auto"/>
        </w:rPr>
        <w:t>,</w:t>
      </w:r>
      <w:r>
        <w:rPr>
          <w:rFonts w:asciiTheme="majorHAnsi" w:hAnsiTheme="majorHAnsi" w:cs="Times New Roman"/>
          <w:color w:val="auto"/>
        </w:rPr>
        <w:t xml:space="preserve"> </w:t>
      </w:r>
      <w:r w:rsidR="007D3FD1">
        <w:rPr>
          <w:rFonts w:asciiTheme="majorHAnsi" w:hAnsiTheme="majorHAnsi" w:cs="Times New Roman"/>
          <w:color w:val="auto"/>
        </w:rPr>
        <w:t>r</w:t>
      </w:r>
      <w:r>
        <w:rPr>
          <w:rFonts w:asciiTheme="majorHAnsi" w:hAnsiTheme="majorHAnsi" w:cs="Times New Roman"/>
          <w:color w:val="auto"/>
        </w:rPr>
        <w:t>iadok 073 – Záväzky predstavoval</w:t>
      </w:r>
      <w:r w:rsidR="007D3FD1">
        <w:rPr>
          <w:rFonts w:asciiTheme="majorHAnsi" w:hAnsiTheme="majorHAnsi" w:cs="Times New Roman"/>
          <w:color w:val="auto"/>
        </w:rPr>
        <w:t xml:space="preserve">i sumu 387.502,02 EUR, riadok 086 Krátkodobé záväzky predstavovali sumu 367.793,82 EUR a nato nadviazaný riadok 089, Riadok 102 Výnosy </w:t>
      </w:r>
      <w:r w:rsidR="007D3FD1">
        <w:rPr>
          <w:rFonts w:asciiTheme="majorHAnsi" w:hAnsiTheme="majorHAnsi" w:cs="Times New Roman"/>
          <w:color w:val="auto"/>
        </w:rPr>
        <w:lastRenderedPageBreak/>
        <w:t>budúcich období predstavovali sumu 999.277,43 a riadok 103 Výnosy budúcich období dlhodobé sumu 373.460,17 EUR.</w:t>
      </w:r>
    </w:p>
    <w:p w:rsidR="00A16B58" w:rsidRDefault="00495199" w:rsidP="0007129C">
      <w:pPr>
        <w:pStyle w:val="Default"/>
        <w:spacing w:line="276" w:lineRule="auto"/>
        <w:jc w:val="both"/>
        <w:rPr>
          <w:rFonts w:asciiTheme="majorHAnsi" w:hAnsiTheme="majorHAnsi" w:cs="Times New Roman"/>
          <w:color w:val="auto"/>
        </w:rPr>
      </w:pPr>
      <w:r>
        <w:rPr>
          <w:rFonts w:asciiTheme="majorHAnsi" w:hAnsiTheme="majorHAnsi" w:cs="Times New Roman"/>
          <w:color w:val="auto"/>
        </w:rPr>
        <w:t xml:space="preserve">Občianske združenie v Poznámkach neuvádza </w:t>
      </w:r>
      <w:r w:rsidR="007D3FD1">
        <w:rPr>
          <w:rFonts w:asciiTheme="majorHAnsi" w:hAnsiTheme="majorHAnsi" w:cs="Times New Roman"/>
          <w:color w:val="auto"/>
        </w:rPr>
        <w:t xml:space="preserve"> </w:t>
      </w:r>
      <w:r>
        <w:rPr>
          <w:rFonts w:asciiTheme="majorHAnsi" w:hAnsiTheme="majorHAnsi" w:cs="Times New Roman"/>
          <w:color w:val="auto"/>
        </w:rPr>
        <w:t xml:space="preserve">prehľad pohľadávok za rok 2023, ktoré predstavu sumu 18.141,39 </w:t>
      </w:r>
      <w:r w:rsidRPr="00034DBA">
        <w:rPr>
          <w:rFonts w:asciiTheme="majorHAnsi" w:hAnsiTheme="majorHAnsi" w:cs="Times New Roman"/>
          <w:color w:val="auto"/>
        </w:rPr>
        <w:t xml:space="preserve">EUR a zároveň v časti Významné položky výnosov nesprávne vykazuje prijaté príspevky od iných organizácií </w:t>
      </w:r>
      <w:r w:rsidR="00034DBA" w:rsidRPr="00034DBA">
        <w:rPr>
          <w:rFonts w:asciiTheme="majorHAnsi" w:hAnsiTheme="majorHAnsi" w:cs="Times New Roman"/>
          <w:color w:val="auto"/>
        </w:rPr>
        <w:t>vo výške 126.605,68 EUR.</w:t>
      </w:r>
    </w:p>
    <w:p w:rsidR="00434ABD" w:rsidRDefault="00434ABD" w:rsidP="0007129C">
      <w:pPr>
        <w:pStyle w:val="Default"/>
        <w:spacing w:line="276" w:lineRule="auto"/>
        <w:jc w:val="both"/>
        <w:rPr>
          <w:rFonts w:asciiTheme="majorHAnsi" w:hAnsiTheme="majorHAnsi" w:cs="Times New Roman"/>
        </w:rPr>
      </w:pPr>
    </w:p>
    <w:p w:rsidR="00DC3674" w:rsidRPr="0007129C" w:rsidRDefault="00DC3674" w:rsidP="0007129C">
      <w:pPr>
        <w:pStyle w:val="Default"/>
        <w:spacing w:line="276" w:lineRule="auto"/>
        <w:jc w:val="both"/>
        <w:rPr>
          <w:rFonts w:asciiTheme="majorHAnsi" w:hAnsiTheme="majorHAnsi" w:cs="Times New Roman"/>
        </w:rPr>
      </w:pPr>
      <w:r w:rsidRPr="0007129C">
        <w:rPr>
          <w:rFonts w:asciiTheme="majorHAnsi" w:hAnsiTheme="majorHAnsi" w:cs="Times New Roman"/>
        </w:rPr>
        <w:t xml:space="preserve">Audit sme vykonali podľa medzinárodných audítorských štandardov (International </w:t>
      </w:r>
      <w:proofErr w:type="spellStart"/>
      <w:r w:rsidRPr="0007129C">
        <w:rPr>
          <w:rFonts w:asciiTheme="majorHAnsi" w:hAnsiTheme="majorHAnsi" w:cs="Times New Roman"/>
        </w:rPr>
        <w:t>Standards</w:t>
      </w:r>
      <w:proofErr w:type="spellEnd"/>
      <w:r w:rsidRPr="0007129C">
        <w:rPr>
          <w:rFonts w:asciiTheme="majorHAnsi" w:hAnsiTheme="majorHAnsi" w:cs="Times New Roman"/>
        </w:rPr>
        <w:t xml:space="preserve"> on </w:t>
      </w:r>
      <w:proofErr w:type="spellStart"/>
      <w:r w:rsidRPr="0007129C">
        <w:rPr>
          <w:rFonts w:asciiTheme="majorHAnsi" w:hAnsiTheme="majorHAnsi" w:cs="Times New Roman"/>
        </w:rPr>
        <w:t>Auditing</w:t>
      </w:r>
      <w:proofErr w:type="spellEnd"/>
      <w:r w:rsidRPr="0007129C">
        <w:rPr>
          <w:rFonts w:asciiTheme="majorHAnsi" w:hAnsiTheme="majorHAnsi" w:cs="Times New Roman"/>
        </w:rPr>
        <w:t>, ISA). Naša zodpovednosť podľa týchto štandardov je uvedená v odseku Zodpovednosť audítora za audit ú</w:t>
      </w:r>
      <w:r w:rsidR="009D290A">
        <w:rPr>
          <w:rFonts w:asciiTheme="majorHAnsi" w:hAnsiTheme="majorHAnsi" w:cs="Times New Roman"/>
        </w:rPr>
        <w:t>čtovnej závierky. Od občianskeho združenia</w:t>
      </w:r>
      <w:r w:rsidRPr="0007129C">
        <w:rPr>
          <w:rFonts w:asciiTheme="majorHAnsi" w:hAnsiTheme="majorHAnsi" w:cs="Times New Roman"/>
        </w:rPr>
        <w:t xml:space="preserve">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w:t>
      </w:r>
      <w:r w:rsidR="007407D0">
        <w:rPr>
          <w:rFonts w:asciiTheme="majorHAnsi" w:hAnsiTheme="majorHAnsi" w:cs="Times New Roman"/>
        </w:rPr>
        <w:t xml:space="preserve">podmienený </w:t>
      </w:r>
      <w:r w:rsidRPr="0007129C">
        <w:rPr>
          <w:rFonts w:asciiTheme="majorHAnsi" w:hAnsiTheme="majorHAnsi" w:cs="Times New Roman"/>
        </w:rPr>
        <w:t>názor.</w:t>
      </w:r>
    </w:p>
    <w:p w:rsidR="00DC3674" w:rsidRPr="0007129C" w:rsidRDefault="00DC3674" w:rsidP="0007129C">
      <w:pPr>
        <w:spacing w:after="0"/>
        <w:jc w:val="both"/>
        <w:rPr>
          <w:rFonts w:asciiTheme="majorHAnsi" w:hAnsiTheme="majorHAnsi"/>
          <w:b/>
          <w:sz w:val="20"/>
          <w:szCs w:val="20"/>
          <w:u w:val="single"/>
        </w:rPr>
      </w:pPr>
    </w:p>
    <w:p w:rsidR="006E6C37" w:rsidRDefault="006E6C37" w:rsidP="0007129C">
      <w:pPr>
        <w:pStyle w:val="Default"/>
        <w:spacing w:line="276" w:lineRule="auto"/>
        <w:jc w:val="both"/>
        <w:rPr>
          <w:rFonts w:asciiTheme="majorHAnsi" w:hAnsiTheme="majorHAnsi" w:cs="Times New Roman"/>
          <w:u w:val="single"/>
        </w:rPr>
      </w:pPr>
      <w:r>
        <w:rPr>
          <w:rFonts w:asciiTheme="majorHAnsi" w:hAnsiTheme="majorHAnsi" w:cs="Times New Roman"/>
          <w:u w:val="single"/>
        </w:rPr>
        <w:t>Iná skutočnosť</w:t>
      </w:r>
    </w:p>
    <w:p w:rsidR="006E6C37" w:rsidRPr="00544594" w:rsidRDefault="00544594" w:rsidP="0007129C">
      <w:pPr>
        <w:pStyle w:val="Default"/>
        <w:spacing w:line="276" w:lineRule="auto"/>
        <w:jc w:val="both"/>
        <w:rPr>
          <w:rFonts w:asciiTheme="majorHAnsi" w:hAnsiTheme="majorHAnsi" w:cs="Times New Roman"/>
        </w:rPr>
      </w:pPr>
      <w:r>
        <w:rPr>
          <w:rFonts w:asciiTheme="majorHAnsi" w:hAnsiTheme="majorHAnsi" w:cs="Times New Roman"/>
        </w:rPr>
        <w:t xml:space="preserve">Občianske združenie do dátumu vydania tejto audítorskej správy zverejnila nesprávnu súvahu za rok 2022 do registra účtovných závierok. Ide o skutočnosť popísanú v odseku Základ pre podmienený názor, časť bezprostredne predchádzajúce obdobie.  </w:t>
      </w:r>
    </w:p>
    <w:p w:rsidR="006E6C37" w:rsidRDefault="006E6C37" w:rsidP="0007129C">
      <w:pPr>
        <w:pStyle w:val="Default"/>
        <w:spacing w:line="276" w:lineRule="auto"/>
        <w:jc w:val="both"/>
        <w:rPr>
          <w:rFonts w:asciiTheme="majorHAnsi" w:hAnsiTheme="majorHAnsi" w:cs="Times New Roman"/>
          <w:u w:val="single"/>
        </w:rPr>
      </w:pPr>
    </w:p>
    <w:p w:rsidR="00DC3674" w:rsidRPr="0007129C" w:rsidRDefault="00DC3674" w:rsidP="0007129C">
      <w:pPr>
        <w:pStyle w:val="Default"/>
        <w:spacing w:line="276" w:lineRule="auto"/>
        <w:jc w:val="both"/>
        <w:rPr>
          <w:rFonts w:asciiTheme="majorHAnsi" w:hAnsiTheme="majorHAnsi" w:cs="Times New Roman"/>
          <w:u w:val="single"/>
        </w:rPr>
      </w:pPr>
      <w:r w:rsidRPr="0007129C">
        <w:rPr>
          <w:rFonts w:asciiTheme="majorHAnsi" w:hAnsiTheme="majorHAnsi" w:cs="Times New Roman"/>
          <w:u w:val="single"/>
        </w:rPr>
        <w:t>Zodpovednosť štatutárneho orgánu za účtovnú závierku</w:t>
      </w:r>
    </w:p>
    <w:p w:rsidR="00DC3674" w:rsidRPr="0007129C" w:rsidRDefault="00DC3674" w:rsidP="0007129C">
      <w:pPr>
        <w:pStyle w:val="Default"/>
        <w:spacing w:line="276" w:lineRule="auto"/>
        <w:jc w:val="both"/>
        <w:rPr>
          <w:rFonts w:asciiTheme="majorHAnsi" w:hAnsiTheme="majorHAnsi" w:cs="Times New Roman"/>
        </w:rPr>
      </w:pPr>
      <w:r w:rsidRPr="0007129C">
        <w:rPr>
          <w:rFonts w:asciiTheme="majorHAnsi" w:hAnsiTheme="majorHAnsi" w:cs="Times New Roman"/>
        </w:rPr>
        <w:t xml:space="preserve">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DC3674" w:rsidRPr="0007129C" w:rsidRDefault="00DC3674" w:rsidP="0007129C">
      <w:pPr>
        <w:pStyle w:val="Default"/>
        <w:spacing w:line="276" w:lineRule="auto"/>
        <w:jc w:val="both"/>
        <w:rPr>
          <w:rFonts w:asciiTheme="majorHAnsi" w:hAnsiTheme="majorHAnsi" w:cs="Times New Roman"/>
        </w:rPr>
      </w:pPr>
    </w:p>
    <w:p w:rsidR="00DC3674" w:rsidRDefault="00DC3674" w:rsidP="0007129C">
      <w:pPr>
        <w:pStyle w:val="Default"/>
        <w:spacing w:line="276" w:lineRule="auto"/>
        <w:jc w:val="both"/>
        <w:rPr>
          <w:rFonts w:asciiTheme="majorHAnsi" w:hAnsiTheme="majorHAnsi" w:cs="Times New Roman"/>
        </w:rPr>
      </w:pPr>
      <w:r w:rsidRPr="0007129C">
        <w:rPr>
          <w:rFonts w:asciiTheme="majorHAnsi" w:hAnsiTheme="majorHAnsi" w:cs="Times New Roman"/>
        </w:rPr>
        <w:t>Pri zostavovaní účtovnej závierky je štatutárny orgán zodpovedný za zhodnotenie sch</w:t>
      </w:r>
      <w:r w:rsidR="009D290A">
        <w:rPr>
          <w:rFonts w:asciiTheme="majorHAnsi" w:hAnsiTheme="majorHAnsi" w:cs="Times New Roman"/>
        </w:rPr>
        <w:t>opnosti občianskeho združenia</w:t>
      </w:r>
      <w:r w:rsidRPr="0007129C">
        <w:rPr>
          <w:rFonts w:asciiTheme="majorHAnsi" w:hAnsiTheme="majorHAnsi"/>
        </w:rPr>
        <w:t xml:space="preserve"> </w:t>
      </w:r>
      <w:r w:rsidRPr="0007129C">
        <w:rPr>
          <w:rFonts w:asciiTheme="majorHAnsi" w:hAnsiTheme="majorHAnsi" w:cs="Times New Roman"/>
        </w:rPr>
        <w:t>nepretržite pokračovať vo svojej činnosti, za opísanie skutočností týkajúcich sa nepretržitého pokračovania v činnosti, ak je to potrebné, a za použitie predpokladu nepretržitého pokračovania v činnosti v účtovníctve, ibaže by mal v úmy</w:t>
      </w:r>
      <w:r w:rsidR="009D290A">
        <w:rPr>
          <w:rFonts w:asciiTheme="majorHAnsi" w:hAnsiTheme="majorHAnsi" w:cs="Times New Roman"/>
        </w:rPr>
        <w:t>sle občianske združenia</w:t>
      </w:r>
      <w:r w:rsidRPr="0007129C">
        <w:rPr>
          <w:rFonts w:asciiTheme="majorHAnsi" w:hAnsiTheme="majorHAnsi" w:cs="Times New Roman"/>
        </w:rPr>
        <w:t xml:space="preserve"> zlikvidovať alebo ukončiť jej činnosť, alebo by nemal inú realistickú možnosť než tak urobiť. </w:t>
      </w:r>
    </w:p>
    <w:p w:rsidR="00ED3D25" w:rsidRPr="0007129C" w:rsidRDefault="00ED3D25" w:rsidP="0007129C">
      <w:pPr>
        <w:pStyle w:val="Default"/>
        <w:spacing w:line="276" w:lineRule="auto"/>
        <w:jc w:val="both"/>
        <w:rPr>
          <w:rFonts w:asciiTheme="majorHAnsi" w:hAnsiTheme="majorHAnsi" w:cs="Times New Roman"/>
        </w:rPr>
      </w:pPr>
    </w:p>
    <w:p w:rsidR="00DC3674" w:rsidRPr="0007129C" w:rsidRDefault="00DC3674" w:rsidP="0007129C">
      <w:pPr>
        <w:pStyle w:val="Default"/>
        <w:spacing w:line="276" w:lineRule="auto"/>
        <w:rPr>
          <w:rFonts w:asciiTheme="majorHAnsi" w:hAnsiTheme="majorHAnsi" w:cs="Times New Roman"/>
          <w:bCs/>
          <w:u w:val="single"/>
        </w:rPr>
      </w:pPr>
      <w:r w:rsidRPr="0007129C">
        <w:rPr>
          <w:rFonts w:asciiTheme="majorHAnsi" w:hAnsiTheme="majorHAnsi" w:cs="Times New Roman"/>
          <w:bCs/>
          <w:u w:val="single"/>
        </w:rPr>
        <w:t>Zodpovednosť audítora</w:t>
      </w:r>
      <w:r w:rsidRPr="0007129C">
        <w:rPr>
          <w:rStyle w:val="Odkaznapoznmkupodiarou"/>
          <w:rFonts w:asciiTheme="majorHAnsi" w:hAnsiTheme="majorHAnsi" w:cs="Times New Roman"/>
          <w:bCs/>
          <w:u w:val="single"/>
        </w:rPr>
        <w:footnoteReference w:id="1"/>
      </w:r>
      <w:r w:rsidRPr="0007129C">
        <w:rPr>
          <w:rFonts w:asciiTheme="majorHAnsi" w:hAnsiTheme="majorHAnsi" w:cs="Times New Roman"/>
          <w:bCs/>
          <w:u w:val="single"/>
        </w:rPr>
        <w:t xml:space="preserve"> za audit účtovnej závierky</w:t>
      </w:r>
    </w:p>
    <w:p w:rsidR="00DC3674" w:rsidRPr="0007129C" w:rsidRDefault="00DC3674" w:rsidP="0007129C">
      <w:pPr>
        <w:pStyle w:val="Default"/>
        <w:spacing w:line="276" w:lineRule="auto"/>
        <w:jc w:val="both"/>
        <w:rPr>
          <w:rFonts w:asciiTheme="majorHAnsi" w:hAnsiTheme="majorHAnsi" w:cs="Times New Roman"/>
          <w:bCs/>
        </w:rPr>
      </w:pPr>
      <w:r w:rsidRPr="0007129C">
        <w:rPr>
          <w:rFonts w:asciiTheme="majorHAnsi" w:hAnsiTheme="majorHAnsi" w:cs="Times New Roman"/>
          <w:bCs/>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w:t>
      </w:r>
      <w:r w:rsidRPr="0007129C">
        <w:rPr>
          <w:rFonts w:asciiTheme="majorHAnsi" w:hAnsiTheme="majorHAnsi" w:cs="Times New Roman"/>
          <w:bCs/>
        </w:rPr>
        <w:lastRenderedPageBreak/>
        <w:t xml:space="preserve">dôsledku podvodu alebo chyby a za významné sa považujú vtedy, ak by sa dalo odôvodnene očakávať, že jednotlivo alebo v súhrne by mohli ovplyvniť ekonomické rozhodnutia používateľov, uskutočnené na základe tejto účtovnej závierky. </w:t>
      </w:r>
    </w:p>
    <w:p w:rsidR="00DC3674" w:rsidRPr="0007129C" w:rsidRDefault="00DC3674" w:rsidP="0007129C">
      <w:pPr>
        <w:pStyle w:val="Default"/>
        <w:spacing w:line="276" w:lineRule="auto"/>
        <w:rPr>
          <w:rFonts w:asciiTheme="majorHAnsi" w:hAnsiTheme="majorHAnsi" w:cs="Times New Roman"/>
          <w:sz w:val="22"/>
          <w:szCs w:val="22"/>
        </w:rPr>
      </w:pPr>
    </w:p>
    <w:p w:rsidR="00DC3674" w:rsidRPr="0007129C" w:rsidRDefault="00DC3674" w:rsidP="0007129C">
      <w:pPr>
        <w:jc w:val="both"/>
        <w:rPr>
          <w:rFonts w:asciiTheme="majorHAnsi" w:hAnsiTheme="majorHAnsi"/>
          <w:sz w:val="24"/>
          <w:szCs w:val="24"/>
        </w:rPr>
      </w:pPr>
      <w:r w:rsidRPr="0007129C">
        <w:rPr>
          <w:rFonts w:asciiTheme="majorHAnsi" w:hAnsiTheme="majorHAnsi"/>
          <w:sz w:val="24"/>
          <w:szCs w:val="24"/>
        </w:rPr>
        <w:t xml:space="preserve">V rámci auditu uskutočneného podľa medzinárodných audítorských štandardov, počas celého auditu uplatňujeme odborný úsudok a zachovávame  profesionálny skepticizmus. Okrem toho: </w:t>
      </w:r>
    </w:p>
    <w:p w:rsidR="00DC3674" w:rsidRPr="0007129C" w:rsidRDefault="00DC3674" w:rsidP="0007129C">
      <w:pPr>
        <w:pStyle w:val="Odsekzoznamu"/>
        <w:numPr>
          <w:ilvl w:val="0"/>
          <w:numId w:val="4"/>
        </w:numPr>
        <w:spacing w:after="0"/>
        <w:jc w:val="both"/>
        <w:rPr>
          <w:rFonts w:asciiTheme="majorHAnsi" w:hAnsiTheme="majorHAnsi"/>
          <w:sz w:val="24"/>
          <w:szCs w:val="24"/>
        </w:rPr>
      </w:pPr>
      <w:r w:rsidRPr="0007129C">
        <w:rPr>
          <w:rFonts w:asciiTheme="majorHAnsi" w:hAnsiTheme="majorHAnsi"/>
          <w:sz w:val="24"/>
          <w:szCs w:val="24"/>
        </w:rPr>
        <w:t xml:space="preserve">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 Riziko neodhalenia významnej nesprávnosti v dôsledku podvodu je vyššie ako toto riziko v dôsledku chyby, pretože podvod môže zahŕňať tajnú dohodu, falšovanie, úmyselné vynechanie, nepravdivé vyhlásenie alebo obídenie internej kontroly. </w:t>
      </w:r>
    </w:p>
    <w:p w:rsidR="00DC3674" w:rsidRPr="0007129C" w:rsidRDefault="00DC3674" w:rsidP="0007129C">
      <w:pPr>
        <w:pStyle w:val="Odsekzoznamu"/>
        <w:numPr>
          <w:ilvl w:val="0"/>
          <w:numId w:val="4"/>
        </w:numPr>
        <w:spacing w:after="0"/>
        <w:jc w:val="both"/>
        <w:rPr>
          <w:rFonts w:asciiTheme="majorHAnsi" w:hAnsiTheme="majorHAnsi"/>
          <w:sz w:val="24"/>
          <w:szCs w:val="24"/>
        </w:rPr>
      </w:pPr>
      <w:r w:rsidRPr="0007129C">
        <w:rPr>
          <w:rFonts w:asciiTheme="majorHAnsi" w:hAnsiTheme="majorHAnsi"/>
          <w:sz w:val="24"/>
          <w:szCs w:val="24"/>
        </w:rPr>
        <w:t>Oboznamujeme sa s internými kontrolami relevantnými pre audit, aby sme mohli navrhnúť audítorské postupy vhodné za daných okolností, ale nie za účelom vyjadrenia názoru na efektívnosť interný</w:t>
      </w:r>
      <w:r w:rsidR="00C81B3F">
        <w:rPr>
          <w:rFonts w:asciiTheme="majorHAnsi" w:hAnsiTheme="majorHAnsi"/>
          <w:sz w:val="24"/>
          <w:szCs w:val="24"/>
        </w:rPr>
        <w:t>ch kontrol občianskeho združenia</w:t>
      </w:r>
      <w:r w:rsidRPr="0007129C">
        <w:rPr>
          <w:rFonts w:asciiTheme="majorHAnsi" w:hAnsiTheme="majorHAnsi"/>
          <w:sz w:val="24"/>
          <w:szCs w:val="24"/>
        </w:rPr>
        <w:t>.</w:t>
      </w:r>
    </w:p>
    <w:p w:rsidR="00DC3674" w:rsidRPr="0007129C" w:rsidRDefault="00DC3674" w:rsidP="0007129C">
      <w:pPr>
        <w:pStyle w:val="Odsekzoznamu"/>
        <w:numPr>
          <w:ilvl w:val="0"/>
          <w:numId w:val="4"/>
        </w:numPr>
        <w:spacing w:after="0"/>
        <w:jc w:val="both"/>
        <w:rPr>
          <w:rFonts w:asciiTheme="majorHAnsi" w:hAnsiTheme="majorHAnsi"/>
          <w:sz w:val="24"/>
          <w:szCs w:val="24"/>
        </w:rPr>
      </w:pPr>
      <w:r w:rsidRPr="0007129C">
        <w:rPr>
          <w:rFonts w:asciiTheme="majorHAnsi" w:hAnsiTheme="majorHAnsi"/>
          <w:sz w:val="24"/>
          <w:szCs w:val="24"/>
        </w:rPr>
        <w:t>Hodnotíme vhodnosť použitých účtovných zásad a účtovných metód a primeranosť účtovných odhadov a uvedenie s nimi súvisiacich informácií, uskutočnené štatutárnym orgánom.</w:t>
      </w:r>
    </w:p>
    <w:p w:rsidR="00DC3674" w:rsidRPr="0007129C" w:rsidRDefault="00DC3674" w:rsidP="0007129C">
      <w:pPr>
        <w:pStyle w:val="Odsekzoznamu"/>
        <w:numPr>
          <w:ilvl w:val="0"/>
          <w:numId w:val="4"/>
        </w:numPr>
        <w:spacing w:after="0"/>
        <w:jc w:val="both"/>
        <w:rPr>
          <w:rFonts w:asciiTheme="majorHAnsi" w:hAnsiTheme="majorHAnsi"/>
          <w:sz w:val="24"/>
          <w:szCs w:val="24"/>
        </w:rPr>
      </w:pPr>
      <w:r w:rsidRPr="0007129C">
        <w:rPr>
          <w:rFonts w:asciiTheme="majorHAnsi" w:hAnsiTheme="majorHAnsi"/>
          <w:sz w:val="24"/>
          <w:szCs w:val="24"/>
        </w:rPr>
        <w:t xml:space="preserve">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w:t>
      </w:r>
      <w:r w:rsidR="00C81B3F">
        <w:rPr>
          <w:rFonts w:asciiTheme="majorHAnsi" w:hAnsiTheme="majorHAnsi"/>
          <w:sz w:val="24"/>
          <w:szCs w:val="24"/>
        </w:rPr>
        <w:t>spochybniť schopnosť občianskeho združenia</w:t>
      </w:r>
      <w:r w:rsidRPr="0007129C">
        <w:rPr>
          <w:rFonts w:asciiTheme="majorHAnsi" w:hAnsiTheme="majorHAnsi"/>
          <w:sz w:val="24"/>
          <w:szCs w:val="24"/>
        </w:rPr>
        <w:t xml:space="preserve"> nepretržite pokračovať v činnosti. Ak dospejeme k záveru, že významná neistota existuje, sme povinní upozorniť v našej správe audítora na súvisiace informácie uvedené v účtovnej závierke alebo, ak sú tieto informácie nedostatočné, modifikovať náš názor. Naše závery vychádzajú z audítorských dôkazov získaných do dátumu vydania našej správy audítora. Budúce udalosti alebo okolnosti v</w:t>
      </w:r>
      <w:r w:rsidR="00C81B3F">
        <w:rPr>
          <w:rFonts w:asciiTheme="majorHAnsi" w:hAnsiTheme="majorHAnsi"/>
          <w:sz w:val="24"/>
          <w:szCs w:val="24"/>
        </w:rPr>
        <w:t>šak môžu spôsobiť, že občianske združenie</w:t>
      </w:r>
      <w:r w:rsidRPr="0007129C">
        <w:rPr>
          <w:rFonts w:asciiTheme="majorHAnsi" w:hAnsiTheme="majorHAnsi"/>
          <w:sz w:val="24"/>
          <w:szCs w:val="24"/>
        </w:rPr>
        <w:t xml:space="preserve"> prestane pokračovať v nepretržitej činnosti.</w:t>
      </w:r>
    </w:p>
    <w:p w:rsidR="00DC3674" w:rsidRDefault="00DC3674" w:rsidP="0007129C">
      <w:pPr>
        <w:pStyle w:val="Odsekzoznamu"/>
        <w:numPr>
          <w:ilvl w:val="0"/>
          <w:numId w:val="3"/>
        </w:numPr>
        <w:spacing w:after="0"/>
        <w:jc w:val="both"/>
        <w:rPr>
          <w:rFonts w:asciiTheme="majorHAnsi" w:hAnsiTheme="majorHAnsi"/>
          <w:sz w:val="24"/>
          <w:szCs w:val="24"/>
        </w:rPr>
      </w:pPr>
      <w:r w:rsidRPr="0007129C">
        <w:rPr>
          <w:rFonts w:asciiTheme="majorHAnsi" w:hAnsiTheme="majorHAnsi"/>
          <w:sz w:val="24"/>
          <w:szCs w:val="24"/>
        </w:rPr>
        <w:t>Hodnotíme celkovú prezentáciu, štruktúru a obsah účtovnej závierky vrátane informácií v nej uvedených, ako aj to, či účtovná závierka zachytáva uskutočnené transakcie a udalosti spôsobom, ktorý vedie k ich vernému zobrazeniu.</w:t>
      </w:r>
    </w:p>
    <w:p w:rsidR="002851BC" w:rsidRPr="0007129C" w:rsidRDefault="002851BC" w:rsidP="002851BC">
      <w:pPr>
        <w:pStyle w:val="Odsekzoznamu"/>
        <w:spacing w:after="0"/>
        <w:jc w:val="both"/>
        <w:rPr>
          <w:rFonts w:asciiTheme="majorHAnsi" w:hAnsiTheme="majorHAnsi"/>
          <w:sz w:val="24"/>
          <w:szCs w:val="24"/>
        </w:rPr>
      </w:pPr>
    </w:p>
    <w:p w:rsidR="00DC3674" w:rsidRPr="0007129C" w:rsidRDefault="00522077" w:rsidP="0007129C">
      <w:pPr>
        <w:pStyle w:val="level2"/>
        <w:widowControl w:val="0"/>
        <w:tabs>
          <w:tab w:val="clear" w:pos="576"/>
          <w:tab w:val="left" w:pos="0"/>
        </w:tabs>
        <w:spacing w:after="240" w:line="276" w:lineRule="auto"/>
        <w:ind w:left="0" w:firstLine="0"/>
        <w:rPr>
          <w:rFonts w:asciiTheme="majorHAnsi" w:hAnsiTheme="majorHAnsi"/>
          <w:b/>
          <w:sz w:val="24"/>
          <w:szCs w:val="24"/>
          <w:lang w:val="sk-SK"/>
        </w:rPr>
      </w:pPr>
      <w:proofErr w:type="spellStart"/>
      <w:r>
        <w:rPr>
          <w:rFonts w:asciiTheme="majorHAnsi" w:hAnsiTheme="majorHAnsi"/>
          <w:b/>
          <w:sz w:val="24"/>
          <w:szCs w:val="24"/>
          <w:lang w:val="sk-SK"/>
        </w:rPr>
        <w:t>ll</w:t>
      </w:r>
      <w:proofErr w:type="spellEnd"/>
      <w:r>
        <w:rPr>
          <w:rFonts w:asciiTheme="majorHAnsi" w:hAnsiTheme="majorHAnsi"/>
          <w:b/>
          <w:sz w:val="24"/>
          <w:szCs w:val="24"/>
          <w:lang w:val="sk-SK"/>
        </w:rPr>
        <w:t xml:space="preserve">. </w:t>
      </w:r>
      <w:r w:rsidR="00DC3674" w:rsidRPr="0007129C">
        <w:rPr>
          <w:rFonts w:asciiTheme="majorHAnsi" w:hAnsiTheme="majorHAnsi"/>
          <w:b/>
          <w:sz w:val="24"/>
          <w:szCs w:val="24"/>
          <w:lang w:val="sk-SK"/>
        </w:rPr>
        <w:t>Správa k ďalším požiadavkám zákonov a iných právnych predpisov</w:t>
      </w:r>
    </w:p>
    <w:p w:rsidR="00DC3674" w:rsidRPr="0007129C" w:rsidRDefault="00DC3674" w:rsidP="0007129C">
      <w:pPr>
        <w:pStyle w:val="Default"/>
        <w:spacing w:before="120" w:after="120" w:line="276" w:lineRule="auto"/>
        <w:jc w:val="both"/>
        <w:rPr>
          <w:rFonts w:asciiTheme="majorHAnsi" w:hAnsiTheme="majorHAnsi" w:cs="Times New Roman"/>
          <w:bCs/>
          <w:u w:val="single"/>
        </w:rPr>
      </w:pPr>
      <w:r w:rsidRPr="0007129C">
        <w:rPr>
          <w:rFonts w:asciiTheme="majorHAnsi" w:hAnsiTheme="majorHAnsi" w:cs="Times New Roman"/>
          <w:bCs/>
          <w:u w:val="single"/>
        </w:rPr>
        <w:t>Správa k informáciám, ktoré sa uvádzajú vo výročnej správe</w:t>
      </w:r>
    </w:p>
    <w:p w:rsidR="00DC3674" w:rsidRPr="0007129C" w:rsidRDefault="00DC3674" w:rsidP="0007129C">
      <w:pPr>
        <w:pStyle w:val="Default"/>
        <w:spacing w:before="120" w:after="120" w:line="276" w:lineRule="auto"/>
        <w:jc w:val="both"/>
        <w:rPr>
          <w:rFonts w:asciiTheme="majorHAnsi" w:hAnsiTheme="majorHAnsi" w:cs="Times New Roman"/>
          <w:bCs/>
        </w:rPr>
      </w:pPr>
      <w:r w:rsidRPr="0007129C">
        <w:rPr>
          <w:rFonts w:asciiTheme="majorHAnsi" w:hAnsiTheme="majorHAnsi" w:cs="Times New Roman"/>
          <w:bCs/>
        </w:rPr>
        <w:t xml:space="preserve">Štatutárny orgán je zodpovedný za informácie uvedené vo výročnej správe, zostavenej podľa požiadaviek zákona o účtovníctve. Náš vyššie uvedený názor na účtovnú závierku sa nevzťahuje na iné informácie vo výročnej správe. </w:t>
      </w:r>
    </w:p>
    <w:p w:rsidR="00DC3674" w:rsidRPr="0007129C" w:rsidRDefault="00DC3674" w:rsidP="0007129C">
      <w:pPr>
        <w:pStyle w:val="Default"/>
        <w:spacing w:before="120" w:after="120" w:line="276" w:lineRule="auto"/>
        <w:jc w:val="both"/>
        <w:rPr>
          <w:rFonts w:asciiTheme="majorHAnsi" w:hAnsiTheme="majorHAnsi" w:cs="Times New Roman"/>
          <w:bCs/>
        </w:rPr>
      </w:pPr>
      <w:r w:rsidRPr="0007129C">
        <w:rPr>
          <w:rFonts w:asciiTheme="majorHAnsi" w:hAnsiTheme="majorHAnsi" w:cs="Times New Roman"/>
          <w:bCs/>
        </w:rPr>
        <w:lastRenderedPageBreak/>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rsidR="00DC3674" w:rsidRPr="0007129C" w:rsidRDefault="00DC3674" w:rsidP="0007129C">
      <w:pPr>
        <w:pStyle w:val="Default"/>
        <w:spacing w:before="120" w:after="120" w:line="276" w:lineRule="auto"/>
        <w:jc w:val="both"/>
        <w:rPr>
          <w:rFonts w:asciiTheme="majorHAnsi" w:hAnsiTheme="majorHAnsi" w:cs="Times New Roman"/>
          <w:bCs/>
        </w:rPr>
      </w:pPr>
      <w:r w:rsidRPr="0007129C">
        <w:rPr>
          <w:rFonts w:asciiTheme="majorHAnsi" w:hAnsiTheme="majorHAnsi" w:cs="Times New Roman"/>
          <w:bCs/>
        </w:rPr>
        <w:t>Posúdili sm</w:t>
      </w:r>
      <w:r w:rsidR="00C81B3F">
        <w:rPr>
          <w:rFonts w:asciiTheme="majorHAnsi" w:hAnsiTheme="majorHAnsi" w:cs="Times New Roman"/>
          <w:bCs/>
        </w:rPr>
        <w:t>e, či výročná správa občianskeho združenia</w:t>
      </w:r>
      <w:r w:rsidRPr="0007129C">
        <w:rPr>
          <w:rFonts w:asciiTheme="majorHAnsi" w:hAnsiTheme="majorHAnsi" w:cs="Times New Roman"/>
          <w:bCs/>
        </w:rPr>
        <w:t xml:space="preserve"> obsahuje informácie, ktorých uvedenie vyžaduje zákon o účtovníctve.</w:t>
      </w:r>
    </w:p>
    <w:p w:rsidR="00DC3674" w:rsidRPr="0007129C" w:rsidRDefault="00DC3674" w:rsidP="0007129C">
      <w:pPr>
        <w:pStyle w:val="Default"/>
        <w:spacing w:before="120" w:after="120" w:line="276" w:lineRule="auto"/>
        <w:jc w:val="both"/>
        <w:rPr>
          <w:rFonts w:asciiTheme="majorHAnsi" w:hAnsiTheme="majorHAnsi" w:cs="Times New Roman"/>
          <w:bCs/>
        </w:rPr>
      </w:pPr>
      <w:r w:rsidRPr="0007129C">
        <w:rPr>
          <w:rFonts w:asciiTheme="majorHAnsi" w:hAnsiTheme="majorHAnsi" w:cs="Times New Roman"/>
          <w:bCs/>
        </w:rPr>
        <w:t>Na základe prác vykonaných počas auditu účtovnej závierky, podľa nášho názoru:</w:t>
      </w:r>
    </w:p>
    <w:p w:rsidR="00DC3674" w:rsidRPr="0007129C" w:rsidRDefault="00DC3674" w:rsidP="0007129C">
      <w:pPr>
        <w:pStyle w:val="Default"/>
        <w:spacing w:before="120" w:after="120" w:line="276" w:lineRule="auto"/>
        <w:ind w:left="142" w:hanging="142"/>
        <w:jc w:val="both"/>
        <w:rPr>
          <w:rFonts w:asciiTheme="majorHAnsi" w:hAnsiTheme="majorHAnsi"/>
          <w:bCs/>
        </w:rPr>
      </w:pPr>
      <w:r w:rsidRPr="0007129C">
        <w:rPr>
          <w:rFonts w:asciiTheme="majorHAnsi" w:hAnsiTheme="majorHAnsi" w:cs="Times New Roman"/>
          <w:bCs/>
        </w:rPr>
        <w:t>- informácie uvedené vo výročnej správe zostavenej za rok 20</w:t>
      </w:r>
      <w:r w:rsidR="00FC1C86">
        <w:rPr>
          <w:rFonts w:asciiTheme="majorHAnsi" w:hAnsiTheme="majorHAnsi" w:cs="Times New Roman"/>
          <w:bCs/>
        </w:rPr>
        <w:t>2</w:t>
      </w:r>
      <w:r w:rsidR="00DD371D">
        <w:rPr>
          <w:rFonts w:asciiTheme="majorHAnsi" w:hAnsiTheme="majorHAnsi" w:cs="Times New Roman"/>
          <w:bCs/>
        </w:rPr>
        <w:t>3</w:t>
      </w:r>
      <w:r w:rsidRPr="0007129C">
        <w:rPr>
          <w:rFonts w:asciiTheme="majorHAnsi" w:hAnsiTheme="majorHAnsi" w:cs="Times New Roman"/>
          <w:bCs/>
        </w:rPr>
        <w:t xml:space="preserve"> sú v súlade s účtovnou závierkou za daný rok, </w:t>
      </w:r>
    </w:p>
    <w:p w:rsidR="00DC3674" w:rsidRPr="0007129C" w:rsidRDefault="00DC3674" w:rsidP="0007129C">
      <w:pPr>
        <w:pStyle w:val="Default"/>
        <w:spacing w:before="120" w:after="120" w:line="276" w:lineRule="auto"/>
        <w:jc w:val="both"/>
        <w:rPr>
          <w:rFonts w:asciiTheme="majorHAnsi" w:hAnsiTheme="majorHAnsi"/>
          <w:bCs/>
        </w:rPr>
      </w:pPr>
      <w:r w:rsidRPr="0007129C">
        <w:rPr>
          <w:rFonts w:asciiTheme="majorHAnsi" w:hAnsiTheme="majorHAnsi" w:cs="Times New Roman"/>
          <w:bCs/>
        </w:rPr>
        <w:t>- výročná správa obsahuje informácie podľa zákona o účtovníctve.</w:t>
      </w:r>
    </w:p>
    <w:p w:rsidR="00DC3674" w:rsidRPr="0007129C" w:rsidRDefault="00DC3674" w:rsidP="0007129C">
      <w:pPr>
        <w:pStyle w:val="Default"/>
        <w:spacing w:line="276" w:lineRule="auto"/>
        <w:jc w:val="both"/>
        <w:rPr>
          <w:rFonts w:asciiTheme="majorHAnsi" w:hAnsiTheme="majorHAnsi" w:cs="Times New Roman"/>
          <w:bCs/>
        </w:rPr>
      </w:pPr>
      <w:r w:rsidRPr="0007129C">
        <w:rPr>
          <w:rFonts w:asciiTheme="majorHAnsi" w:hAnsiTheme="majorHAnsi"/>
          <w:bCs/>
        </w:rPr>
        <w:t>Okrem toho, na základe našich poznatkov o účtovnej jednotke a situácii v nej, ktoré  sme získali počas auditu účtovnej závierky, sme povinní uviesť, či sme zistili významné nesprávnosti vo výročnej správe, ktorú sme obdržali pred dátumom vydania tejto správy audítora.</w:t>
      </w:r>
      <w:r w:rsidRPr="0007129C">
        <w:rPr>
          <w:rStyle w:val="Odkaznapoznmkupodiarou"/>
          <w:rFonts w:asciiTheme="majorHAnsi" w:hAnsiTheme="majorHAnsi"/>
        </w:rPr>
        <w:t xml:space="preserve"> </w:t>
      </w:r>
      <w:r w:rsidRPr="0007129C">
        <w:rPr>
          <w:rFonts w:asciiTheme="majorHAnsi" w:hAnsiTheme="majorHAnsi"/>
          <w:bCs/>
        </w:rPr>
        <w:t xml:space="preserve">V tejto súvislosti neexistujú zistenia, ktoré by sme mali uviesť. </w:t>
      </w:r>
    </w:p>
    <w:p w:rsidR="005B3EEA" w:rsidRDefault="005B3EEA" w:rsidP="0007129C">
      <w:pPr>
        <w:pStyle w:val="Default"/>
        <w:spacing w:line="276" w:lineRule="auto"/>
        <w:rPr>
          <w:rFonts w:asciiTheme="majorHAnsi" w:hAnsiTheme="majorHAnsi" w:cs="Times New Roman"/>
          <w:bCs/>
        </w:rPr>
      </w:pPr>
    </w:p>
    <w:p w:rsidR="00544594" w:rsidRDefault="00544594" w:rsidP="0007129C">
      <w:pPr>
        <w:autoSpaceDE w:val="0"/>
        <w:autoSpaceDN w:val="0"/>
        <w:adjustRightInd w:val="0"/>
        <w:spacing w:after="0"/>
        <w:rPr>
          <w:rFonts w:asciiTheme="majorHAnsi" w:hAnsiTheme="majorHAnsi" w:cstheme="minorHAnsi"/>
          <w:sz w:val="24"/>
          <w:szCs w:val="24"/>
        </w:rPr>
      </w:pPr>
    </w:p>
    <w:p w:rsidR="00544594" w:rsidRDefault="00544594" w:rsidP="0007129C">
      <w:pPr>
        <w:autoSpaceDE w:val="0"/>
        <w:autoSpaceDN w:val="0"/>
        <w:adjustRightInd w:val="0"/>
        <w:spacing w:after="0"/>
        <w:rPr>
          <w:rFonts w:asciiTheme="majorHAnsi" w:hAnsiTheme="majorHAnsi" w:cstheme="minorHAnsi"/>
          <w:sz w:val="24"/>
          <w:szCs w:val="24"/>
        </w:rPr>
      </w:pPr>
    </w:p>
    <w:p w:rsidR="00674E85" w:rsidRPr="0007129C" w:rsidRDefault="00CA3394" w:rsidP="0007129C">
      <w:pPr>
        <w:autoSpaceDE w:val="0"/>
        <w:autoSpaceDN w:val="0"/>
        <w:adjustRightInd w:val="0"/>
        <w:spacing w:after="0"/>
        <w:rPr>
          <w:rFonts w:asciiTheme="majorHAnsi" w:hAnsiTheme="majorHAnsi" w:cstheme="minorHAnsi"/>
          <w:sz w:val="24"/>
          <w:szCs w:val="24"/>
        </w:rPr>
      </w:pPr>
      <w:r w:rsidRPr="0007129C">
        <w:rPr>
          <w:rFonts w:asciiTheme="majorHAnsi" w:hAnsiTheme="majorHAnsi" w:cstheme="minorHAnsi"/>
          <w:sz w:val="24"/>
          <w:szCs w:val="24"/>
        </w:rPr>
        <w:t xml:space="preserve">V </w:t>
      </w:r>
      <w:r w:rsidR="0000352C" w:rsidRPr="006E6C37">
        <w:rPr>
          <w:rFonts w:asciiTheme="majorHAnsi" w:hAnsiTheme="majorHAnsi" w:cstheme="minorHAnsi"/>
          <w:sz w:val="24"/>
          <w:szCs w:val="24"/>
        </w:rPr>
        <w:t>Tvrdošín</w:t>
      </w:r>
      <w:r w:rsidR="00FC1C86" w:rsidRPr="006E6C37">
        <w:rPr>
          <w:rFonts w:asciiTheme="majorHAnsi" w:hAnsiTheme="majorHAnsi" w:cstheme="minorHAnsi"/>
          <w:sz w:val="24"/>
          <w:szCs w:val="24"/>
        </w:rPr>
        <w:t xml:space="preserve">e </w:t>
      </w:r>
      <w:r w:rsidR="00C05DC7" w:rsidRPr="006E6C37">
        <w:rPr>
          <w:rFonts w:asciiTheme="majorHAnsi" w:hAnsiTheme="majorHAnsi" w:cstheme="minorHAnsi"/>
          <w:sz w:val="24"/>
          <w:szCs w:val="24"/>
        </w:rPr>
        <w:t>22</w:t>
      </w:r>
      <w:r w:rsidR="00FC1C86" w:rsidRPr="006E6C37">
        <w:rPr>
          <w:rFonts w:asciiTheme="majorHAnsi" w:hAnsiTheme="majorHAnsi" w:cstheme="minorHAnsi"/>
          <w:sz w:val="24"/>
          <w:szCs w:val="24"/>
        </w:rPr>
        <w:t xml:space="preserve">. </w:t>
      </w:r>
      <w:r w:rsidR="005B4155" w:rsidRPr="006E6C37">
        <w:rPr>
          <w:rFonts w:asciiTheme="majorHAnsi" w:hAnsiTheme="majorHAnsi" w:cstheme="minorHAnsi"/>
          <w:sz w:val="24"/>
          <w:szCs w:val="24"/>
        </w:rPr>
        <w:t>November</w:t>
      </w:r>
      <w:r w:rsidR="009F6B80" w:rsidRPr="006E6C37">
        <w:rPr>
          <w:rFonts w:asciiTheme="majorHAnsi" w:hAnsiTheme="majorHAnsi" w:cstheme="minorHAnsi"/>
          <w:sz w:val="24"/>
          <w:szCs w:val="24"/>
        </w:rPr>
        <w:t xml:space="preserve"> 202</w:t>
      </w:r>
      <w:r w:rsidR="005B4155" w:rsidRPr="006E6C37">
        <w:rPr>
          <w:rFonts w:asciiTheme="majorHAnsi" w:hAnsiTheme="majorHAnsi" w:cstheme="minorHAnsi"/>
          <w:sz w:val="24"/>
          <w:szCs w:val="24"/>
        </w:rPr>
        <w:t>4</w:t>
      </w:r>
    </w:p>
    <w:p w:rsidR="002A14F9" w:rsidRDefault="002A14F9" w:rsidP="0007129C">
      <w:pPr>
        <w:autoSpaceDE w:val="0"/>
        <w:autoSpaceDN w:val="0"/>
        <w:adjustRightInd w:val="0"/>
        <w:spacing w:after="0"/>
        <w:rPr>
          <w:rFonts w:asciiTheme="majorHAnsi" w:hAnsiTheme="majorHAnsi" w:cstheme="minorHAnsi"/>
          <w:sz w:val="24"/>
          <w:szCs w:val="24"/>
        </w:rPr>
      </w:pPr>
      <w:bookmarkStart w:id="0" w:name="_GoBack"/>
      <w:bookmarkEnd w:id="0"/>
    </w:p>
    <w:p w:rsidR="00434ABD" w:rsidRDefault="00434ABD" w:rsidP="0007129C">
      <w:pPr>
        <w:autoSpaceDE w:val="0"/>
        <w:autoSpaceDN w:val="0"/>
        <w:adjustRightInd w:val="0"/>
        <w:spacing w:after="0"/>
        <w:rPr>
          <w:rFonts w:asciiTheme="majorHAnsi" w:hAnsiTheme="majorHAnsi" w:cstheme="minorHAnsi"/>
          <w:sz w:val="24"/>
          <w:szCs w:val="24"/>
        </w:rPr>
      </w:pPr>
    </w:p>
    <w:p w:rsidR="00434ABD" w:rsidRDefault="00434ABD" w:rsidP="0007129C">
      <w:pPr>
        <w:autoSpaceDE w:val="0"/>
        <w:autoSpaceDN w:val="0"/>
        <w:adjustRightInd w:val="0"/>
        <w:spacing w:after="0"/>
        <w:rPr>
          <w:rFonts w:asciiTheme="majorHAnsi" w:hAnsiTheme="majorHAnsi" w:cstheme="minorHAnsi"/>
          <w:sz w:val="24"/>
          <w:szCs w:val="24"/>
        </w:rPr>
      </w:pPr>
    </w:p>
    <w:p w:rsidR="002A14F9" w:rsidRPr="0007129C" w:rsidRDefault="0078194C" w:rsidP="0007129C">
      <w:pPr>
        <w:autoSpaceDE w:val="0"/>
        <w:autoSpaceDN w:val="0"/>
        <w:adjustRightInd w:val="0"/>
        <w:spacing w:after="0"/>
        <w:rPr>
          <w:rFonts w:asciiTheme="majorHAnsi" w:hAnsiTheme="majorHAnsi" w:cstheme="minorHAnsi"/>
          <w:b/>
          <w:sz w:val="24"/>
          <w:szCs w:val="24"/>
        </w:rPr>
      </w:pPr>
      <w:r>
        <w:rPr>
          <w:rFonts w:asciiTheme="majorHAnsi" w:hAnsiTheme="majorHAnsi" w:cstheme="minorHAnsi"/>
          <w:b/>
          <w:sz w:val="24"/>
          <w:szCs w:val="24"/>
        </w:rPr>
        <w:t>JUDr</w:t>
      </w:r>
      <w:r w:rsidR="00CA3394" w:rsidRPr="0007129C">
        <w:rPr>
          <w:rFonts w:asciiTheme="majorHAnsi" w:hAnsiTheme="majorHAnsi" w:cstheme="minorHAnsi"/>
          <w:b/>
          <w:sz w:val="24"/>
          <w:szCs w:val="24"/>
        </w:rPr>
        <w:t xml:space="preserve">. </w:t>
      </w:r>
      <w:r w:rsidR="002A14F9" w:rsidRPr="0007129C">
        <w:rPr>
          <w:rFonts w:asciiTheme="majorHAnsi" w:hAnsiTheme="majorHAnsi" w:cstheme="minorHAnsi"/>
          <w:b/>
          <w:sz w:val="24"/>
          <w:szCs w:val="24"/>
        </w:rPr>
        <w:t>Ing. Katarína Šašková</w:t>
      </w:r>
    </w:p>
    <w:p w:rsidR="002A14F9" w:rsidRPr="0007129C" w:rsidRDefault="002A14F9" w:rsidP="002A14F9">
      <w:pPr>
        <w:rPr>
          <w:rFonts w:asciiTheme="majorHAnsi" w:hAnsiTheme="majorHAnsi" w:cstheme="minorHAnsi"/>
          <w:sz w:val="24"/>
          <w:szCs w:val="24"/>
        </w:rPr>
      </w:pPr>
      <w:r w:rsidRPr="0007129C">
        <w:rPr>
          <w:rFonts w:asciiTheme="majorHAnsi" w:hAnsiTheme="majorHAnsi" w:cstheme="minorHAnsi"/>
          <w:sz w:val="24"/>
          <w:szCs w:val="24"/>
        </w:rPr>
        <w:t>Číslo licencie 959</w:t>
      </w:r>
    </w:p>
    <w:p w:rsidR="002A14F9" w:rsidRPr="001F3403" w:rsidRDefault="002A14F9" w:rsidP="002A14F9">
      <w:pPr>
        <w:spacing w:after="0" w:line="240" w:lineRule="auto"/>
        <w:rPr>
          <w:rFonts w:cstheme="minorHAnsi"/>
          <w:b/>
          <w:i/>
          <w:sz w:val="24"/>
          <w:szCs w:val="24"/>
        </w:rPr>
      </w:pPr>
      <w:r w:rsidRPr="001F3403">
        <w:rPr>
          <w:rFonts w:cstheme="minorHAnsi"/>
          <w:b/>
          <w:i/>
          <w:sz w:val="24"/>
          <w:szCs w:val="24"/>
        </w:rPr>
        <w:t>Adresa audítora</w:t>
      </w:r>
      <w:r w:rsidR="00CA3394">
        <w:rPr>
          <w:rFonts w:cstheme="minorHAnsi"/>
          <w:b/>
          <w:i/>
          <w:sz w:val="24"/>
          <w:szCs w:val="24"/>
        </w:rPr>
        <w:t>:</w:t>
      </w:r>
    </w:p>
    <w:p w:rsidR="002A14F9" w:rsidRPr="001F3403" w:rsidRDefault="00FC1C86" w:rsidP="002A14F9">
      <w:pPr>
        <w:spacing w:after="0" w:line="240" w:lineRule="auto"/>
        <w:rPr>
          <w:rFonts w:cstheme="minorHAnsi"/>
          <w:i/>
          <w:sz w:val="24"/>
          <w:szCs w:val="24"/>
        </w:rPr>
      </w:pPr>
      <w:r>
        <w:rPr>
          <w:rFonts w:cstheme="minorHAnsi"/>
          <w:i/>
          <w:sz w:val="24"/>
          <w:szCs w:val="24"/>
        </w:rPr>
        <w:t>Hríbiky</w:t>
      </w:r>
      <w:r w:rsidR="002A14F9" w:rsidRPr="001F3403">
        <w:rPr>
          <w:rFonts w:cstheme="minorHAnsi"/>
          <w:i/>
          <w:sz w:val="24"/>
          <w:szCs w:val="24"/>
        </w:rPr>
        <w:t xml:space="preserve"> 119</w:t>
      </w:r>
    </w:p>
    <w:p w:rsidR="00C871B4" w:rsidRDefault="002A14F9" w:rsidP="0007129C">
      <w:pPr>
        <w:spacing w:after="0" w:line="240" w:lineRule="auto"/>
        <w:rPr>
          <w:rFonts w:cstheme="minorHAnsi"/>
          <w:sz w:val="24"/>
          <w:szCs w:val="24"/>
        </w:rPr>
      </w:pPr>
      <w:r w:rsidRPr="001F3403">
        <w:rPr>
          <w:rFonts w:cstheme="minorHAnsi"/>
          <w:i/>
          <w:sz w:val="24"/>
          <w:szCs w:val="24"/>
        </w:rPr>
        <w:t>027 44 Tvrdošín</w:t>
      </w:r>
    </w:p>
    <w:sectPr w:rsidR="00C871B4" w:rsidSect="00531380">
      <w:headerReference w:type="default" r:id="rId8"/>
      <w:pgSz w:w="11906" w:h="16838"/>
      <w:pgMar w:top="1418"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0742" w:rsidRDefault="00340742" w:rsidP="005B3EEA">
      <w:pPr>
        <w:spacing w:after="0" w:line="240" w:lineRule="auto"/>
      </w:pPr>
      <w:r>
        <w:separator/>
      </w:r>
    </w:p>
  </w:endnote>
  <w:endnote w:type="continuationSeparator" w:id="0">
    <w:p w:rsidR="00340742" w:rsidRDefault="00340742" w:rsidP="005B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altName w:val="Palatino Linotype"/>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haroni">
    <w:charset w:val="B1"/>
    <w:family w:val="auto"/>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0742" w:rsidRDefault="00340742" w:rsidP="005B3EEA">
      <w:pPr>
        <w:spacing w:after="0" w:line="240" w:lineRule="auto"/>
      </w:pPr>
      <w:r>
        <w:separator/>
      </w:r>
    </w:p>
  </w:footnote>
  <w:footnote w:type="continuationSeparator" w:id="0">
    <w:p w:rsidR="00340742" w:rsidRDefault="00340742" w:rsidP="005B3EEA">
      <w:pPr>
        <w:spacing w:after="0" w:line="240" w:lineRule="auto"/>
      </w:pPr>
      <w:r>
        <w:continuationSeparator/>
      </w:r>
    </w:p>
  </w:footnote>
  <w:footnote w:id="1">
    <w:p w:rsidR="00DC3674" w:rsidRPr="00AA1213" w:rsidRDefault="00DC3674" w:rsidP="0007129C">
      <w:pPr>
        <w:pStyle w:val="Textpoznmkypodiarou"/>
        <w:tabs>
          <w:tab w:val="clear" w:pos="480"/>
          <w:tab w:val="left" w:pos="284"/>
        </w:tabs>
        <w:ind w:left="0" w:firstLine="0"/>
        <w:rPr>
          <w:lang w:val="sk-SK"/>
        </w:rPr>
      </w:pPr>
      <w:r>
        <w:rPr>
          <w:rStyle w:val="Odkaznapoznmkupodiarou"/>
        </w:rPr>
        <w:footnoteRef/>
      </w:r>
      <w:r>
        <w:t xml:space="preserve"> </w:t>
      </w:r>
      <w:r w:rsidRPr="00D45BBB">
        <w:t>P</w:t>
      </w:r>
      <w:r w:rsidRPr="001C6475">
        <w:t xml:space="preserve">od </w:t>
      </w:r>
      <w:r w:rsidRPr="0007129C">
        <w:rPr>
          <w:lang w:val="sk-SK"/>
        </w:rPr>
        <w:t xml:space="preserve">pojmom </w:t>
      </w:r>
      <w:r w:rsidRPr="0007129C">
        <w:rPr>
          <w:snapToGrid w:val="0"/>
          <w:lang w:val="sk-SK"/>
        </w:rPr>
        <w:t>„</w:t>
      </w:r>
      <w:proofErr w:type="gramStart"/>
      <w:r w:rsidRPr="0007129C">
        <w:rPr>
          <w:bCs/>
          <w:snapToGrid w:val="0"/>
          <w:lang w:val="sk-SK"/>
        </w:rPr>
        <w:t>audítor“</w:t>
      </w:r>
      <w:r w:rsidR="0007129C">
        <w:rPr>
          <w:bCs/>
          <w:snapToGrid w:val="0"/>
          <w:lang w:val="sk-SK"/>
        </w:rPr>
        <w:t xml:space="preserve"> </w:t>
      </w:r>
      <w:r w:rsidRPr="0007129C">
        <w:rPr>
          <w:bCs/>
          <w:snapToGrid w:val="0"/>
          <w:lang w:val="sk-SK"/>
        </w:rPr>
        <w:t>sa</w:t>
      </w:r>
      <w:proofErr w:type="gramEnd"/>
      <w:r w:rsidRPr="0007129C">
        <w:rPr>
          <w:bCs/>
          <w:snapToGrid w:val="0"/>
          <w:lang w:val="sk-SK"/>
        </w:rPr>
        <w:t xml:space="preserve"> rozumie „</w:t>
      </w:r>
      <w:r w:rsidRPr="0007129C">
        <w:rPr>
          <w:lang w:val="sk-SK"/>
        </w:rPr>
        <w:t xml:space="preserve">štatutárny audítor” alebo “audítorská spoločnosť” definovaní v §2, ods.2 a </w:t>
      </w:r>
      <w:r w:rsidR="0007129C" w:rsidRPr="0007129C">
        <w:rPr>
          <w:lang w:val="sk-SK"/>
        </w:rPr>
        <w:t xml:space="preserve">     </w:t>
      </w:r>
      <w:r w:rsidRPr="0007129C">
        <w:rPr>
          <w:lang w:val="sk-SK"/>
        </w:rPr>
        <w:t>3 zákona o štatutárnom audite</w:t>
      </w:r>
      <w:r w:rsidRPr="0007129C">
        <w:rPr>
          <w:sz w:val="24"/>
          <w:szCs w:val="24"/>
          <w:lang w:val="sk-SK"/>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0FBB" w:rsidRPr="00E7327E" w:rsidRDefault="00240FBB" w:rsidP="00240FBB">
    <w:pPr>
      <w:pStyle w:val="Hlavika"/>
      <w:rPr>
        <w:rFonts w:cs="Aharoni"/>
        <w:b/>
        <w:i/>
      </w:rPr>
    </w:pPr>
  </w:p>
  <w:p w:rsidR="00240FBB" w:rsidRPr="00E7327E" w:rsidRDefault="0078194C" w:rsidP="00240FBB">
    <w:pPr>
      <w:pStyle w:val="Hlavika"/>
      <w:rPr>
        <w:rFonts w:cs="Aharoni"/>
        <w:b/>
        <w:i/>
        <w:color w:val="A6A6A6" w:themeColor="background1" w:themeShade="A6"/>
      </w:rPr>
    </w:pPr>
    <w:r>
      <w:rPr>
        <w:rFonts w:cs="Aharoni"/>
        <w:b/>
        <w:i/>
        <w:color w:val="A6A6A6" w:themeColor="background1" w:themeShade="A6"/>
      </w:rPr>
      <w:t>JUDr</w:t>
    </w:r>
    <w:r w:rsidR="00240FBB" w:rsidRPr="00E7327E">
      <w:rPr>
        <w:rFonts w:cs="Aharoni"/>
        <w:b/>
        <w:i/>
        <w:color w:val="A6A6A6" w:themeColor="background1" w:themeShade="A6"/>
      </w:rPr>
      <w:t>. Ing. Katarína Šašková</w:t>
    </w:r>
  </w:p>
  <w:p w:rsidR="00240FBB" w:rsidRPr="00E7327E" w:rsidRDefault="00A9057D" w:rsidP="00240FBB">
    <w:pPr>
      <w:pStyle w:val="Hlavika"/>
      <w:rPr>
        <w:color w:val="A6A6A6" w:themeColor="background1" w:themeShade="A6"/>
      </w:rPr>
    </w:pPr>
    <w:r>
      <w:rPr>
        <w:rFonts w:cs="Aharoni"/>
        <w:i/>
        <w:color w:val="A6A6A6" w:themeColor="background1" w:themeShade="A6"/>
      </w:rPr>
      <w:t>Hríbiky</w:t>
    </w:r>
    <w:r w:rsidR="00240FBB" w:rsidRPr="00E7327E">
      <w:rPr>
        <w:rFonts w:cs="Aharoni"/>
        <w:i/>
        <w:color w:val="A6A6A6" w:themeColor="background1" w:themeShade="A6"/>
      </w:rPr>
      <w:t xml:space="preserve"> 119, 027 44 Tvrdošín</w:t>
    </w:r>
  </w:p>
  <w:p w:rsidR="00240FBB" w:rsidRPr="00E7327E" w:rsidRDefault="00240FBB" w:rsidP="00240FBB">
    <w:pPr>
      <w:pStyle w:val="Hlavika"/>
      <w:rPr>
        <w:rFonts w:cs="Aharoni"/>
        <w:i/>
        <w:color w:val="A6A6A6" w:themeColor="background1" w:themeShade="A6"/>
      </w:rPr>
    </w:pPr>
    <w:r w:rsidRPr="00E7327E">
      <w:rPr>
        <w:rFonts w:cs="Aharoni"/>
        <w:i/>
        <w:color w:val="A6A6A6" w:themeColor="background1" w:themeShade="A6"/>
      </w:rPr>
      <w:t>audítor, licencia UDVA č. 959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43D0B"/>
    <w:multiLevelType w:val="hybridMultilevel"/>
    <w:tmpl w:val="2C621932"/>
    <w:lvl w:ilvl="0" w:tplc="7A44F12E">
      <w:start w:val="85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12D2799"/>
    <w:multiLevelType w:val="hybridMultilevel"/>
    <w:tmpl w:val="A5089B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9EC24FC"/>
    <w:multiLevelType w:val="hybridMultilevel"/>
    <w:tmpl w:val="7B4EC7B8"/>
    <w:lvl w:ilvl="0" w:tplc="7EA64EB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EF971A1"/>
    <w:multiLevelType w:val="hybridMultilevel"/>
    <w:tmpl w:val="2B9EA26A"/>
    <w:lvl w:ilvl="0" w:tplc="58567692">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48F66BE"/>
    <w:multiLevelType w:val="hybridMultilevel"/>
    <w:tmpl w:val="723A8288"/>
    <w:lvl w:ilvl="0" w:tplc="80F25842">
      <w:start w:val="1"/>
      <w:numFmt w:val="upperRoman"/>
      <w:lvlText w:val="%1."/>
      <w:lvlJc w:val="left"/>
      <w:pPr>
        <w:ind w:left="1080" w:hanging="720"/>
      </w:pPr>
      <w:rPr>
        <w:rFonts w:eastAsiaTheme="minorEastAsia"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5"/>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E85"/>
    <w:rsid w:val="0000352C"/>
    <w:rsid w:val="00034DBA"/>
    <w:rsid w:val="0007129C"/>
    <w:rsid w:val="00096CAB"/>
    <w:rsid w:val="00110BB1"/>
    <w:rsid w:val="00110EDD"/>
    <w:rsid w:val="00115156"/>
    <w:rsid w:val="001318C7"/>
    <w:rsid w:val="001616E5"/>
    <w:rsid w:val="00192147"/>
    <w:rsid w:val="001C57E0"/>
    <w:rsid w:val="001D2982"/>
    <w:rsid w:val="001F2E8C"/>
    <w:rsid w:val="00201F15"/>
    <w:rsid w:val="00232C13"/>
    <w:rsid w:val="00240FBB"/>
    <w:rsid w:val="002851BC"/>
    <w:rsid w:val="00291798"/>
    <w:rsid w:val="002A14F9"/>
    <w:rsid w:val="003037B6"/>
    <w:rsid w:val="00340742"/>
    <w:rsid w:val="003516AA"/>
    <w:rsid w:val="00353955"/>
    <w:rsid w:val="00355E7C"/>
    <w:rsid w:val="003804CC"/>
    <w:rsid w:val="00382070"/>
    <w:rsid w:val="00394B83"/>
    <w:rsid w:val="0039552A"/>
    <w:rsid w:val="003B704D"/>
    <w:rsid w:val="003C01A4"/>
    <w:rsid w:val="003E61B2"/>
    <w:rsid w:val="00434ABD"/>
    <w:rsid w:val="0044780E"/>
    <w:rsid w:val="00450505"/>
    <w:rsid w:val="00495199"/>
    <w:rsid w:val="004C342E"/>
    <w:rsid w:val="004D7297"/>
    <w:rsid w:val="00522077"/>
    <w:rsid w:val="00531380"/>
    <w:rsid w:val="00544594"/>
    <w:rsid w:val="0058642B"/>
    <w:rsid w:val="005A1544"/>
    <w:rsid w:val="005A3AB4"/>
    <w:rsid w:val="005B3EEA"/>
    <w:rsid w:val="005B4155"/>
    <w:rsid w:val="005E3F04"/>
    <w:rsid w:val="00611298"/>
    <w:rsid w:val="006261B1"/>
    <w:rsid w:val="00645A4A"/>
    <w:rsid w:val="0067327F"/>
    <w:rsid w:val="00674DDB"/>
    <w:rsid w:val="00674E85"/>
    <w:rsid w:val="006917A5"/>
    <w:rsid w:val="006932CC"/>
    <w:rsid w:val="006B50B0"/>
    <w:rsid w:val="006E6C37"/>
    <w:rsid w:val="0070373B"/>
    <w:rsid w:val="00703818"/>
    <w:rsid w:val="007407D0"/>
    <w:rsid w:val="0078194C"/>
    <w:rsid w:val="00791251"/>
    <w:rsid w:val="00797673"/>
    <w:rsid w:val="007A239B"/>
    <w:rsid w:val="007C0355"/>
    <w:rsid w:val="007D3FD1"/>
    <w:rsid w:val="007E2D64"/>
    <w:rsid w:val="0080227A"/>
    <w:rsid w:val="008228B8"/>
    <w:rsid w:val="00853B8B"/>
    <w:rsid w:val="008909CA"/>
    <w:rsid w:val="008D50ED"/>
    <w:rsid w:val="008D68A8"/>
    <w:rsid w:val="008D78DE"/>
    <w:rsid w:val="008F327A"/>
    <w:rsid w:val="00936DDB"/>
    <w:rsid w:val="00980918"/>
    <w:rsid w:val="009A33F8"/>
    <w:rsid w:val="009B3B53"/>
    <w:rsid w:val="009D290A"/>
    <w:rsid w:val="009F6B80"/>
    <w:rsid w:val="00A01563"/>
    <w:rsid w:val="00A16B58"/>
    <w:rsid w:val="00A446B2"/>
    <w:rsid w:val="00A9057D"/>
    <w:rsid w:val="00A96149"/>
    <w:rsid w:val="00AD0FA8"/>
    <w:rsid w:val="00AD3A97"/>
    <w:rsid w:val="00AE6661"/>
    <w:rsid w:val="00AF73E9"/>
    <w:rsid w:val="00B1500D"/>
    <w:rsid w:val="00B871D0"/>
    <w:rsid w:val="00BA4C33"/>
    <w:rsid w:val="00BB1491"/>
    <w:rsid w:val="00BB48B0"/>
    <w:rsid w:val="00BB74B7"/>
    <w:rsid w:val="00BC3E42"/>
    <w:rsid w:val="00C05DC7"/>
    <w:rsid w:val="00C414A7"/>
    <w:rsid w:val="00C41885"/>
    <w:rsid w:val="00C53056"/>
    <w:rsid w:val="00C70F0A"/>
    <w:rsid w:val="00C81B3F"/>
    <w:rsid w:val="00C871B4"/>
    <w:rsid w:val="00CA3394"/>
    <w:rsid w:val="00CB26E6"/>
    <w:rsid w:val="00CD2E04"/>
    <w:rsid w:val="00CD2E65"/>
    <w:rsid w:val="00CE45A5"/>
    <w:rsid w:val="00D245A1"/>
    <w:rsid w:val="00D3633C"/>
    <w:rsid w:val="00D64BA9"/>
    <w:rsid w:val="00DA6753"/>
    <w:rsid w:val="00DC3674"/>
    <w:rsid w:val="00DD371D"/>
    <w:rsid w:val="00DF7581"/>
    <w:rsid w:val="00E32BF1"/>
    <w:rsid w:val="00EA1D05"/>
    <w:rsid w:val="00EB11FE"/>
    <w:rsid w:val="00EB79B6"/>
    <w:rsid w:val="00ED3445"/>
    <w:rsid w:val="00ED3D25"/>
    <w:rsid w:val="00F46787"/>
    <w:rsid w:val="00F7084C"/>
    <w:rsid w:val="00F75E38"/>
    <w:rsid w:val="00F95386"/>
    <w:rsid w:val="00FB61E0"/>
    <w:rsid w:val="00FC1C86"/>
    <w:rsid w:val="00FD4684"/>
    <w:rsid w:val="00FD5822"/>
    <w:rsid w:val="00FD6E0B"/>
    <w:rsid w:val="00FF5264"/>
    <w:rsid w:val="00FF5D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7CEA4E"/>
  <w15:docId w15:val="{34054CB5-140F-421C-8C9D-B52C61FE5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16E5"/>
  </w:style>
  <w:style w:type="paragraph" w:styleId="Nadpis1">
    <w:name w:val="heading 1"/>
    <w:basedOn w:val="Normlny"/>
    <w:next w:val="Normlny"/>
    <w:link w:val="Nadpis1Char"/>
    <w:uiPriority w:val="9"/>
    <w:qFormat/>
    <w:rsid w:val="001C57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C57E0"/>
    <w:rPr>
      <w:rFonts w:asciiTheme="majorHAnsi" w:eastAsiaTheme="majorEastAsia" w:hAnsiTheme="majorHAnsi" w:cstheme="majorBidi"/>
      <w:b/>
      <w:bCs/>
      <w:color w:val="365F91" w:themeColor="accent1" w:themeShade="BF"/>
      <w:sz w:val="28"/>
      <w:szCs w:val="28"/>
    </w:rPr>
  </w:style>
  <w:style w:type="paragraph" w:styleId="Odsekzoznamu">
    <w:name w:val="List Paragraph"/>
    <w:basedOn w:val="Normlny"/>
    <w:uiPriority w:val="34"/>
    <w:qFormat/>
    <w:rsid w:val="00C871B4"/>
    <w:pPr>
      <w:ind w:left="720"/>
      <w:contextualSpacing/>
    </w:pPr>
  </w:style>
  <w:style w:type="paragraph" w:styleId="Textbubliny">
    <w:name w:val="Balloon Text"/>
    <w:basedOn w:val="Normlny"/>
    <w:link w:val="TextbublinyChar"/>
    <w:uiPriority w:val="99"/>
    <w:semiHidden/>
    <w:unhideWhenUsed/>
    <w:rsid w:val="00EB11F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B11FE"/>
    <w:rPr>
      <w:rFonts w:ascii="Segoe UI" w:hAnsi="Segoe UI" w:cs="Segoe UI"/>
      <w:sz w:val="18"/>
      <w:szCs w:val="18"/>
    </w:rPr>
  </w:style>
  <w:style w:type="paragraph" w:customStyle="1" w:styleId="level2">
    <w:name w:val="level 2"/>
    <w:basedOn w:val="Normlny"/>
    <w:rsid w:val="005B3EEA"/>
    <w:pPr>
      <w:tabs>
        <w:tab w:val="right" w:pos="360"/>
        <w:tab w:val="left" w:pos="576"/>
      </w:tabs>
      <w:spacing w:before="120" w:after="120" w:line="220" w:lineRule="exact"/>
      <w:ind w:left="1008" w:hanging="432"/>
      <w:jc w:val="both"/>
    </w:pPr>
    <w:rPr>
      <w:rFonts w:ascii="Times New Roman" w:eastAsia="Times New Roman" w:hAnsi="Times New Roman" w:cs="Times New Roman"/>
      <w:kern w:val="8"/>
      <w:sz w:val="20"/>
      <w:szCs w:val="20"/>
      <w:lang w:val="en-US" w:eastAsia="en-US"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5B3EEA"/>
    <w:pPr>
      <w:tabs>
        <w:tab w:val="left" w:pos="480"/>
      </w:tabs>
      <w:spacing w:before="120" w:after="0" w:line="240" w:lineRule="exact"/>
      <w:ind w:left="480" w:hanging="480"/>
      <w:jc w:val="both"/>
    </w:pPr>
    <w:rPr>
      <w:rFonts w:ascii="Times New Roman" w:eastAsia="Times New Roman" w:hAnsi="Times New Roman" w:cs="Times New Roman"/>
      <w:kern w:val="8"/>
      <w:sz w:val="20"/>
      <w:szCs w:val="20"/>
      <w:lang w:val="en-US" w:eastAsia="en-US"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5B3EEA"/>
    <w:rPr>
      <w:rFonts w:ascii="Times New Roman" w:eastAsia="Times New Roman" w:hAnsi="Times New Roman" w:cs="Times New Roman"/>
      <w:kern w:val="8"/>
      <w:sz w:val="20"/>
      <w:szCs w:val="20"/>
      <w:lang w:val="en-US" w:eastAsia="en-US" w:bidi="he-IL"/>
    </w:rPr>
  </w:style>
  <w:style w:type="character" w:styleId="Odkaznapoznmkupodiarou">
    <w:name w:val="footnote reference"/>
    <w:rsid w:val="005B3EEA"/>
    <w:rPr>
      <w:vertAlign w:val="superscript"/>
    </w:rPr>
  </w:style>
  <w:style w:type="paragraph" w:customStyle="1" w:styleId="Default">
    <w:name w:val="Default"/>
    <w:rsid w:val="005B3EEA"/>
    <w:pPr>
      <w:autoSpaceDE w:val="0"/>
      <w:autoSpaceDN w:val="0"/>
      <w:adjustRightInd w:val="0"/>
      <w:spacing w:after="0" w:line="240" w:lineRule="auto"/>
    </w:pPr>
    <w:rPr>
      <w:rFonts w:ascii="Arial" w:eastAsia="Calibri" w:hAnsi="Arial" w:cs="Arial"/>
      <w:color w:val="000000"/>
      <w:sz w:val="24"/>
      <w:szCs w:val="24"/>
    </w:rPr>
  </w:style>
  <w:style w:type="paragraph" w:styleId="Hlavika">
    <w:name w:val="header"/>
    <w:basedOn w:val="Normlny"/>
    <w:link w:val="HlavikaChar"/>
    <w:unhideWhenUsed/>
    <w:rsid w:val="005B3EEA"/>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5B3EEA"/>
  </w:style>
  <w:style w:type="paragraph" w:styleId="Pta">
    <w:name w:val="footer"/>
    <w:basedOn w:val="Normlny"/>
    <w:link w:val="PtaChar"/>
    <w:uiPriority w:val="99"/>
    <w:unhideWhenUsed/>
    <w:rsid w:val="005B3EEA"/>
    <w:pPr>
      <w:tabs>
        <w:tab w:val="center" w:pos="4703"/>
        <w:tab w:val="right" w:pos="9406"/>
      </w:tabs>
      <w:spacing w:after="0" w:line="240" w:lineRule="auto"/>
    </w:pPr>
  </w:style>
  <w:style w:type="character" w:customStyle="1" w:styleId="PtaChar">
    <w:name w:val="Päta Char"/>
    <w:basedOn w:val="Predvolenpsmoodseku"/>
    <w:link w:val="Pta"/>
    <w:uiPriority w:val="99"/>
    <w:rsid w:val="005B3E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D5AC40-95A6-46ED-8C86-912A6B210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5</Pages>
  <Words>1346</Words>
  <Characters>7674</Characters>
  <Application>Microsoft Office Word</Application>
  <DocSecurity>0</DocSecurity>
  <Lines>63</Lines>
  <Paragraphs>18</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9002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SKACCOUNT</dc:creator>
  <cp:lastModifiedBy>katarina saskova</cp:lastModifiedBy>
  <cp:revision>21</cp:revision>
  <cp:lastPrinted>2023-12-07T09:46:00Z</cp:lastPrinted>
  <dcterms:created xsi:type="dcterms:W3CDTF">2018-07-10T18:11:00Z</dcterms:created>
  <dcterms:modified xsi:type="dcterms:W3CDTF">2024-11-24T18:56:00Z</dcterms:modified>
</cp:coreProperties>
</file>