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063B" w:rsidRDefault="00E1063B" w:rsidP="00E1063B">
      <w:pPr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konsolidovanej účtovnej závierky obce KLASOV</w:t>
      </w:r>
    </w:p>
    <w:p w:rsidR="00A90FD1" w:rsidRDefault="00A90FD1" w:rsidP="00A90FD1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2A1C4E">
        <w:rPr>
          <w:rFonts w:ascii="Arial" w:hAnsi="Arial" w:cs="Arial"/>
          <w:b/>
          <w:iCs/>
          <w:sz w:val="28"/>
          <w:szCs w:val="28"/>
        </w:rPr>
        <w:t>2023</w:t>
      </w:r>
    </w:p>
    <w:p w:rsidR="00A90FD1" w:rsidRDefault="00A90FD1" w:rsidP="00A90FD1">
      <w:pPr>
        <w:rPr>
          <w:rFonts w:ascii="Arial" w:hAnsi="Arial" w:cs="Arial"/>
          <w:sz w:val="20"/>
          <w:szCs w:val="20"/>
        </w:rPr>
      </w:pPr>
    </w:p>
    <w:p w:rsidR="00A90FD1" w:rsidRDefault="00A90FD1" w:rsidP="00A90FD1">
      <w:pPr>
        <w:rPr>
          <w:rFonts w:ascii="Arial" w:hAnsi="Arial" w:cs="Arial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</w:p>
    <w:p w:rsidR="00A90FD1" w:rsidRDefault="00A90FD1" w:rsidP="00A90FD1">
      <w:pPr>
        <w:numPr>
          <w:ilvl w:val="0"/>
          <w:numId w:val="3"/>
        </w:numPr>
        <w:spacing w:before="120"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Identifikačné údaje o konsolidujúcej účtovnej jednotke</w:t>
      </w:r>
    </w:p>
    <w:p w:rsidR="00A90FD1" w:rsidRDefault="00A90FD1" w:rsidP="00A90FD1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A90FD1" w:rsidTr="00A90F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KLASOV</w:t>
            </w:r>
          </w:p>
        </w:tc>
      </w:tr>
      <w:tr w:rsidR="00A90FD1" w:rsidTr="00A90F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00308102</w:t>
            </w:r>
          </w:p>
        </w:tc>
      </w:tr>
      <w:tr w:rsidR="00A90FD1" w:rsidTr="00A90F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951 53 Klasov 108</w:t>
            </w:r>
          </w:p>
        </w:tc>
      </w:tr>
      <w:tr w:rsidR="00A90FD1" w:rsidTr="00A90FD1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01.01.1991</w:t>
            </w:r>
          </w:p>
        </w:tc>
      </w:tr>
    </w:tbl>
    <w:p w:rsidR="00A90FD1" w:rsidRDefault="00A90FD1" w:rsidP="00A90FD1">
      <w:pPr>
        <w:spacing w:before="120"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</w:rPr>
        <w:t>Konsolidovaná účtovná závierka konsolidovaného celku OBCE KLASOV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  <w:bCs/>
        </w:rPr>
      </w:pPr>
    </w:p>
    <w:p w:rsidR="00A90FD1" w:rsidRDefault="00A90FD1" w:rsidP="00A90FD1">
      <w:pPr>
        <w:numPr>
          <w:ilvl w:val="0"/>
          <w:numId w:val="3"/>
        </w:numPr>
        <w:spacing w:before="120" w:after="120" w:line="240" w:lineRule="auto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bCs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1"/>
        <w:gridCol w:w="5284"/>
      </w:tblGrid>
      <w:tr w:rsidR="00A90FD1" w:rsidTr="00A90FD1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Ján B a l á z s </w:t>
            </w:r>
          </w:p>
        </w:tc>
      </w:tr>
      <w:tr w:rsidR="00A90FD1" w:rsidTr="00A90FD1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Lajos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Gyepes</w:t>
            </w:r>
            <w:proofErr w:type="spellEnd"/>
          </w:p>
        </w:tc>
      </w:tr>
      <w:tr w:rsidR="00A90FD1" w:rsidTr="00A90FD1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FD1" w:rsidTr="00A90FD1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Ladislav Varga, Ing.</w:t>
            </w:r>
          </w:p>
        </w:tc>
      </w:tr>
    </w:tbl>
    <w:p w:rsidR="00A90FD1" w:rsidRDefault="00A90FD1" w:rsidP="00A90FD1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A90FD1" w:rsidRDefault="00A90FD1" w:rsidP="00A90FD1">
      <w:pPr>
        <w:spacing w:before="120" w:after="1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Identifikačné údaje všetkých účtovných jednotiek konsolidovaného celku OBCE KLASOV sú uvedené v tabuľkovej časti </w:t>
      </w:r>
      <w:r>
        <w:rPr>
          <w:rFonts w:ascii="Arial" w:hAnsi="Arial" w:cs="Arial"/>
          <w:color w:val="0000CC"/>
        </w:rPr>
        <w:t>(tabuľka  č. 1)</w:t>
      </w:r>
      <w:r>
        <w:rPr>
          <w:rFonts w:ascii="Arial" w:hAnsi="Arial" w:cs="Arial"/>
        </w:rPr>
        <w:t xml:space="preserve"> poznámok konsolidovanej účtovnej závierky.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E1063B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</w:p>
    <w:p w:rsidR="00A90FD1" w:rsidRDefault="00E1063B" w:rsidP="00A90FD1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A90FD1">
        <w:rPr>
          <w:rFonts w:ascii="Arial" w:hAnsi="Arial" w:cs="Arial"/>
          <w:b/>
          <w:i/>
        </w:rPr>
        <w:t xml:space="preserve">. 1. Identifikačné údaje o konsolidovaných účtovných jednotkách – rozpočtových organizáciách </w:t>
      </w:r>
    </w:p>
    <w:p w:rsidR="00A90FD1" w:rsidRDefault="00A90FD1" w:rsidP="00A90FD1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15"/>
        <w:gridCol w:w="4500"/>
        <w:gridCol w:w="1041"/>
        <w:gridCol w:w="1839"/>
      </w:tblGrid>
      <w:tr w:rsidR="00A90FD1" w:rsidTr="00A90FD1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A90FD1" w:rsidTr="00A90FD1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951 53 Klasov 20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37865561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01.07.2002</w:t>
            </w:r>
          </w:p>
        </w:tc>
      </w:tr>
      <w:tr w:rsidR="00A90FD1" w:rsidTr="00A90FD1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A90FD1" w:rsidRDefault="00A90FD1" w:rsidP="00A90FD1">
      <w:pPr>
        <w:spacing w:before="120" w:after="120"/>
        <w:rPr>
          <w:rFonts w:ascii="Arial" w:hAnsi="Arial" w:cs="Arial"/>
          <w:b/>
          <w:i/>
          <w:sz w:val="20"/>
          <w:szCs w:val="20"/>
          <w:lang w:eastAsia="sk-SK"/>
        </w:rPr>
      </w:pPr>
    </w:p>
    <w:p w:rsidR="00A90FD1" w:rsidRDefault="00A90FD1" w:rsidP="00A90FD1">
      <w:pPr>
        <w:numPr>
          <w:ilvl w:val="0"/>
          <w:numId w:val="3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zamestnancoch konsolidovaného celku </w:t>
      </w:r>
    </w:p>
    <w:p w:rsidR="00A90FD1" w:rsidRDefault="00A90FD1" w:rsidP="00A90FD1">
      <w:pPr>
        <w:rPr>
          <w:rFonts w:ascii="Arial" w:hAnsi="Arial" w:cs="Arial"/>
          <w:b/>
          <w:i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1"/>
        <w:gridCol w:w="1989"/>
        <w:gridCol w:w="1989"/>
      </w:tblGrid>
      <w:tr w:rsidR="00A90FD1" w:rsidTr="00595166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0FD1" w:rsidRDefault="00595166" w:rsidP="002A1C4E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20</w:t>
            </w:r>
            <w:r w:rsidR="002A1C4E">
              <w:rPr>
                <w:color w:val="auto"/>
                <w:lang w:eastAsia="en-US"/>
              </w:rPr>
              <w:t>22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595166" w:rsidP="002A1C4E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202</w:t>
            </w:r>
            <w:r w:rsidR="002A1C4E">
              <w:rPr>
                <w:color w:val="auto"/>
                <w:lang w:eastAsia="en-US"/>
              </w:rPr>
              <w:t>3</w:t>
            </w:r>
          </w:p>
        </w:tc>
      </w:tr>
      <w:tr w:rsidR="00A90FD1" w:rsidTr="00595166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A90FD1" w:rsidRDefault="00595166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32,18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2A1C4E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35,1</w:t>
            </w:r>
          </w:p>
        </w:tc>
      </w:tr>
      <w:tr w:rsidR="00A90FD1" w:rsidTr="00A90FD1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A90FD1" w:rsidRDefault="00A90FD1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hideMark/>
          </w:tcPr>
          <w:p w:rsidR="00A90FD1" w:rsidRDefault="00A90FD1">
            <w:pPr>
              <w:pStyle w:val="odstavec"/>
              <w:spacing w:line="256" w:lineRule="auto"/>
              <w:rPr>
                <w:color w:val="auto"/>
                <w:lang w:eastAsia="en-US"/>
              </w:rPr>
            </w:pPr>
            <w:r>
              <w:rPr>
                <w:color w:val="auto"/>
                <w:lang w:eastAsia="en-US"/>
              </w:rPr>
              <w:t>3</w:t>
            </w:r>
          </w:p>
        </w:tc>
      </w:tr>
    </w:tbl>
    <w:p w:rsidR="00A90FD1" w:rsidRDefault="00A90FD1" w:rsidP="00A90FD1">
      <w:pPr>
        <w:spacing w:before="120" w:after="120"/>
        <w:rPr>
          <w:rFonts w:ascii="Arial" w:hAnsi="Arial" w:cs="Arial"/>
          <w:b/>
          <w:i/>
        </w:rPr>
      </w:pPr>
    </w:p>
    <w:p w:rsidR="00A90FD1" w:rsidRDefault="00A90FD1" w:rsidP="00A90FD1">
      <w:pPr>
        <w:pStyle w:val="Nadpis2"/>
      </w:pPr>
      <w:r>
        <w:t xml:space="preserve">Informácie o výsledku hospodárenia z dôvodu predaja majetku medzi účtovnými   jednotkami konsolidovaného celku </w:t>
      </w:r>
    </w:p>
    <w:p w:rsidR="00A90FD1" w:rsidRDefault="00A90FD1" w:rsidP="00A90FD1">
      <w:pPr>
        <w:spacing w:before="120"/>
        <w:ind w:left="42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priebehu </w:t>
      </w:r>
      <w:r w:rsidR="002A1C4E">
        <w:rPr>
          <w:rFonts w:ascii="Arial" w:hAnsi="Arial" w:cs="Arial"/>
        </w:rPr>
        <w:t>účtovného obdobia roku 2023</w:t>
      </w:r>
      <w:r>
        <w:rPr>
          <w:rFonts w:ascii="Arial" w:hAnsi="Arial" w:cs="Arial"/>
        </w:rPr>
        <w:t xml:space="preserve"> sa medzi účtovnými jednotkami konsolidovaného celku obce Klasov neuskutočnil nákup resp. predaj majetku.</w:t>
      </w:r>
    </w:p>
    <w:p w:rsidR="00A90FD1" w:rsidRDefault="00A90FD1" w:rsidP="00A90FD1">
      <w:pPr>
        <w:spacing w:before="120"/>
        <w:ind w:left="426"/>
        <w:jc w:val="both"/>
        <w:rPr>
          <w:rFonts w:ascii="Arial" w:hAnsi="Arial" w:cs="Arial"/>
        </w:rPr>
      </w:pPr>
    </w:p>
    <w:p w:rsidR="00A90FD1" w:rsidRDefault="00A90FD1" w:rsidP="00A90FD1">
      <w:pPr>
        <w:pStyle w:val="Nadpis2"/>
      </w:pPr>
      <w:r>
        <w:t>Informácie o účtovných zásadách a účtovných metódach</w:t>
      </w:r>
    </w:p>
    <w:p w:rsidR="00A90FD1" w:rsidRDefault="00A90FD1" w:rsidP="00A90FD1">
      <w:pPr>
        <w:pStyle w:val="abc"/>
      </w:pPr>
      <w:r>
        <w:t>Dlhodobý nehmotný a dlhodobý hmotný majetok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Zľava z ceny, ktorú poskytol dodávateľ k majetku sa účtuje ako zníženie nákladov na predaný alebo spotrebovaný majetok.</w:t>
      </w:r>
    </w:p>
    <w:p w:rsidR="00A90FD1" w:rsidRDefault="00A90FD1" w:rsidP="00A90FD1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O opravných položkách sa účtuje v prípade prechodného zníženia hodnoty majetku ku dňu, ku ktorému sa zostavuje účtovná závierka.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lastRenderedPageBreak/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>
        <w:rPr>
          <w:color w:val="auto"/>
        </w:rPr>
        <w:t>t.j</w:t>
      </w:r>
      <w:proofErr w:type="spellEnd"/>
      <w:r>
        <w:rPr>
          <w:color w:val="auto"/>
        </w:rPr>
        <w:t>. cenou, za ktorú by sa majetok obstaral v čase, keď sa o ňom účtuje.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</w:p>
    <w:p w:rsidR="00A90FD1" w:rsidRDefault="00A90FD1" w:rsidP="00A90FD1">
      <w:pPr>
        <w:pStyle w:val="abc"/>
      </w:pPr>
      <w:r>
        <w:t>Dlhodobý finančný majetok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Zásoby</w:t>
      </w:r>
    </w:p>
    <w:p w:rsidR="00A90FD1" w:rsidRDefault="00A90FD1" w:rsidP="00A90FD1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A90FD1" w:rsidRDefault="00A90FD1" w:rsidP="00A90FD1">
      <w:pPr>
        <w:pStyle w:val="abc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Zásoby vytvorené vlastnou činnosťou sa oceňujú vlastnými nákladmi. </w:t>
      </w:r>
    </w:p>
    <w:p w:rsidR="00A90FD1" w:rsidRDefault="00A90FD1" w:rsidP="00A90FD1">
      <w:pPr>
        <w:pStyle w:val="abc"/>
        <w:numPr>
          <w:ilvl w:val="0"/>
          <w:numId w:val="0"/>
        </w:numPr>
      </w:pPr>
      <w:r>
        <w:rPr>
          <w:b w:val="0"/>
        </w:rPr>
        <w:t>Toto ocenenie sa upravuje o zníženie</w:t>
      </w:r>
      <w:r>
        <w:t xml:space="preserve"> hodnoty zásob.</w:t>
      </w:r>
    </w:p>
    <w:p w:rsidR="00A90FD1" w:rsidRDefault="00A90FD1" w:rsidP="00A90FD1">
      <w:pPr>
        <w:pStyle w:val="abc"/>
      </w:pPr>
      <w:r>
        <w:t>Pohľadávky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rPr>
          <w:color w:val="auto"/>
        </w:rPr>
        <w:t>t.j</w:t>
      </w:r>
      <w:proofErr w:type="spellEnd"/>
      <w:r>
        <w:rPr>
          <w:color w:val="auto"/>
        </w:rPr>
        <w:t>. vrátane nákladov súvisiacich s obstaraním.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Opravná položka sa vytvára napr. k pohľadávkam po splatnosti a nedobytným pohľadávkam, kde existuje riziko nevymožiteľnosti pohľadávok.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Finančné účty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Peňažné prostriedky a ceniny sa oceňujú menovitou hodnotou.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Náklady budúcich období a príjmy budúcich období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Rezervy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Záväzky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Záväzky sa pri ich vzniku oceňujú menovitou hodnotou a pri ich prevzatí sa oceňujú obstarávacou cenou. 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Výdavky budúcich období a výnosy budúcich období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>Cudzia mena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lastRenderedPageBreak/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Zkladntext"/>
        <w:numPr>
          <w:ilvl w:val="0"/>
          <w:numId w:val="4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Zásady pre vykazovanie transferov.</w:t>
      </w:r>
    </w:p>
    <w:p w:rsidR="00A90FD1" w:rsidRDefault="00A90FD1" w:rsidP="00A90FD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90FD1" w:rsidRDefault="00A90FD1" w:rsidP="00A90FD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 nákladmi. </w:t>
      </w:r>
    </w:p>
    <w:p w:rsidR="00A90FD1" w:rsidRDefault="00A90FD1" w:rsidP="00A90FD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Bežný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 výdavkami. </w:t>
      </w:r>
    </w:p>
    <w:p w:rsidR="00A90FD1" w:rsidRDefault="00A90FD1" w:rsidP="00A90FD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cudzích subjektov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90FD1" w:rsidRDefault="00A90FD1" w:rsidP="00A90FD1">
      <w:pPr>
        <w:pStyle w:val="Zkladntext"/>
        <w:ind w:left="0"/>
        <w:rPr>
          <w:rFonts w:ascii="Arial" w:hAnsi="Arial" w:cs="Arial"/>
        </w:rPr>
      </w:pPr>
      <w:r>
        <w:rPr>
          <w:rFonts w:ascii="Arial" w:hAnsi="Arial" w:cs="Arial"/>
          <w:b/>
        </w:rPr>
        <w:t>Kapitálový transfer</w:t>
      </w:r>
      <w:r>
        <w:rPr>
          <w:rFonts w:ascii="Arial" w:hAnsi="Arial" w:cs="Arial"/>
        </w:rPr>
        <w:t xml:space="preserve"> od </w:t>
      </w:r>
      <w:r>
        <w:rPr>
          <w:rFonts w:ascii="Arial" w:hAnsi="Arial" w:cs="Arial"/>
          <w:u w:val="single"/>
        </w:rPr>
        <w:t>zriaďovateľa</w:t>
      </w:r>
      <w:r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abc"/>
      </w:pPr>
      <w:r>
        <w:t xml:space="preserve">Výnosy 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>O výnosoch z  poplatkov sa účtuje v časovej a vecnej súvislosti s vyrubením poplatkov (ak je účtovná jednotka výbercom poplatkov).</w:t>
      </w: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</w:t>
      </w: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A90FD1" w:rsidRDefault="00A90FD1" w:rsidP="00A90FD1">
      <w:pPr>
        <w:jc w:val="both"/>
        <w:rPr>
          <w:rFonts w:ascii="Arial" w:hAnsi="Arial" w:cs="Arial"/>
          <w:sz w:val="20"/>
          <w:szCs w:val="20"/>
        </w:rPr>
      </w:pPr>
    </w:p>
    <w:p w:rsidR="00A90FD1" w:rsidRDefault="00A90FD1" w:rsidP="00A90FD1">
      <w:pPr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Informácie o použitých metódach konsolidácie</w:t>
      </w:r>
    </w:p>
    <w:p w:rsidR="00A90FD1" w:rsidRDefault="00A90FD1" w:rsidP="00A90FD1">
      <w:pPr>
        <w:jc w:val="both"/>
        <w:rPr>
          <w:rFonts w:ascii="Arial" w:hAnsi="Arial" w:cs="Arial"/>
          <w:sz w:val="20"/>
          <w:szCs w:val="20"/>
        </w:rPr>
      </w:pPr>
    </w:p>
    <w:p w:rsidR="00A90FD1" w:rsidRDefault="00A90FD1" w:rsidP="00A90FD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Účtovné jednotky konsolidovaného celku OBCE KLASOV boli zahrnuté do konsolidovanej účtovnej závierky metódou konsolidácie uvedenou v nasledujúcom prehľade:. </w:t>
      </w:r>
    </w:p>
    <w:p w:rsidR="00A90FD1" w:rsidRDefault="00A90FD1" w:rsidP="00A90FD1">
      <w:pPr>
        <w:jc w:val="both"/>
        <w:rPr>
          <w:rFonts w:ascii="Arial" w:hAnsi="Arial" w:cs="Arial"/>
        </w:rPr>
      </w:pPr>
    </w:p>
    <w:tbl>
      <w:tblPr>
        <w:tblW w:w="993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9"/>
        <w:gridCol w:w="1302"/>
        <w:gridCol w:w="1560"/>
        <w:gridCol w:w="1629"/>
      </w:tblGrid>
      <w:tr w:rsidR="00A90FD1" w:rsidTr="00A90FD1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A90FD1" w:rsidRDefault="00A90FD1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A90FD1" w:rsidTr="00A90FD1">
        <w:tc>
          <w:tcPr>
            <w:tcW w:w="5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ZÁKLADNÁ ŠKOLA 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A90FD1" w:rsidRDefault="00A90FD1" w:rsidP="00A90FD1">
      <w:pPr>
        <w:spacing w:before="120" w:after="60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</w:rPr>
        <w:t xml:space="preserve">Metóda úplnej konsolidácie bola použitá pri dcérskej účtovnej jednotke.  </w:t>
      </w:r>
    </w:p>
    <w:p w:rsidR="00A90FD1" w:rsidRDefault="00A90FD1" w:rsidP="00A90FD1">
      <w:pPr>
        <w:autoSpaceDE w:val="0"/>
        <w:autoSpaceDN w:val="0"/>
        <w:adjustRightInd w:val="0"/>
        <w:rPr>
          <w:rFonts w:ascii="Arial" w:hAnsi="Arial" w:cs="Arial"/>
        </w:rPr>
      </w:pPr>
    </w:p>
    <w:p w:rsidR="00A90FD1" w:rsidRDefault="00A90FD1" w:rsidP="00A90FD1">
      <w:pPr>
        <w:numPr>
          <w:ilvl w:val="0"/>
          <w:numId w:val="5"/>
        </w:numPr>
        <w:spacing w:before="60" w:after="0" w:line="36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Konsolidácia medzivýsledku</w:t>
      </w:r>
    </w:p>
    <w:p w:rsidR="00A90FD1" w:rsidRDefault="00A90FD1" w:rsidP="00A90FD1">
      <w:pPr>
        <w:spacing w:before="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Konsolidácia medzivýsledku na úrovni obce nebola vykonaná, nakoľko nebol realizovaný žiadny predaj majetku a zásob medzi účtovnými jednotkami KC.</w:t>
      </w:r>
    </w:p>
    <w:p w:rsidR="00A90FD1" w:rsidRDefault="00A90FD1" w:rsidP="00A90FD1">
      <w:pPr>
        <w:rPr>
          <w:rFonts w:ascii="Arial" w:hAnsi="Arial" w:cs="Arial"/>
          <w:b/>
        </w:rPr>
      </w:pPr>
    </w:p>
    <w:p w:rsidR="00E1063B" w:rsidRDefault="00E1063B" w:rsidP="00A90FD1">
      <w:pPr>
        <w:jc w:val="center"/>
        <w:rPr>
          <w:rFonts w:ascii="Arial" w:hAnsi="Arial" w:cs="Arial"/>
          <w:b/>
          <w:sz w:val="24"/>
          <w:szCs w:val="24"/>
        </w:rPr>
      </w:pPr>
    </w:p>
    <w:p w:rsidR="00E1063B" w:rsidRDefault="00E1063B" w:rsidP="00A90FD1">
      <w:pPr>
        <w:jc w:val="center"/>
        <w:rPr>
          <w:rFonts w:ascii="Arial" w:hAnsi="Arial" w:cs="Arial"/>
          <w:b/>
          <w:sz w:val="24"/>
          <w:szCs w:val="24"/>
        </w:rPr>
      </w:pPr>
    </w:p>
    <w:p w:rsidR="00E1063B" w:rsidRDefault="00E1063B" w:rsidP="00A90FD1">
      <w:pPr>
        <w:jc w:val="center"/>
        <w:rPr>
          <w:rFonts w:ascii="Arial" w:hAnsi="Arial" w:cs="Arial"/>
          <w:b/>
          <w:sz w:val="24"/>
          <w:szCs w:val="24"/>
        </w:rPr>
      </w:pPr>
    </w:p>
    <w:p w:rsidR="00E1063B" w:rsidRDefault="00E1063B" w:rsidP="00A90FD1">
      <w:pPr>
        <w:jc w:val="center"/>
        <w:rPr>
          <w:rFonts w:ascii="Arial" w:hAnsi="Arial" w:cs="Arial"/>
          <w:b/>
          <w:sz w:val="24"/>
          <w:szCs w:val="24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Čl. III</w:t>
      </w:r>
    </w:p>
    <w:p w:rsidR="00A90FD1" w:rsidRDefault="00A90FD1" w:rsidP="00A90FD1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A90FD1" w:rsidRDefault="00A90FD1" w:rsidP="00A90FD1">
      <w:pPr>
        <w:numPr>
          <w:ilvl w:val="0"/>
          <w:numId w:val="6"/>
        </w:numPr>
        <w:spacing w:after="6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po konsolidovanom celku </w:t>
      </w:r>
    </w:p>
    <w:p w:rsidR="00A90FD1" w:rsidRPr="008A544A" w:rsidRDefault="00A90FD1" w:rsidP="00A90FD1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iCs/>
        </w:rPr>
        <w:t>Konsolidovaný celok OBEC KLASOV zahŕňa  jednu</w:t>
      </w:r>
      <w:r>
        <w:rPr>
          <w:rFonts w:ascii="Arial" w:hAnsi="Arial" w:cs="Arial"/>
          <w:iCs/>
          <w:color w:val="0000CC"/>
        </w:rPr>
        <w:t xml:space="preserve"> </w:t>
      </w:r>
      <w:r>
        <w:rPr>
          <w:rFonts w:ascii="Arial" w:hAnsi="Arial" w:cs="Arial"/>
          <w:iCs/>
          <w:color w:val="C00000"/>
        </w:rPr>
        <w:t xml:space="preserve"> </w:t>
      </w:r>
      <w:r>
        <w:rPr>
          <w:rFonts w:ascii="Arial" w:hAnsi="Arial" w:cs="Arial"/>
          <w:iCs/>
        </w:rPr>
        <w:t xml:space="preserve">rozpočtovú organizáciu. Identifikačné údaje o účtovných jednotkách konsolidovaného celku sú uvedené v tabuľkovej </w:t>
      </w:r>
      <w:r w:rsidRPr="008A544A">
        <w:rPr>
          <w:rFonts w:ascii="Arial" w:hAnsi="Arial" w:cs="Arial"/>
          <w:iCs/>
        </w:rPr>
        <w:t>časti (tabuľka č. 1).</w:t>
      </w:r>
    </w:p>
    <w:p w:rsidR="00A90FD1" w:rsidRDefault="00A90FD1" w:rsidP="00A90FD1">
      <w:pPr>
        <w:numPr>
          <w:ilvl w:val="0"/>
          <w:numId w:val="6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pohybe dlhodobého majetku</w:t>
      </w:r>
    </w:p>
    <w:p w:rsidR="00A90FD1" w:rsidRDefault="00A90FD1" w:rsidP="00A90FD1">
      <w:pPr>
        <w:pStyle w:val="odstavec"/>
        <w:rPr>
          <w:color w:val="auto"/>
        </w:rPr>
      </w:pPr>
      <w:r>
        <w:rPr>
          <w:b/>
          <w:color w:val="auto"/>
        </w:rPr>
        <w:t>a</w:t>
      </w:r>
      <w:r>
        <w:rPr>
          <w:b/>
          <w:color w:val="auto"/>
          <w:u w:val="single"/>
        </w:rPr>
        <w:t>) Prehľad o pohybe dlhodobého nehmotného a dlhodobého hmotného majetku</w:t>
      </w:r>
      <w:r>
        <w:rPr>
          <w:color w:val="auto"/>
        </w:rPr>
        <w:t xml:space="preserve"> od 1. </w:t>
      </w:r>
      <w:r w:rsidR="00595166">
        <w:rPr>
          <w:color w:val="auto"/>
        </w:rPr>
        <w:t>januára</w:t>
      </w:r>
      <w:r w:rsidR="006003B9">
        <w:rPr>
          <w:color w:val="auto"/>
        </w:rPr>
        <w:t xml:space="preserve"> 2023do 31. decembra 2023</w:t>
      </w:r>
      <w:r>
        <w:rPr>
          <w:color w:val="auto"/>
        </w:rPr>
        <w:t xml:space="preserve">je uvedený  v tabuľkovej časti  konsolidovaných poznámok (tabuľka č. 2). </w:t>
      </w: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pStyle w:val="odstavec"/>
        <w:rPr>
          <w:color w:val="auto"/>
        </w:rPr>
      </w:pPr>
    </w:p>
    <w:p w:rsidR="00A90FD1" w:rsidRDefault="00A90FD1" w:rsidP="00A90FD1">
      <w:pPr>
        <w:spacing w:before="60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</w:rPr>
        <w:t>b</w:t>
      </w:r>
      <w:r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A90FD1" w:rsidRDefault="00A90FD1" w:rsidP="00A90FD1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A90FD1" w:rsidTr="00A90FD1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A90FD1" w:rsidTr="00A90FD1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A90FD1" w:rsidTr="00A90FD1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bCs/>
              </w:rPr>
            </w:pPr>
          </w:p>
        </w:tc>
      </w:tr>
      <w:tr w:rsidR="00A90FD1" w:rsidTr="00A90FD1">
        <w:tc>
          <w:tcPr>
            <w:tcW w:w="22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A90FD1" w:rsidRDefault="00A90FD1" w:rsidP="00A90FD1">
      <w:pPr>
        <w:spacing w:before="120"/>
        <w:jc w:val="both"/>
        <w:rPr>
          <w:rFonts w:ascii="Arial" w:hAnsi="Arial" w:cs="Arial"/>
          <w:b/>
          <w:sz w:val="2"/>
          <w:szCs w:val="20"/>
        </w:rPr>
      </w:pPr>
    </w:p>
    <w:p w:rsidR="00A90FD1" w:rsidRDefault="00A90FD1" w:rsidP="00A90FD1">
      <w:pPr>
        <w:pStyle w:val="odstavec"/>
        <w:rPr>
          <w:i/>
          <w:color w:val="auto"/>
        </w:rPr>
      </w:pPr>
      <w:r>
        <w:rPr>
          <w:color w:val="auto"/>
        </w:rPr>
        <w:t>Dlhodobý  hmotný majetok je poistený pre prípad škôd spôsobených krádežou a živelnou pohromou až do výšky obstarávacej ceny.</w:t>
      </w:r>
    </w:p>
    <w:p w:rsidR="00A90FD1" w:rsidRDefault="00A90FD1" w:rsidP="00A90FD1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c) </w:t>
      </w:r>
      <w:r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>
        <w:rPr>
          <w:rFonts w:ascii="Arial" w:hAnsi="Arial" w:cs="Arial"/>
          <w:b/>
        </w:rPr>
        <w:t xml:space="preserve"> </w:t>
      </w:r>
    </w:p>
    <w:p w:rsidR="00A90FD1" w:rsidRDefault="00A90FD1" w:rsidP="00A90FD1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Záložné právo je zriadené na tieto nehnuteľnosti: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Nájomný bytový dom 20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prospech ŠFRB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Nájomný bytový dom 21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>. v prospech ŠFRB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Nájomný bytový dom 20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ZÓNE NOVÝ KLASOV I. v prospech MV SR</w:t>
      </w:r>
    </w:p>
    <w:p w:rsidR="00A90FD1" w:rsidRDefault="00A90FD1" w:rsidP="00A90FD1">
      <w:pPr>
        <w:pStyle w:val="odstavec"/>
        <w:rPr>
          <w:color w:val="auto"/>
        </w:rPr>
      </w:pPr>
      <w:r>
        <w:rPr>
          <w:color w:val="auto"/>
        </w:rPr>
        <w:t xml:space="preserve">Nájomný bytový dom 21 </w:t>
      </w:r>
      <w:proofErr w:type="spellStart"/>
      <w:r>
        <w:rPr>
          <w:color w:val="auto"/>
        </w:rPr>
        <w:t>bj</w:t>
      </w:r>
      <w:proofErr w:type="spellEnd"/>
      <w:r>
        <w:rPr>
          <w:color w:val="auto"/>
        </w:rPr>
        <w:t xml:space="preserve"> v ZÓNE NOVÝ KLASOV II. v prospech MV SR</w:t>
      </w:r>
    </w:p>
    <w:p w:rsidR="00A90FD1" w:rsidRDefault="00A90FD1" w:rsidP="00A90FD1">
      <w:pPr>
        <w:numPr>
          <w:ilvl w:val="0"/>
          <w:numId w:val="7"/>
        </w:numPr>
        <w:spacing w:before="120" w:after="0" w:line="240" w:lineRule="auto"/>
        <w:jc w:val="both"/>
        <w:rPr>
          <w:rFonts w:ascii="Arial" w:hAnsi="Arial" w:cs="Arial"/>
          <w:b/>
        </w:rPr>
      </w:pPr>
    </w:p>
    <w:p w:rsidR="00A90FD1" w:rsidRDefault="00A90FD1" w:rsidP="00A90FD1">
      <w:pPr>
        <w:numPr>
          <w:ilvl w:val="0"/>
          <w:numId w:val="7"/>
        </w:numPr>
        <w:spacing w:before="120"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pohybe krátkodobého a  dlhodobého finančného majetku</w:t>
      </w:r>
    </w:p>
    <w:p w:rsidR="00A90FD1" w:rsidRDefault="00A90FD1" w:rsidP="00A90FD1">
      <w:pPr>
        <w:spacing w:before="120"/>
        <w:jc w:val="both"/>
        <w:rPr>
          <w:rFonts w:ascii="Arial" w:hAnsi="Arial" w:cs="Arial"/>
        </w:rPr>
      </w:pPr>
    </w:p>
    <w:p w:rsidR="00A90FD1" w:rsidRDefault="00A90FD1" w:rsidP="00A90FD1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A90FD1" w:rsidTr="005951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0FD1" w:rsidRDefault="00A90F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0FD1" w:rsidRDefault="002A1C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0FD1" w:rsidRDefault="002A1C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31.12.2022</w:t>
            </w:r>
          </w:p>
        </w:tc>
      </w:tr>
      <w:tr w:rsidR="00A90FD1" w:rsidTr="005951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6187,19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166,76</w:t>
            </w:r>
          </w:p>
        </w:tc>
      </w:tr>
      <w:tr w:rsidR="00A90FD1" w:rsidTr="005951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49,50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31,50</w:t>
            </w:r>
          </w:p>
        </w:tc>
      </w:tr>
      <w:tr w:rsidR="00A90FD1" w:rsidTr="00595166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117370,76</w:t>
            </w:r>
          </w:p>
          <w:p w:rsidR="000A0940" w:rsidRDefault="000A094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2A1C4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45172,15</w:t>
            </w:r>
          </w:p>
        </w:tc>
      </w:tr>
    </w:tbl>
    <w:p w:rsidR="00A90FD1" w:rsidRDefault="00A90FD1" w:rsidP="00A90FD1">
      <w:pPr>
        <w:spacing w:before="120"/>
        <w:jc w:val="both"/>
        <w:rPr>
          <w:rFonts w:ascii="Arial" w:hAnsi="Arial" w:cs="Arial"/>
        </w:rPr>
      </w:pPr>
    </w:p>
    <w:p w:rsidR="00A90FD1" w:rsidRDefault="00A90FD1" w:rsidP="00A90FD1">
      <w:pPr>
        <w:spacing w:before="120"/>
        <w:jc w:val="both"/>
        <w:rPr>
          <w:rFonts w:ascii="Arial" w:hAnsi="Arial" w:cs="Arial"/>
        </w:rPr>
      </w:pPr>
    </w:p>
    <w:p w:rsidR="00A90FD1" w:rsidRDefault="00A90FD1" w:rsidP="00A90FD1">
      <w:pPr>
        <w:spacing w:before="120"/>
        <w:jc w:val="both"/>
        <w:rPr>
          <w:rFonts w:ascii="Arial" w:hAnsi="Arial" w:cs="Arial"/>
        </w:rPr>
      </w:pPr>
    </w:p>
    <w:p w:rsidR="00A90FD1" w:rsidRDefault="00A90FD1" w:rsidP="00A90FD1">
      <w:pPr>
        <w:spacing w:before="120" w:after="120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lastRenderedPageBreak/>
        <w:t>Realizovateľné cenné papiere v sume 240 660,69  € - tabuľka č. 4</w:t>
      </w:r>
    </w:p>
    <w:p w:rsidR="00A90FD1" w:rsidRDefault="00A90FD1" w:rsidP="00A90FD1">
      <w:pPr>
        <w:numPr>
          <w:ilvl w:val="0"/>
          <w:numId w:val="7"/>
        </w:numPr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zásobám</w:t>
      </w:r>
    </w:p>
    <w:p w:rsidR="00A90FD1" w:rsidRDefault="00A90FD1" w:rsidP="00A90FD1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Konsolidovaný celok v roku</w:t>
      </w:r>
      <w:r w:rsidR="002A1C4E">
        <w:rPr>
          <w:rFonts w:ascii="Arial" w:hAnsi="Arial" w:cs="Arial"/>
        </w:rPr>
        <w:t xml:space="preserve"> 2023</w:t>
      </w:r>
      <w:r>
        <w:rPr>
          <w:rFonts w:ascii="Arial" w:hAnsi="Arial" w:cs="Arial"/>
        </w:rPr>
        <w:t xml:space="preserve"> netvoril opravné položky, nebol dôvod.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6. Pohľadávky konsolidovaného celku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34"/>
        <w:gridCol w:w="2538"/>
      </w:tblGrid>
      <w:tr w:rsidR="00A90FD1" w:rsidTr="008A544A">
        <w:trPr>
          <w:trHeight w:val="225"/>
        </w:trPr>
        <w:tc>
          <w:tcPr>
            <w:tcW w:w="3601" w:type="pct"/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b/>
                <w:bCs/>
                <w:lang w:eastAsia="cs-CZ"/>
              </w:rPr>
            </w:pPr>
            <w:r>
              <w:rPr>
                <w:rFonts w:ascii="Arial" w:hAnsi="Arial" w:cs="Arial"/>
                <w:b/>
                <w:color w:val="000000"/>
              </w:rPr>
              <w:t xml:space="preserve">a) významné pohľadávky podľa jednotlivých položiek súvahy </w:t>
            </w:r>
          </w:p>
        </w:tc>
        <w:tc>
          <w:tcPr>
            <w:tcW w:w="1399" w:type="pct"/>
            <w:vAlign w:val="center"/>
          </w:tcPr>
          <w:p w:rsidR="00A90FD1" w:rsidRDefault="00A90FD1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</w:tbl>
    <w:p w:rsidR="00A90FD1" w:rsidRDefault="00A90FD1" w:rsidP="00A90FD1">
      <w:pPr>
        <w:spacing w:before="120"/>
        <w:jc w:val="both"/>
        <w:rPr>
          <w:rFonts w:ascii="Arial" w:hAnsi="Arial" w:cs="Arial"/>
          <w:sz w:val="20"/>
          <w:szCs w:val="20"/>
          <w:lang w:eastAsia="sk-SK"/>
        </w:rPr>
      </w:pPr>
      <w:r>
        <w:rPr>
          <w:rFonts w:ascii="Arial" w:hAnsi="Arial" w:cs="Arial"/>
        </w:rPr>
        <w:t xml:space="preserve"> Podiel na vykázaných krátkodobých pohľadávkach má materská účtovná jednotka – OBEC KLASOV a to hlavne:</w:t>
      </w:r>
    </w:p>
    <w:p w:rsidR="00A90FD1" w:rsidRDefault="00A90FD1" w:rsidP="00A90FD1">
      <w:pPr>
        <w:numPr>
          <w:ilvl w:val="0"/>
          <w:numId w:val="10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pohľadávky z</w:t>
      </w:r>
      <w:r w:rsidR="008A544A">
        <w:rPr>
          <w:rFonts w:ascii="Arial" w:hAnsi="Arial" w:cs="Arial"/>
        </w:rPr>
        <w:t xml:space="preserve"> daňových a </w:t>
      </w:r>
      <w:r>
        <w:rPr>
          <w:rFonts w:ascii="Arial" w:hAnsi="Arial" w:cs="Arial"/>
        </w:rPr>
        <w:t xml:space="preserve">nedaňových príjmov obcí </w:t>
      </w:r>
      <w:r w:rsidR="008A544A">
        <w:rPr>
          <w:rFonts w:ascii="Arial" w:hAnsi="Arial" w:cs="Arial"/>
        </w:rPr>
        <w:t>v sume 46214,06€</w:t>
      </w:r>
    </w:p>
    <w:p w:rsidR="00A90FD1" w:rsidRPr="008A544A" w:rsidRDefault="00A90FD1" w:rsidP="00A90FD1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color w:val="000000"/>
        </w:rPr>
        <w:t>b) vývoj opravnej položky k </w:t>
      </w:r>
      <w:r w:rsidRPr="008A544A">
        <w:rPr>
          <w:rFonts w:ascii="Arial" w:hAnsi="Arial" w:cs="Arial"/>
          <w:b/>
        </w:rPr>
        <w:t>pohľadávkam</w:t>
      </w:r>
      <w:r w:rsidRPr="008A544A">
        <w:rPr>
          <w:rFonts w:ascii="Arial" w:hAnsi="Arial" w:cs="Arial"/>
        </w:rPr>
        <w:t xml:space="preserve"> (tabuľka č. 8)</w:t>
      </w:r>
    </w:p>
    <w:p w:rsidR="00A90FD1" w:rsidRDefault="00A90FD1" w:rsidP="00A90FD1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</w:rPr>
        <w:t>K pochybným a nedobytným pohľadávkam, kde existuje riziko nevymožiteľnosti, bola vytvorená opravná položka.</w:t>
      </w:r>
    </w:p>
    <w:p w:rsidR="00A90FD1" w:rsidRDefault="00A90FD1" w:rsidP="00A90FD1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  <w:r>
        <w:rPr>
          <w:rFonts w:ascii="Arial" w:hAnsi="Arial" w:cs="Arial"/>
          <w:b w:val="0"/>
          <w:sz w:val="20"/>
        </w:rPr>
        <w:t xml:space="preserve">Opis dôvodov tvorby, zníženia a zrušenia opravných položiek k pohľadávkam </w:t>
      </w:r>
    </w:p>
    <w:p w:rsidR="00A90FD1" w:rsidRDefault="00A90FD1" w:rsidP="00A90FD1">
      <w:pPr>
        <w:pStyle w:val="Pismenka"/>
        <w:tabs>
          <w:tab w:val="clear" w:pos="426"/>
          <w:tab w:val="left" w:pos="708"/>
        </w:tabs>
        <w:rPr>
          <w:rFonts w:ascii="Arial" w:hAnsi="Arial" w:cs="Arial"/>
          <w:b w:val="0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A90FD1" w:rsidTr="00A90FD1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A90FD1" w:rsidTr="00A90FD1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MŽP SR</w:t>
            </w: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1 232,32</w:t>
            </w: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Podozrenie z nevymožiteľnosti</w:t>
            </w:r>
          </w:p>
        </w:tc>
      </w:tr>
      <w:tr w:rsidR="00A90FD1" w:rsidTr="00A90FD1">
        <w:tc>
          <w:tcPr>
            <w:tcW w:w="1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24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jc w:val="center"/>
              <w:rPr>
                <w:rFonts w:ascii="Arial" w:hAnsi="Arial" w:cs="Arial"/>
              </w:rPr>
            </w:pPr>
          </w:p>
        </w:tc>
      </w:tr>
    </w:tbl>
    <w:p w:rsidR="00A90FD1" w:rsidRDefault="00A90FD1" w:rsidP="00A90FD1">
      <w:pPr>
        <w:spacing w:before="120" w:after="120"/>
        <w:rPr>
          <w:rFonts w:ascii="Arial" w:hAnsi="Arial" w:cs="Arial"/>
          <w:sz w:val="14"/>
          <w:szCs w:val="20"/>
        </w:rPr>
      </w:pPr>
    </w:p>
    <w:p w:rsidR="00A90FD1" w:rsidRDefault="00A90FD1" w:rsidP="00A90FD1">
      <w:pPr>
        <w:spacing w:before="120" w:after="12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b/>
          <w:color w:val="000000"/>
        </w:rPr>
        <w:t>c) pohľadávky podľa doby splatnosti a podľa zostatkovej doby splatnosti</w:t>
      </w:r>
      <w:r>
        <w:rPr>
          <w:rFonts w:ascii="Arial" w:hAnsi="Arial" w:cs="Arial"/>
          <w:color w:val="000000"/>
        </w:rPr>
        <w:t xml:space="preserve"> </w:t>
      </w:r>
    </w:p>
    <w:p w:rsidR="00A90FD1" w:rsidRPr="008A544A" w:rsidRDefault="00A90FD1" w:rsidP="00A90FD1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 xml:space="preserve">Prehľad pohľadávok z hľadiska ich vekovej štruktúry a z hľadiska splatnosti je uvedený v tabuľkovej prílohe  konsolidovaných </w:t>
      </w:r>
      <w:r w:rsidRPr="008A544A">
        <w:rPr>
          <w:rFonts w:ascii="Arial" w:hAnsi="Arial" w:cs="Arial"/>
        </w:rPr>
        <w:t>poznámok (tabuľka č. 9)</w:t>
      </w:r>
    </w:p>
    <w:p w:rsidR="008A544A" w:rsidRDefault="008A544A" w:rsidP="008A544A">
      <w:pPr>
        <w:spacing w:before="120" w:after="120"/>
        <w:ind w:left="3"/>
        <w:jc w:val="both"/>
        <w:rPr>
          <w:rFonts w:ascii="Arial" w:hAnsi="Arial" w:cs="Arial"/>
          <w:b/>
        </w:rPr>
      </w:pPr>
    </w:p>
    <w:p w:rsidR="008A544A" w:rsidRDefault="008A544A" w:rsidP="008A544A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7.Časové rozlíšenie aktív </w:t>
      </w:r>
    </w:p>
    <w:p w:rsidR="008A544A" w:rsidRDefault="008A544A" w:rsidP="008A544A">
      <w:pPr>
        <w:spacing w:before="120" w:after="120"/>
        <w:ind w:left="3"/>
        <w:jc w:val="both"/>
        <w:rPr>
          <w:rFonts w:ascii="Arial" w:hAnsi="Arial" w:cs="Arial"/>
          <w:color w:val="0000CC"/>
          <w:sz w:val="20"/>
          <w:szCs w:val="20"/>
        </w:rPr>
      </w:pPr>
      <w:r>
        <w:rPr>
          <w:rFonts w:ascii="Arial" w:hAnsi="Arial" w:cs="Arial"/>
          <w:b/>
        </w:rPr>
        <w:t xml:space="preserve">a) Náklady budúcich </w:t>
      </w:r>
      <w:r w:rsidRPr="008A544A">
        <w:rPr>
          <w:rFonts w:ascii="Arial" w:hAnsi="Arial" w:cs="Arial"/>
          <w:b/>
        </w:rPr>
        <w:t xml:space="preserve">období </w:t>
      </w:r>
      <w:r w:rsidRPr="008A544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360"/>
        <w:gridCol w:w="1435"/>
      </w:tblGrid>
      <w:tr w:rsidR="008A544A" w:rsidTr="005E140E">
        <w:trPr>
          <w:trHeight w:val="383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8A544A" w:rsidRDefault="008A544A" w:rsidP="005E140E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A544A" w:rsidRDefault="008A544A" w:rsidP="005E14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A544A" w:rsidRDefault="008A544A" w:rsidP="005E140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2022</w:t>
            </w:r>
          </w:p>
        </w:tc>
      </w:tr>
      <w:tr w:rsidR="008A544A" w:rsidTr="005E140E">
        <w:trPr>
          <w:trHeight w:val="3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A544A" w:rsidRDefault="008A544A" w:rsidP="005E140E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A544A" w:rsidRDefault="008A544A" w:rsidP="005E140E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8A544A" w:rsidRDefault="008A544A" w:rsidP="005E140E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A544A" w:rsidTr="005E140E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44A" w:rsidRDefault="008A544A" w:rsidP="005E140E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8A544A" w:rsidTr="008A544A">
        <w:trPr>
          <w:trHeight w:val="434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44A" w:rsidRDefault="008A544A" w:rsidP="005E140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A544A" w:rsidTr="005E140E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44A" w:rsidRDefault="008A544A" w:rsidP="005E140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44A" w:rsidRDefault="00147B73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552,75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574</w:t>
            </w:r>
          </w:p>
        </w:tc>
      </w:tr>
      <w:tr w:rsidR="008A544A" w:rsidTr="005E140E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544A" w:rsidRDefault="008A544A" w:rsidP="005E140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544A" w:rsidRDefault="008A544A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47B73" w:rsidTr="005E140E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B73" w:rsidRDefault="00147B73" w:rsidP="005E140E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B73" w:rsidRDefault="00147B73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B73" w:rsidRDefault="00147B73" w:rsidP="005E140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147B73" w:rsidTr="005E140E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B73" w:rsidRDefault="00147B73" w:rsidP="005E140E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7B73" w:rsidRDefault="00147B73" w:rsidP="005E14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552,75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7B73" w:rsidRDefault="00147B73" w:rsidP="005E140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574</w:t>
            </w:r>
          </w:p>
        </w:tc>
      </w:tr>
    </w:tbl>
    <w:p w:rsidR="00A90FD1" w:rsidRDefault="00A90FD1" w:rsidP="00A90FD1">
      <w:pPr>
        <w:spacing w:before="120" w:after="120"/>
        <w:rPr>
          <w:rFonts w:ascii="Arial" w:hAnsi="Arial" w:cs="Arial"/>
          <w:color w:val="0000CC"/>
        </w:rPr>
      </w:pPr>
    </w:p>
    <w:p w:rsidR="00A90FD1" w:rsidRDefault="00A90FD1" w:rsidP="00A90FD1">
      <w:pPr>
        <w:spacing w:before="120" w:after="120"/>
        <w:rPr>
          <w:rFonts w:ascii="Arial" w:hAnsi="Arial" w:cs="Arial"/>
          <w:color w:val="0000CC"/>
        </w:rPr>
      </w:pPr>
    </w:p>
    <w:p w:rsidR="00A90FD1" w:rsidRDefault="00A90FD1" w:rsidP="00A90FD1">
      <w:pPr>
        <w:spacing w:before="120" w:after="120"/>
        <w:rPr>
          <w:rFonts w:ascii="Arial" w:hAnsi="Arial" w:cs="Arial"/>
          <w:color w:val="0000CC"/>
        </w:rPr>
      </w:pPr>
    </w:p>
    <w:tbl>
      <w:tblPr>
        <w:tblW w:w="906" w:type="pct"/>
        <w:tblInd w:w="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4"/>
      </w:tblGrid>
      <w:tr w:rsidR="002A1C4E" w:rsidTr="002A1C4E">
        <w:trPr>
          <w:trHeight w:val="525"/>
        </w:trPr>
        <w:tc>
          <w:tcPr>
            <w:tcW w:w="5000" w:type="pct"/>
            <w:vAlign w:val="center"/>
          </w:tcPr>
          <w:p w:rsidR="002A1C4E" w:rsidRDefault="002A1C4E" w:rsidP="002A1C4E">
            <w:pPr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2A1C4E" w:rsidTr="002A1C4E">
        <w:trPr>
          <w:trHeight w:val="525"/>
        </w:trPr>
        <w:tc>
          <w:tcPr>
            <w:tcW w:w="5000" w:type="pct"/>
            <w:vAlign w:val="center"/>
          </w:tcPr>
          <w:p w:rsidR="002A1C4E" w:rsidRDefault="002A1C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A1C4E" w:rsidTr="002A1C4E">
        <w:trPr>
          <w:trHeight w:val="371"/>
        </w:trPr>
        <w:tc>
          <w:tcPr>
            <w:tcW w:w="5000" w:type="pct"/>
            <w:vAlign w:val="center"/>
          </w:tcPr>
          <w:p w:rsidR="002A1C4E" w:rsidRDefault="002A1C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2A1C4E" w:rsidTr="002A1C4E">
        <w:trPr>
          <w:trHeight w:val="308"/>
        </w:trPr>
        <w:tc>
          <w:tcPr>
            <w:tcW w:w="5000" w:type="pct"/>
            <w:vAlign w:val="center"/>
          </w:tcPr>
          <w:p w:rsidR="002A1C4E" w:rsidRDefault="002A1C4E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A90FD1" w:rsidRDefault="00A90FD1" w:rsidP="00A90FD1">
      <w:pPr>
        <w:jc w:val="both"/>
        <w:rPr>
          <w:rFonts w:ascii="Arial" w:hAnsi="Arial" w:cs="Arial"/>
          <w:b/>
        </w:rPr>
      </w:pPr>
      <w:bookmarkStart w:id="0" w:name="_GoBack"/>
      <w:bookmarkEnd w:id="0"/>
    </w:p>
    <w:p w:rsidR="00A90FD1" w:rsidRDefault="00A90FD1" w:rsidP="00A90FD1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Vlastné imanie </w:t>
      </w:r>
    </w:p>
    <w:p w:rsidR="00A90FD1" w:rsidRDefault="00A90FD1" w:rsidP="00A90FD1">
      <w:pPr>
        <w:jc w:val="both"/>
        <w:rPr>
          <w:rFonts w:ascii="Arial" w:hAnsi="Arial" w:cs="Arial"/>
          <w:b/>
          <w:sz w:val="24"/>
        </w:rPr>
      </w:pPr>
    </w:p>
    <w:p w:rsidR="009F466D" w:rsidRPr="00C54AE6" w:rsidRDefault="00A90FD1" w:rsidP="00C54AE6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>Prehľad o pohybe vlastného imania konsolidovaného celku OBCE KLASOV</w:t>
      </w:r>
      <w:r>
        <w:rPr>
          <w:rFonts w:ascii="Arial" w:hAnsi="Arial" w:cs="Arial"/>
          <w:i/>
        </w:rPr>
        <w:t xml:space="preserve"> </w:t>
      </w:r>
      <w:r w:rsidR="009F466D">
        <w:rPr>
          <w:rFonts w:ascii="Arial" w:hAnsi="Arial" w:cs="Arial"/>
        </w:rPr>
        <w:t xml:space="preserve"> od 1. januára 2023 do 31. decembra 2023 </w:t>
      </w:r>
      <w:r>
        <w:rPr>
          <w:rFonts w:ascii="Arial" w:hAnsi="Arial" w:cs="Arial"/>
        </w:rPr>
        <w:t xml:space="preserve">je uvedený v tabuľkovej prílohe konsolidovaných poznámok – </w:t>
      </w:r>
      <w:r w:rsidR="009F466D" w:rsidRPr="00147B73">
        <w:rPr>
          <w:rFonts w:ascii="Arial" w:hAnsi="Arial" w:cs="Arial"/>
        </w:rPr>
        <w:t>tabuľka č. 12</w:t>
      </w:r>
      <w:r w:rsidR="00147B73" w:rsidRPr="00147B73">
        <w:rPr>
          <w:rFonts w:ascii="Arial" w:hAnsi="Arial" w:cs="Arial"/>
        </w:rPr>
        <w:t>.</w:t>
      </w:r>
      <w:r w:rsidRPr="00147B73">
        <w:rPr>
          <w:rFonts w:ascii="Arial" w:hAnsi="Arial" w:cs="Arial"/>
        </w:rPr>
        <w:t xml:space="preserve"> </w:t>
      </w:r>
    </w:p>
    <w:p w:rsidR="009F466D" w:rsidRDefault="009F466D" w:rsidP="00147B73">
      <w:pPr>
        <w:spacing w:after="0" w:line="240" w:lineRule="auto"/>
        <w:jc w:val="both"/>
        <w:rPr>
          <w:rFonts w:ascii="Arial" w:hAnsi="Arial" w:cs="Arial"/>
          <w:b/>
        </w:rPr>
      </w:pPr>
    </w:p>
    <w:p w:rsidR="009F466D" w:rsidRDefault="009F466D" w:rsidP="009F466D">
      <w:pPr>
        <w:spacing w:after="0" w:line="240" w:lineRule="auto"/>
        <w:ind w:left="502"/>
        <w:jc w:val="both"/>
        <w:rPr>
          <w:rFonts w:ascii="Arial" w:hAnsi="Arial" w:cs="Arial"/>
          <w:b/>
        </w:rPr>
      </w:pPr>
    </w:p>
    <w:p w:rsidR="00A90FD1" w:rsidRDefault="009F466D" w:rsidP="009F466D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9.</w:t>
      </w:r>
      <w:r w:rsidR="00A90FD1">
        <w:rPr>
          <w:rFonts w:ascii="Arial" w:hAnsi="Arial" w:cs="Arial"/>
          <w:b/>
        </w:rPr>
        <w:t>Rezervy</w:t>
      </w:r>
    </w:p>
    <w:p w:rsidR="00A90FD1" w:rsidRDefault="00A90FD1" w:rsidP="00A90FD1">
      <w:pPr>
        <w:jc w:val="both"/>
        <w:rPr>
          <w:rFonts w:ascii="Arial" w:hAnsi="Arial" w:cs="Arial"/>
          <w:sz w:val="20"/>
          <w:szCs w:val="20"/>
        </w:rPr>
      </w:pPr>
    </w:p>
    <w:p w:rsidR="00A90FD1" w:rsidRPr="00147B73" w:rsidRDefault="00A90FD1" w:rsidP="00A90FD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rezerv konsolidovaného celku v členení na zákonné a ostatné, dlhodobé a krátkodobé od 1. j</w:t>
      </w:r>
      <w:r w:rsidR="002A1C4E">
        <w:rPr>
          <w:rFonts w:ascii="Arial" w:hAnsi="Arial" w:cs="Arial"/>
        </w:rPr>
        <w:t>anuára 2023 do 31. decembra 2023</w:t>
      </w:r>
      <w:r>
        <w:rPr>
          <w:rFonts w:ascii="Arial" w:hAnsi="Arial" w:cs="Arial"/>
        </w:rPr>
        <w:t xml:space="preserve"> je uvedený v tabuľkovej prílohe konsolidovaných poznámok – </w:t>
      </w:r>
      <w:r w:rsidRPr="00147B73">
        <w:rPr>
          <w:rFonts w:ascii="Arial" w:hAnsi="Arial" w:cs="Arial"/>
        </w:rPr>
        <w:t xml:space="preserve">tabuľky č.13 </w:t>
      </w:r>
    </w:p>
    <w:p w:rsidR="00A90FD1" w:rsidRDefault="00A90FD1" w:rsidP="00A90FD1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A90FD1" w:rsidRDefault="00A90FD1" w:rsidP="00A90FD1">
      <w:pPr>
        <w:spacing w:before="60"/>
        <w:jc w:val="both"/>
        <w:rPr>
          <w:rFonts w:ascii="Arial" w:hAnsi="Arial" w:cs="Arial"/>
          <w:i/>
        </w:rPr>
      </w:pPr>
      <w:r>
        <w:rPr>
          <w:rFonts w:ascii="Arial" w:hAnsi="Arial" w:cs="Arial"/>
          <w:i/>
        </w:rPr>
        <w:t xml:space="preserve">b) </w:t>
      </w:r>
      <w:r>
        <w:rPr>
          <w:rFonts w:ascii="Arial" w:hAnsi="Arial" w:cs="Arial"/>
          <w:i/>
          <w:u w:val="single"/>
        </w:rPr>
        <w:t xml:space="preserve">rezervy </w:t>
      </w:r>
      <w:r w:rsidR="00147B73">
        <w:rPr>
          <w:rFonts w:ascii="Arial" w:hAnsi="Arial" w:cs="Arial"/>
          <w:i/>
          <w:u w:val="single"/>
        </w:rPr>
        <w:t>zákonné</w:t>
      </w:r>
      <w:r>
        <w:rPr>
          <w:rFonts w:ascii="Arial" w:hAnsi="Arial" w:cs="Arial"/>
          <w:i/>
        </w:rPr>
        <w:t xml:space="preserve"> </w:t>
      </w:r>
    </w:p>
    <w:p w:rsidR="00A90FD1" w:rsidRPr="00E1063B" w:rsidRDefault="00A90FD1" w:rsidP="00E1063B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Obec tvorila rezervy najmä</w:t>
      </w:r>
      <w:r w:rsidR="00E1063B">
        <w:rPr>
          <w:rFonts w:ascii="Arial" w:hAnsi="Arial" w:cs="Arial"/>
          <w:i/>
        </w:rPr>
        <w:t xml:space="preserve"> na   overenie účtovnej závierk</w:t>
      </w:r>
      <w:r w:rsidR="00147B73">
        <w:rPr>
          <w:rFonts w:ascii="Arial" w:hAnsi="Arial" w:cs="Arial"/>
          <w:i/>
        </w:rPr>
        <w:t>y</w:t>
      </w:r>
    </w:p>
    <w:p w:rsidR="00A90FD1" w:rsidRDefault="00A90FD1" w:rsidP="00A90FD1">
      <w:pPr>
        <w:spacing w:before="60" w:after="60"/>
        <w:jc w:val="both"/>
        <w:rPr>
          <w:rFonts w:ascii="Arial" w:hAnsi="Arial" w:cs="Arial"/>
          <w:b/>
        </w:rPr>
      </w:pPr>
    </w:p>
    <w:p w:rsidR="00A90FD1" w:rsidRDefault="00A90FD1" w:rsidP="00A90FD1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10. Záväzky</w:t>
      </w:r>
      <w:r>
        <w:rPr>
          <w:rFonts w:ascii="Arial" w:hAnsi="Arial" w:cs="Arial"/>
        </w:rPr>
        <w:t xml:space="preserve"> </w:t>
      </w:r>
    </w:p>
    <w:p w:rsidR="00A90FD1" w:rsidRDefault="00A90FD1" w:rsidP="00A90FD1">
      <w:pPr>
        <w:spacing w:before="60" w:after="60"/>
        <w:jc w:val="both"/>
        <w:rPr>
          <w:rFonts w:ascii="Arial" w:hAnsi="Arial" w:cs="Arial"/>
        </w:rPr>
      </w:pPr>
    </w:p>
    <w:p w:rsidR="00A90FD1" w:rsidRDefault="00A90FD1" w:rsidP="00A90FD1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Prehľad záväzkov z hľadiska ich vekovej štruktúry a podľa doby splatnosti je uvedený v tabuľkovej časti (tabuľka č. 15).</w:t>
      </w:r>
    </w:p>
    <w:p w:rsidR="00A90FD1" w:rsidRPr="00E1063B" w:rsidRDefault="00A90FD1" w:rsidP="00A90FD1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Významnou položkou dlhodobých záväzkov sú záväzky voči zamestnancom, zúčtovanie s orgánmi sociálneho a zdravotného poistenie, </w:t>
      </w:r>
      <w:proofErr w:type="spellStart"/>
      <w:r>
        <w:rPr>
          <w:rFonts w:ascii="Arial" w:hAnsi="Arial" w:cs="Arial"/>
        </w:rPr>
        <w:t>ostané</w:t>
      </w:r>
      <w:proofErr w:type="spellEnd"/>
      <w:r>
        <w:rPr>
          <w:rFonts w:ascii="Arial" w:hAnsi="Arial" w:cs="Arial"/>
        </w:rPr>
        <w:t xml:space="preserve"> priame dane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9"/>
        <w:gridCol w:w="1440"/>
        <w:gridCol w:w="1407"/>
        <w:gridCol w:w="4414"/>
      </w:tblGrid>
      <w:tr w:rsidR="00A90FD1" w:rsidTr="00A90FD1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Výška</w:t>
            </w:r>
          </w:p>
          <w:p w:rsidR="00A90FD1" w:rsidRDefault="009F466D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 31.12.2023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Opis</w:t>
            </w:r>
          </w:p>
        </w:tc>
      </w:tr>
      <w:tr w:rsidR="00A90FD1" w:rsidTr="00A90FD1">
        <w:trPr>
          <w:trHeight w:val="584"/>
        </w:trPr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Záväzky voči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9F466D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40503,61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</w:t>
            </w:r>
            <w:r w:rsidR="009F466D">
              <w:rPr>
                <w:rFonts w:ascii="Arial" w:hAnsi="Arial" w:cs="Arial"/>
                <w:color w:val="000000"/>
                <w:sz w:val="18"/>
                <w:szCs w:val="18"/>
              </w:rPr>
              <w:t>zdy zamestnancov za december2023</w:t>
            </w:r>
          </w:p>
        </w:tc>
      </w:tr>
      <w:tr w:rsidR="00A90FD1" w:rsidTr="00A90FD1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s orgánmi sociálneho a zdravotného poistenie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9F466D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24243,71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9F466D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.odvody od ZP a SP za12/2023</w:t>
            </w:r>
          </w:p>
        </w:tc>
      </w:tr>
      <w:tr w:rsidR="00A90FD1" w:rsidTr="00A90FD1"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Ostané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priame dane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9F466D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4992,03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0FD1" w:rsidRDefault="00A90FD1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Daň</w:t>
            </w:r>
            <w:r w:rsidR="009F466D">
              <w:rPr>
                <w:rFonts w:ascii="Arial" w:hAnsi="Arial" w:cs="Arial"/>
                <w:color w:val="000000"/>
                <w:sz w:val="18"/>
                <w:szCs w:val="18"/>
              </w:rPr>
              <w:t xml:space="preserve"> zo mzdy zamestnancov za 12/2023</w:t>
            </w:r>
          </w:p>
        </w:tc>
      </w:tr>
    </w:tbl>
    <w:p w:rsidR="00A90FD1" w:rsidRDefault="00A90FD1" w:rsidP="00A90FD1">
      <w:pPr>
        <w:spacing w:before="120" w:after="120"/>
        <w:jc w:val="both"/>
        <w:rPr>
          <w:rFonts w:ascii="Arial" w:hAnsi="Arial" w:cs="Arial"/>
          <w:i/>
          <w:color w:val="000000"/>
          <w:sz w:val="20"/>
          <w:szCs w:val="20"/>
        </w:rPr>
      </w:pPr>
    </w:p>
    <w:p w:rsidR="00E1063B" w:rsidRDefault="00E1063B" w:rsidP="00E1063B">
      <w:pPr>
        <w:spacing w:before="120" w:after="120" w:line="240" w:lineRule="auto"/>
        <w:jc w:val="both"/>
        <w:rPr>
          <w:rFonts w:ascii="Arial" w:hAnsi="Arial" w:cs="Arial"/>
          <w:b/>
        </w:rPr>
      </w:pPr>
    </w:p>
    <w:p w:rsidR="00A90FD1" w:rsidRDefault="00A90FD1" w:rsidP="00A90FD1">
      <w:pPr>
        <w:numPr>
          <w:ilvl w:val="0"/>
          <w:numId w:val="11"/>
        </w:numPr>
        <w:spacing w:before="120" w:after="12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Bankové úvery </w:t>
      </w:r>
    </w:p>
    <w:p w:rsidR="00A90FD1" w:rsidRDefault="00A90FD1" w:rsidP="00A90FD1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A90FD1" w:rsidRDefault="00A90FD1" w:rsidP="00A90FD1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color w:val="000000"/>
          <w:sz w:val="20"/>
        </w:rPr>
      </w:pPr>
    </w:p>
    <w:p w:rsidR="00A90FD1" w:rsidRDefault="00A90FD1" w:rsidP="00A90FD1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color w:val="000000"/>
        </w:rPr>
      </w:pPr>
      <w:r>
        <w:rPr>
          <w:rFonts w:ascii="Arial" w:hAnsi="Arial" w:cs="Arial"/>
          <w:b w:val="0"/>
          <w:color w:val="000000"/>
        </w:rPr>
        <w:t>Prehľad o ban</w:t>
      </w:r>
      <w:r w:rsidR="000A0940">
        <w:rPr>
          <w:rFonts w:ascii="Arial" w:hAnsi="Arial" w:cs="Arial"/>
          <w:b w:val="0"/>
          <w:color w:val="000000"/>
        </w:rPr>
        <w:t xml:space="preserve">kových </w:t>
      </w:r>
      <w:r w:rsidR="009F466D">
        <w:rPr>
          <w:rFonts w:ascii="Arial" w:hAnsi="Arial" w:cs="Arial"/>
          <w:b w:val="0"/>
          <w:color w:val="000000"/>
        </w:rPr>
        <w:t>úveroch obce k 31.12.2023</w:t>
      </w:r>
      <w:r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</w:p>
    <w:p w:rsidR="00A90FD1" w:rsidRPr="009F466D" w:rsidRDefault="00A90FD1" w:rsidP="00A90FD1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</w:rPr>
      </w:pPr>
      <w:r w:rsidRPr="009F466D">
        <w:rPr>
          <w:rFonts w:ascii="Arial" w:hAnsi="Arial" w:cs="Arial"/>
          <w:b w:val="0"/>
        </w:rPr>
        <w:t xml:space="preserve">(tabuľka č. 16). </w:t>
      </w:r>
    </w:p>
    <w:p w:rsidR="00A90FD1" w:rsidRDefault="00A90FD1" w:rsidP="00A90FD1">
      <w:pPr>
        <w:pStyle w:val="Pismenka"/>
        <w:tabs>
          <w:tab w:val="clear" w:pos="426"/>
          <w:tab w:val="left" w:pos="708"/>
        </w:tabs>
        <w:ind w:left="0" w:firstLine="0"/>
        <w:rPr>
          <w:rFonts w:ascii="Arial" w:hAnsi="Arial" w:cs="Arial"/>
          <w:b w:val="0"/>
          <w:i/>
          <w:color w:val="C00000"/>
          <w:sz w:val="20"/>
        </w:rPr>
      </w:pPr>
    </w:p>
    <w:p w:rsidR="00A90FD1" w:rsidRDefault="00A90FD1" w:rsidP="00A90FD1">
      <w:pPr>
        <w:spacing w:before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lastRenderedPageBreak/>
        <w:t>b) popis zabezpečenia dlhodobého bankového alebo krátkodobého úveru</w:t>
      </w:r>
      <w:r>
        <w:rPr>
          <w:rFonts w:ascii="Arial" w:hAnsi="Arial" w:cs="Arial"/>
          <w:color w:val="000000"/>
        </w:rPr>
        <w:t xml:space="preserve"> 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smerovanie všetkých príjmov obce vrátane 100 % podielov na daniach v správe štátu na účet obce vedený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v ČSOB banka Slovensko 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  <w:color w:val="000000"/>
        </w:rPr>
      </w:pPr>
    </w:p>
    <w:p w:rsidR="00A90FD1" w:rsidRDefault="00A90FD1" w:rsidP="00A90FD1">
      <w:pPr>
        <w:spacing w:before="120" w:after="120"/>
        <w:jc w:val="both"/>
        <w:rPr>
          <w:rFonts w:ascii="Arial" w:hAnsi="Arial" w:cs="Arial"/>
          <w:b/>
        </w:rPr>
      </w:pPr>
    </w:p>
    <w:p w:rsidR="00A90FD1" w:rsidRDefault="00A90FD1" w:rsidP="00A90FD1">
      <w:p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 pasív</w:t>
      </w:r>
    </w:p>
    <w:p w:rsidR="00A90FD1" w:rsidRPr="00147B73" w:rsidRDefault="00A90FD1" w:rsidP="00A90FD1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b)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147B73">
        <w:rPr>
          <w:rFonts w:ascii="Arial" w:hAnsi="Arial" w:cs="Arial"/>
        </w:rPr>
        <w:t xml:space="preserve">tabuľka č. 18 </w:t>
      </w:r>
    </w:p>
    <w:p w:rsidR="00A90FD1" w:rsidRDefault="00A90FD1" w:rsidP="00A90FD1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60"/>
        <w:gridCol w:w="1555"/>
      </w:tblGrid>
      <w:tr w:rsidR="00A90FD1" w:rsidTr="00A90FD1">
        <w:trPr>
          <w:trHeight w:val="383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313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90FD1" w:rsidRDefault="00A3132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2022</w:t>
            </w:r>
          </w:p>
        </w:tc>
      </w:tr>
      <w:tr w:rsidR="00A90FD1" w:rsidTr="00A90FD1">
        <w:trPr>
          <w:trHeight w:val="383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0FD1" w:rsidRDefault="00A90FD1">
            <w:pPr>
              <w:spacing w:after="0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90FD1" w:rsidRDefault="00A90FD1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90FD1" w:rsidTr="00A90FD1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90FD1" w:rsidRDefault="00A90FD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0FD1" w:rsidRDefault="00A31323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1846115,84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90FD1" w:rsidRDefault="00A31323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2040155,33</w:t>
            </w:r>
          </w:p>
          <w:p w:rsidR="00C54AE6" w:rsidRDefault="00C54AE6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90FD1" w:rsidRDefault="00A90FD1" w:rsidP="00A90FD1">
      <w:pPr>
        <w:numPr>
          <w:ilvl w:val="0"/>
          <w:numId w:val="11"/>
        </w:numPr>
        <w:spacing w:before="60" w:after="6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konsolidovaného celku</w:t>
      </w:r>
    </w:p>
    <w:p w:rsidR="00A90FD1" w:rsidRPr="00E1063B" w:rsidRDefault="00A90FD1" w:rsidP="00A90FD1">
      <w:pPr>
        <w:spacing w:before="60" w:after="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- </w:t>
      </w:r>
      <w:r>
        <w:rPr>
          <w:rFonts w:ascii="Arial" w:hAnsi="Arial" w:cs="Arial"/>
          <w:sz w:val="20"/>
          <w:szCs w:val="20"/>
        </w:rPr>
        <w:t xml:space="preserve">náklady na služby účet 518 v čiastke </w:t>
      </w:r>
      <w:r w:rsidR="009F466D">
        <w:rPr>
          <w:rFonts w:ascii="Arial" w:hAnsi="Arial" w:cs="Arial"/>
          <w:sz w:val="20"/>
          <w:szCs w:val="20"/>
        </w:rPr>
        <w:t>186157,54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0FD1" w:rsidRDefault="00A90FD1" w:rsidP="00A90FD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spotreba </w:t>
      </w:r>
      <w:proofErr w:type="spellStart"/>
      <w:r>
        <w:rPr>
          <w:rFonts w:ascii="Arial" w:hAnsi="Arial" w:cs="Arial"/>
          <w:sz w:val="20"/>
          <w:szCs w:val="20"/>
        </w:rPr>
        <w:t>materialu</w:t>
      </w:r>
      <w:proofErr w:type="spellEnd"/>
      <w:r>
        <w:rPr>
          <w:rFonts w:ascii="Arial" w:hAnsi="Arial" w:cs="Arial"/>
          <w:sz w:val="20"/>
          <w:szCs w:val="20"/>
        </w:rPr>
        <w:t xml:space="preserve">  účet 501 v čiastke </w:t>
      </w:r>
      <w:r w:rsidR="009F466D">
        <w:rPr>
          <w:rFonts w:ascii="Arial" w:hAnsi="Arial" w:cs="Arial"/>
          <w:sz w:val="20"/>
          <w:szCs w:val="20"/>
        </w:rPr>
        <w:t>92821,25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0FD1" w:rsidRDefault="00A90FD1" w:rsidP="00A90FD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spotreba energie účet 502 v čiastke </w:t>
      </w:r>
      <w:r w:rsidR="009F466D">
        <w:rPr>
          <w:rFonts w:ascii="Arial" w:hAnsi="Arial" w:cs="Arial"/>
          <w:sz w:val="20"/>
          <w:szCs w:val="20"/>
        </w:rPr>
        <w:t>64101,90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0FD1" w:rsidRDefault="00A90FD1" w:rsidP="00A90FD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-osobné náklady účet 521 v čiastke </w:t>
      </w:r>
      <w:r w:rsidR="009F466D">
        <w:rPr>
          <w:rFonts w:ascii="Arial" w:hAnsi="Arial" w:cs="Arial"/>
          <w:sz w:val="20"/>
          <w:szCs w:val="20"/>
        </w:rPr>
        <w:t>582199,18</w:t>
      </w:r>
    </w:p>
    <w:p w:rsidR="00A90FD1" w:rsidRDefault="00A90FD1" w:rsidP="00A90FD1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zákonné sociálne náklady účet 524 v čiastke </w:t>
      </w:r>
      <w:r w:rsidR="009F466D">
        <w:rPr>
          <w:rFonts w:ascii="Arial" w:hAnsi="Arial" w:cs="Arial"/>
          <w:sz w:val="20"/>
          <w:szCs w:val="20"/>
        </w:rPr>
        <w:t>194920,34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0FD1" w:rsidRDefault="00A90FD1" w:rsidP="00A90FD1">
      <w:pPr>
        <w:rPr>
          <w:rFonts w:ascii="Arial" w:hAnsi="Arial" w:cs="Arial"/>
          <w:i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zákonné sociálne náklady účet 527 v čiastke </w:t>
      </w:r>
      <w:r w:rsidR="009F466D">
        <w:rPr>
          <w:rFonts w:ascii="Arial" w:hAnsi="Arial" w:cs="Arial"/>
          <w:sz w:val="20"/>
          <w:szCs w:val="20"/>
        </w:rPr>
        <w:t>14357,22</w:t>
      </w:r>
      <w:r>
        <w:rPr>
          <w:rFonts w:ascii="Arial" w:hAnsi="Arial" w:cs="Arial"/>
          <w:sz w:val="20"/>
          <w:szCs w:val="20"/>
        </w:rPr>
        <w:t xml:space="preserve"> €</w:t>
      </w:r>
    </w:p>
    <w:p w:rsidR="00A90FD1" w:rsidRDefault="00A90FD1" w:rsidP="00A90FD1">
      <w:pPr>
        <w:spacing w:before="1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 xml:space="preserve">  </w:t>
      </w:r>
    </w:p>
    <w:p w:rsidR="00A90FD1" w:rsidRDefault="00A90FD1" w:rsidP="00A90FD1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</w:rPr>
        <w:t xml:space="preserve">                   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Čl. IV. </w:t>
      </w:r>
    </w:p>
    <w:p w:rsidR="00A90FD1" w:rsidRDefault="00A90FD1" w:rsidP="00A90FD1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A90FD1" w:rsidRDefault="00A90FD1" w:rsidP="00A90FD1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A90FD1" w:rsidRPr="009F466D" w:rsidRDefault="00A90FD1" w:rsidP="00A90FD1">
      <w:pPr>
        <w:numPr>
          <w:ilvl w:val="0"/>
          <w:numId w:val="12"/>
        </w:numPr>
        <w:tabs>
          <w:tab w:val="num" w:pos="360"/>
        </w:tabs>
        <w:spacing w:after="0" w:line="240" w:lineRule="auto"/>
        <w:ind w:left="360" w:hanging="360"/>
        <w:jc w:val="both"/>
        <w:rPr>
          <w:rFonts w:ascii="Arial" w:hAnsi="Arial" w:cs="Arial"/>
          <w:b/>
        </w:rPr>
      </w:pPr>
      <w:r w:rsidRPr="009F466D">
        <w:rPr>
          <w:rFonts w:ascii="Arial" w:hAnsi="Arial" w:cs="Arial"/>
          <w:b/>
        </w:rPr>
        <w:t xml:space="preserve">Iné aktíva a iné pasíva </w:t>
      </w:r>
    </w:p>
    <w:p w:rsidR="00A90FD1" w:rsidRPr="009F466D" w:rsidRDefault="00A90FD1" w:rsidP="00A90FD1">
      <w:pPr>
        <w:jc w:val="both"/>
        <w:rPr>
          <w:rFonts w:ascii="Arial" w:hAnsi="Arial" w:cs="Arial"/>
          <w:sz w:val="20"/>
          <w:szCs w:val="20"/>
        </w:rPr>
      </w:pPr>
      <w:r w:rsidRPr="009F466D">
        <w:rPr>
          <w:rFonts w:ascii="Arial" w:hAnsi="Arial" w:cs="Arial"/>
        </w:rPr>
        <w:t xml:space="preserve">Informácie o iných aktívach a iných pasívach sú uvedené v tabuľkovej časti – tabuľka č.23  </w:t>
      </w:r>
    </w:p>
    <w:p w:rsidR="00A90FD1" w:rsidRPr="009F466D" w:rsidRDefault="00A90FD1" w:rsidP="00A90FD1">
      <w:pPr>
        <w:tabs>
          <w:tab w:val="left" w:pos="360"/>
        </w:tabs>
        <w:jc w:val="both"/>
        <w:rPr>
          <w:rFonts w:ascii="Arial" w:hAnsi="Arial" w:cs="Arial"/>
        </w:rPr>
      </w:pPr>
    </w:p>
    <w:p w:rsidR="00A90FD1" w:rsidRPr="009F466D" w:rsidRDefault="00A90FD1" w:rsidP="00A90FD1">
      <w:pPr>
        <w:numPr>
          <w:ilvl w:val="0"/>
          <w:numId w:val="1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hAnsi="Arial" w:cs="Arial"/>
        </w:rPr>
      </w:pPr>
      <w:r w:rsidRPr="009F466D">
        <w:rPr>
          <w:rFonts w:ascii="Arial" w:hAnsi="Arial" w:cs="Arial"/>
          <w:b/>
        </w:rPr>
        <w:t xml:space="preserve">Zoznam nehnuteľných kultúrnych pamiatok spravovaných účtovnou jednotkou – </w:t>
      </w:r>
      <w:r w:rsidRPr="009F466D">
        <w:rPr>
          <w:rFonts w:ascii="Arial" w:hAnsi="Arial" w:cs="Arial"/>
        </w:rPr>
        <w:t>tabuľka č. 24</w:t>
      </w:r>
    </w:p>
    <w:p w:rsidR="00A90FD1" w:rsidRPr="009F466D" w:rsidRDefault="00A90FD1" w:rsidP="00A90FD1">
      <w:pPr>
        <w:tabs>
          <w:tab w:val="left" w:pos="360"/>
        </w:tabs>
        <w:ind w:left="360"/>
        <w:jc w:val="both"/>
        <w:rPr>
          <w:rFonts w:ascii="Arial" w:hAnsi="Arial" w:cs="Arial"/>
        </w:rPr>
      </w:pPr>
      <w:r w:rsidRPr="009F466D">
        <w:rPr>
          <w:rFonts w:ascii="Arial" w:hAnsi="Arial" w:cs="Arial"/>
        </w:rPr>
        <w:t>Konsolidovaný celok OBEC KLASOV nemá nehnuteľné kultúrne pamiatky</w:t>
      </w:r>
    </w:p>
    <w:p w:rsidR="00A90FD1" w:rsidRPr="009F466D" w:rsidRDefault="00A90FD1" w:rsidP="00A90FD1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A90FD1" w:rsidRDefault="00A90FD1" w:rsidP="00A90FD1">
      <w:pPr>
        <w:tabs>
          <w:tab w:val="left" w:pos="4671"/>
          <w:tab w:val="center" w:pos="5102"/>
        </w:tabs>
        <w:rPr>
          <w:rFonts w:ascii="Arial" w:hAnsi="Arial" w:cs="Arial"/>
          <w:b/>
        </w:rPr>
      </w:pPr>
    </w:p>
    <w:p w:rsidR="00A90FD1" w:rsidRDefault="00A90FD1" w:rsidP="00A90FD1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Čl. V. </w:t>
      </w:r>
    </w:p>
    <w:p w:rsidR="00A90FD1" w:rsidRDefault="00A90FD1" w:rsidP="00A90FD1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A90FD1" w:rsidRDefault="00A90FD1" w:rsidP="00A90FD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SKUTOČNOSTI, KTORÉ NASTALI PO DNI,</w:t>
      </w:r>
    </w:p>
    <w:p w:rsidR="00A90FD1" w:rsidRDefault="00A90FD1" w:rsidP="00A90FD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KU KTORÉMU SA ZOSTAVUJE ÚČTOVNÁ ZÁVIERKA, DO DŇA JEJ ZOSTAVENIA</w:t>
      </w:r>
    </w:p>
    <w:p w:rsidR="00A90FD1" w:rsidRDefault="00A90FD1" w:rsidP="00A90FD1">
      <w:pPr>
        <w:jc w:val="center"/>
        <w:rPr>
          <w:rFonts w:ascii="Arial" w:hAnsi="Arial" w:cs="Arial"/>
          <w:b/>
        </w:rPr>
      </w:pPr>
    </w:p>
    <w:p w:rsidR="00A90FD1" w:rsidRDefault="00A90FD1" w:rsidP="00A90FD1">
      <w:pPr>
        <w:jc w:val="center"/>
        <w:rPr>
          <w:rFonts w:ascii="Arial" w:hAnsi="Arial" w:cs="Arial"/>
          <w:b/>
        </w:rPr>
      </w:pPr>
    </w:p>
    <w:p w:rsidR="00A90FD1" w:rsidRDefault="00A90FD1" w:rsidP="00A90F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 31. decembri </w:t>
      </w:r>
      <w:r w:rsidR="009F466D">
        <w:rPr>
          <w:rFonts w:ascii="Arial" w:hAnsi="Arial" w:cs="Arial"/>
          <w:iCs/>
        </w:rPr>
        <w:t>2023</w:t>
      </w:r>
      <w:r>
        <w:rPr>
          <w:rFonts w:ascii="Arial" w:hAnsi="Arial" w:cs="Arial"/>
          <w:i/>
        </w:rPr>
        <w:t xml:space="preserve"> nenastali </w:t>
      </w:r>
      <w:r>
        <w:rPr>
          <w:rFonts w:ascii="Arial" w:hAnsi="Arial" w:cs="Arial"/>
        </w:rPr>
        <w:t>také udalosti, ktoré by si vyžadovali zverejnenie alebo vykázanie v konsolidovan</w:t>
      </w:r>
      <w:r w:rsidR="009F466D">
        <w:rPr>
          <w:rFonts w:ascii="Arial" w:hAnsi="Arial" w:cs="Arial"/>
        </w:rPr>
        <w:t>ej účtovnej závierke za rok 2023</w:t>
      </w:r>
      <w:r>
        <w:rPr>
          <w:rFonts w:ascii="Arial" w:hAnsi="Arial" w:cs="Arial"/>
        </w:rPr>
        <w:t xml:space="preserve">. </w:t>
      </w:r>
    </w:p>
    <w:p w:rsidR="00A90FD1" w:rsidRDefault="00A90FD1" w:rsidP="00A90FD1">
      <w:pPr>
        <w:spacing w:line="360" w:lineRule="auto"/>
        <w:rPr>
          <w:rFonts w:ascii="Arial" w:hAnsi="Arial" w:cs="Arial"/>
        </w:rPr>
      </w:pPr>
    </w:p>
    <w:p w:rsidR="00A90FD1" w:rsidRDefault="00A90FD1" w:rsidP="00A90FD1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A90FD1" w:rsidRDefault="00A90FD1" w:rsidP="00A90FD1">
      <w:pPr>
        <w:spacing w:line="360" w:lineRule="auto"/>
        <w:rPr>
          <w:rFonts w:ascii="Arial" w:hAnsi="Arial" w:cs="Arial"/>
          <w:color w:val="0000FF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>
      <w:pPr>
        <w:jc w:val="center"/>
        <w:rPr>
          <w:rFonts w:ascii="Arial" w:hAnsi="Arial" w:cs="Arial"/>
          <w:b/>
          <w:sz w:val="28"/>
          <w:szCs w:val="28"/>
        </w:rPr>
      </w:pPr>
    </w:p>
    <w:p w:rsidR="00A90FD1" w:rsidRDefault="00A90FD1" w:rsidP="00A90FD1"/>
    <w:p w:rsidR="009F48AF" w:rsidRDefault="009F48AF"/>
    <w:sectPr w:rsidR="009F4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7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0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2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4C2C"/>
    <w:rsid w:val="000A0940"/>
    <w:rsid w:val="00147B73"/>
    <w:rsid w:val="002A1C4E"/>
    <w:rsid w:val="00595166"/>
    <w:rsid w:val="006003B9"/>
    <w:rsid w:val="008A544A"/>
    <w:rsid w:val="009F466D"/>
    <w:rsid w:val="009F48AF"/>
    <w:rsid w:val="00A31323"/>
    <w:rsid w:val="00A90FD1"/>
    <w:rsid w:val="00BD3FE3"/>
    <w:rsid w:val="00C54AE6"/>
    <w:rsid w:val="00C63A1D"/>
    <w:rsid w:val="00DE4C2C"/>
    <w:rsid w:val="00E10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AC80E"/>
  <w15:chartTrackingRefBased/>
  <w15:docId w15:val="{D5346E42-DF5A-4281-9231-7495B0D8C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0FD1"/>
    <w:pPr>
      <w:spacing w:line="256" w:lineRule="auto"/>
    </w:pPr>
  </w:style>
  <w:style w:type="paragraph" w:styleId="Nadpis2">
    <w:name w:val="heading 2"/>
    <w:basedOn w:val="Normlny"/>
    <w:next w:val="Normlny"/>
    <w:link w:val="Nadpis2Char"/>
    <w:autoRedefine/>
    <w:uiPriority w:val="9"/>
    <w:semiHidden/>
    <w:unhideWhenUsed/>
    <w:qFormat/>
    <w:rsid w:val="00A90FD1"/>
    <w:pPr>
      <w:keepNext/>
      <w:numPr>
        <w:numId w:val="1"/>
      </w:numPr>
      <w:spacing w:before="60" w:after="240" w:line="240" w:lineRule="auto"/>
      <w:outlineLvl w:val="1"/>
    </w:pPr>
    <w:rPr>
      <w:rFonts w:ascii="Arial" w:eastAsia="Times New Roman" w:hAnsi="Arial" w:cs="Arial"/>
      <w:b/>
      <w:bCs/>
      <w:iCs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sid w:val="00A90FD1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90FD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90FD1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A90FD1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A90FD1"/>
    <w:pPr>
      <w:spacing w:after="0" w:line="240" w:lineRule="auto"/>
      <w:ind w:right="-79"/>
      <w:jc w:val="both"/>
    </w:pPr>
    <w:rPr>
      <w:rFonts w:ascii="Arial" w:eastAsia="Times New Roman" w:hAnsi="Arial" w:cs="Arial"/>
      <w:color w:val="FF0000"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A90FD1"/>
    <w:pPr>
      <w:numPr>
        <w:numId w:val="2"/>
      </w:numPr>
      <w:spacing w:before="60" w:after="120" w:line="240" w:lineRule="auto"/>
      <w:jc w:val="both"/>
    </w:pPr>
    <w:rPr>
      <w:rFonts w:ascii="Arial" w:eastAsia="Times New Roman" w:hAnsi="Arial" w:cs="Arial"/>
      <w:b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106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6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05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2046</Words>
  <Characters>11668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7</cp:revision>
  <cp:lastPrinted>2024-05-31T07:58:00Z</cp:lastPrinted>
  <dcterms:created xsi:type="dcterms:W3CDTF">2023-05-30T10:38:00Z</dcterms:created>
  <dcterms:modified xsi:type="dcterms:W3CDTF">2024-05-31T07:59:00Z</dcterms:modified>
</cp:coreProperties>
</file>