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  <w:drawing>
          <wp:anchor behindDoc="0" distT="0" distB="0" distL="114300" distR="114300" simplePos="0" locked="0" layoutInCell="0" allowOverlap="1" relativeHeight="2">
            <wp:simplePos x="0" y="0"/>
            <wp:positionH relativeFrom="column">
              <wp:posOffset>2212975</wp:posOffset>
            </wp:positionH>
            <wp:positionV relativeFrom="paragraph">
              <wp:posOffset>283845</wp:posOffset>
            </wp:positionV>
            <wp:extent cx="788670" cy="926465"/>
            <wp:effectExtent l="0" t="0" r="0" b="0"/>
            <wp:wrapSquare wrapText="largest"/>
            <wp:docPr id="1" name="Obrázok 1" descr="Picture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Picture 001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" cy="926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jc w:val="center"/>
        <w:rPr>
          <w:b/>
          <w:color w:val="CE181E"/>
          <w:sz w:val="40"/>
          <w:szCs w:val="40"/>
        </w:rPr>
      </w:pPr>
      <w:r>
        <w:rPr>
          <w:b/>
          <w:color w:val="CE181E"/>
          <w:sz w:val="40"/>
          <w:szCs w:val="40"/>
        </w:rPr>
      </w:r>
    </w:p>
    <w:p>
      <w:pPr>
        <w:pStyle w:val="Normal"/>
        <w:rPr>
          <w:b/>
          <w:color w:val="CE181E"/>
          <w:sz w:val="56"/>
          <w:szCs w:val="56"/>
        </w:rPr>
      </w:pPr>
      <w:r>
        <w:rPr>
          <w:b/>
          <w:color w:val="CE181E"/>
          <w:sz w:val="56"/>
          <w:szCs w:val="56"/>
        </w:rPr>
      </w:r>
    </w:p>
    <w:p>
      <w:pPr>
        <w:pStyle w:val="Normal"/>
        <w:jc w:val="center"/>
        <w:rPr>
          <w:b/>
          <w:color w:val="CE181E"/>
          <w:sz w:val="56"/>
          <w:szCs w:val="56"/>
        </w:rPr>
      </w:pPr>
      <w:r>
        <w:rPr>
          <w:b/>
          <w:color w:val="CE181E"/>
          <w:sz w:val="56"/>
          <w:szCs w:val="56"/>
        </w:rPr>
      </w:r>
    </w:p>
    <w:p>
      <w:pPr>
        <w:pStyle w:val="Normal"/>
        <w:jc w:val="center"/>
        <w:rPr>
          <w:color w:val="auto"/>
        </w:rPr>
      </w:pPr>
      <w:r>
        <w:rPr>
          <w:b/>
          <w:color w:val="auto"/>
          <w:sz w:val="52"/>
          <w:szCs w:val="52"/>
        </w:rPr>
        <w:t xml:space="preserve">Individuálna výročná správa </w:t>
      </w:r>
    </w:p>
    <w:p>
      <w:pPr>
        <w:pStyle w:val="Normal"/>
        <w:jc w:val="center"/>
        <w:rPr>
          <w:color w:val="auto"/>
        </w:rPr>
      </w:pPr>
      <w:r>
        <w:rPr>
          <w:b/>
          <w:color w:val="auto"/>
          <w:sz w:val="52"/>
          <w:szCs w:val="52"/>
        </w:rPr>
        <w:t>Obce Nižná Boca</w:t>
      </w:r>
    </w:p>
    <w:p>
      <w:pPr>
        <w:pStyle w:val="Normal"/>
        <w:jc w:val="center"/>
        <w:rPr>
          <w:b/>
          <w:color w:val="auto"/>
          <w:sz w:val="52"/>
          <w:szCs w:val="52"/>
        </w:rPr>
      </w:pPr>
      <w:r>
        <w:rPr>
          <w:b/>
          <w:color w:val="auto"/>
          <w:sz w:val="52"/>
          <w:szCs w:val="52"/>
        </w:rPr>
      </w:r>
    </w:p>
    <w:p>
      <w:pPr>
        <w:pStyle w:val="Normal"/>
        <w:jc w:val="center"/>
        <w:rPr>
          <w:color w:val="auto"/>
        </w:rPr>
      </w:pPr>
      <w:r>
        <w:rPr>
          <w:b/>
          <w:color w:val="auto"/>
          <w:sz w:val="52"/>
          <w:szCs w:val="52"/>
        </w:rPr>
        <w:t>za rok  2023</w:t>
      </w:r>
    </w:p>
    <w:p>
      <w:pPr>
        <w:pStyle w:val="Normal"/>
        <w:jc w:val="center"/>
        <w:rPr>
          <w:b/>
          <w:color w:val="auto"/>
          <w:sz w:val="52"/>
          <w:szCs w:val="52"/>
        </w:rPr>
      </w:pPr>
      <w:r>
        <w:rPr>
          <w:b/>
          <w:color w:val="auto"/>
          <w:sz w:val="52"/>
          <w:szCs w:val="52"/>
        </w:rPr>
      </w:r>
    </w:p>
    <w:p>
      <w:pPr>
        <w:pStyle w:val="Normal"/>
        <w:jc w:val="center"/>
        <w:rPr>
          <w:b/>
          <w:color w:val="auto"/>
          <w:sz w:val="52"/>
          <w:szCs w:val="52"/>
        </w:rPr>
      </w:pPr>
      <w:r>
        <w:rPr>
          <w:b/>
          <w:color w:val="auto"/>
          <w:sz w:val="52"/>
          <w:szCs w:val="52"/>
        </w:rPr>
      </w:r>
    </w:p>
    <w:p>
      <w:pPr>
        <w:pStyle w:val="Normal"/>
        <w:jc w:val="center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auto"/>
          <w:sz w:val="44"/>
          <w:szCs w:val="44"/>
        </w:rPr>
      </w:pPr>
      <w:r>
        <w:rPr>
          <w:b/>
          <w:color w:val="auto"/>
          <w:sz w:val="44"/>
          <w:szCs w:val="44"/>
        </w:rPr>
      </w:r>
    </w:p>
    <w:p>
      <w:pPr>
        <w:pStyle w:val="Normal"/>
        <w:tabs>
          <w:tab w:val="clear" w:pos="708"/>
          <w:tab w:val="right" w:pos="8820" w:leader="none"/>
        </w:tabs>
        <w:rPr>
          <w:color w:val="auto"/>
        </w:rPr>
      </w:pPr>
      <w:r>
        <w:rPr>
          <w:color w:val="auto"/>
        </w:rPr>
        <w:t xml:space="preserve">                                                                                            </w:t>
      </w:r>
      <w:r>
        <w:rPr>
          <w:color w:val="auto"/>
        </w:rPr>
        <w:t>Mgr. Silvia Skusilová</w:t>
      </w:r>
    </w:p>
    <w:p>
      <w:pPr>
        <w:pStyle w:val="Normal"/>
        <w:tabs>
          <w:tab w:val="clear" w:pos="708"/>
          <w:tab w:val="right" w:pos="8820" w:leader="none"/>
        </w:tabs>
        <w:rPr>
          <w:color w:val="auto"/>
        </w:rPr>
      </w:pPr>
      <w:r>
        <w:rPr>
          <w:color w:val="auto"/>
        </w:rPr>
        <w:t xml:space="preserve">                                                                                                         </w:t>
      </w:r>
      <w:r>
        <w:rPr>
          <w:color w:val="auto"/>
        </w:rPr>
        <w:t xml:space="preserve">starostka </w:t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b/>
          <w:color w:val="auto"/>
        </w:rPr>
      </w:pPr>
      <w:r>
        <w:rPr>
          <w:b/>
          <w:color w:val="auto"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b/>
          <w:color w:val="CE181E"/>
        </w:rPr>
      </w:pPr>
      <w:r>
        <w:rPr>
          <w:b/>
          <w:color w:val="CE181E"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b/>
          <w:color w:val="CE181E"/>
          <w:sz w:val="28"/>
          <w:szCs w:val="28"/>
        </w:rPr>
      </w:pPr>
      <w:r>
        <w:rPr>
          <w:b/>
          <w:color w:val="CE181E"/>
          <w:sz w:val="28"/>
          <w:szCs w:val="28"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color w:val="auto"/>
        </w:rPr>
      </w:pPr>
      <w:r>
        <w:rPr>
          <w:b/>
          <w:color w:val="auto"/>
          <w:sz w:val="28"/>
          <w:szCs w:val="28"/>
        </w:rPr>
        <w:t>OBSAH</w:t>
        <w:tab/>
        <w:t>str.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1. Úvodné slovo starostu obce</w:t>
        <w:tab/>
        <w:tab/>
        <w:tab/>
        <w:tab/>
        <w:tab/>
        <w:tab/>
        <w:tab/>
        <w:tab/>
        <w:t>3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2. 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3. Organizačná štruktúra obce a identifikácia vedúcich predstaviteľov</w:t>
        <w:tab/>
        <w:tab/>
        <w:tab/>
        <w:t>3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4. Poslanie, vízie, ciele</w:t>
        <w:tab/>
        <w:tab/>
        <w:tab/>
        <w:tab/>
        <w:tab/>
        <w:tab/>
        <w:tab/>
        <w:tab/>
        <w:tab/>
        <w:t>3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5. Základná charakteristika obce</w:t>
        <w:tab/>
        <w:tab/>
        <w:tab/>
        <w:tab/>
        <w:tab/>
        <w:tab/>
        <w:tab/>
        <w:tab/>
        <w:t>3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5.1. Geografické údaje</w:t>
        <w:tab/>
        <w:tab/>
        <w:tab/>
        <w:tab/>
        <w:tab/>
        <w:tab/>
        <w:tab/>
        <w:tab/>
        <w:tab/>
        <w:t>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5.2. Demografické údaje</w:t>
        <w:tab/>
        <w:tab/>
        <w:tab/>
        <w:tab/>
        <w:tab/>
        <w:tab/>
        <w:tab/>
        <w:tab/>
        <w:tab/>
        <w:t>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5.3. Ekonomické údaje</w:t>
        <w:tab/>
        <w:tab/>
        <w:tab/>
        <w:tab/>
        <w:tab/>
        <w:tab/>
        <w:tab/>
        <w:tab/>
        <w:tab/>
        <w:t>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5.4. Symboly obce</w:t>
        <w:tab/>
        <w:tab/>
        <w:tab/>
        <w:tab/>
        <w:tab/>
        <w:tab/>
        <w:tab/>
        <w:tab/>
        <w:tab/>
        <w:tab/>
        <w:t>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5.5. Logo obce</w:t>
        <w:tab/>
        <w:tab/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5.6. História obce</w:t>
        <w:tab/>
        <w:tab/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5.7. Pamiatky</w:t>
        <w:tab/>
        <w:tab/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6. Plnenie úloh obce (prenesené kompetencie, originálne kompetencie)</w:t>
        <w:tab/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6.1. Výchova a vzdelávanie</w:t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6.2   Zdravotníctvo</w:t>
        <w:tab/>
        <w:tab/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6.3. Sociálne zabezpečenie    </w:t>
        <w:tab/>
        <w:tab/>
        <w:tab/>
        <w:tab/>
        <w:tab/>
        <w:tab/>
        <w:tab/>
        <w:tab/>
        <w:t>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6.4.  Kultúra                 </w:t>
        <w:tab/>
        <w:tab/>
        <w:tab/>
        <w:tab/>
        <w:tab/>
        <w:tab/>
        <w:tab/>
        <w:tab/>
        <w:tab/>
        <w:t xml:space="preserve">5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6.5   Doprava</w:t>
        <w:tab/>
        <w:tab/>
        <w:tab/>
        <w:tab/>
        <w:tab/>
        <w:tab/>
        <w:tab/>
        <w:tab/>
        <w:tab/>
        <w:tab/>
        <w:t>6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6.6   Územné plánovanie</w:t>
        <w:tab/>
        <w:tab/>
        <w:tab/>
        <w:tab/>
        <w:tab/>
        <w:tab/>
        <w:tab/>
        <w:tab/>
        <w:tab/>
        <w:t>6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6.5.  Hospodárstvo</w:t>
        <w:tab/>
        <w:tab/>
        <w:tab/>
        <w:tab/>
        <w:tab/>
        <w:tab/>
        <w:tab/>
        <w:tab/>
        <w:tab/>
        <w:tab/>
        <w:t>6</w:t>
        <w:tab/>
        <w:tab/>
        <w:tab/>
        <w:tab/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7. Informácia o vývoji obce z pohľadu rozpočtovníctva</w:t>
        <w:tab/>
        <w:tab/>
        <w:tab/>
        <w:tab/>
        <w:tab/>
        <w:t>7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7.1. Plnenie príjmov a čerpanie výdavkov za rok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ab/>
        <w:t>7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7.2. Prebytok/schodok rozpočtového hospodárenia za rok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8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7.3. Rozpočet na roky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4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-202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6</w:t>
      </w: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ab/>
        <w:tab/>
        <w:tab/>
        <w:tab/>
        <w:t>10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8. Informácia o vývoji obce z pohľadu účtovníctva</w:t>
        <w:tab/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8.1   Majetok                </w:t>
        <w:tab/>
        <w:tab/>
        <w:tab/>
        <w:tab/>
        <w:tab/>
        <w:tab/>
        <w:tab/>
        <w:tab/>
        <w:tab/>
        <w:t>10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8.2.  Zdroje krytia   </w:t>
        <w:tab/>
        <w:tab/>
        <w:tab/>
        <w:tab/>
        <w:tab/>
        <w:tab/>
        <w:tab/>
        <w:tab/>
        <w:tab/>
        <w:t>10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8.3.  Pohľadávky         </w:t>
        <w:tab/>
        <w:tab/>
        <w:tab/>
        <w:tab/>
        <w:tab/>
        <w:tab/>
        <w:tab/>
        <w:tab/>
        <w:tab/>
        <w:t>11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8.4.  Záväzky</w:t>
        <w:tab/>
        <w:tab/>
        <w:tab/>
        <w:tab/>
        <w:tab/>
        <w:tab/>
        <w:tab/>
        <w:tab/>
        <w:tab/>
        <w:tab/>
        <w:t>12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9. Hospodársky výsledok za rok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– vývoj nákladov a výnosov</w:t>
        <w:tab/>
        <w:tab/>
        <w:tab/>
        <w:t>12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10. Ostatné významné skutočnosti, ktoré mali vplyv na hospodárenie a činnosť obce</w:t>
        <w:tab/>
        <w:t>14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10.1.  Prijaté granty a transfery</w:t>
        <w:tab/>
        <w:tab/>
        <w:tab/>
        <w:tab/>
        <w:tab/>
        <w:tab/>
        <w:tab/>
        <w:tab/>
        <w:t>14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10.2.  Poskytnuté dotácie</w:t>
        <w:tab/>
        <w:tab/>
        <w:tab/>
        <w:tab/>
        <w:tab/>
        <w:tab/>
        <w:tab/>
        <w:tab/>
        <w:tab/>
        <w:t>14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10.3.  Významné investičné akcie v roku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ab/>
        <w:tab/>
        <w:t>14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10.4   Predpokladaný budúci vývoj činnosti</w:t>
        <w:tab/>
        <w:tab/>
        <w:tab/>
        <w:tab/>
        <w:tab/>
        <w:tab/>
        <w:t>15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10.5.  Udalosti osobitného významu po skončení účtovného obdobia      </w:t>
        <w:tab/>
        <w:tab/>
        <w:t>15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10.6   Významné riziká a neistoty, ktorým je účtovná jednotka vystavená        </w:t>
        <w:tab/>
        <w:tab/>
        <w:t>15</w:t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Normal"/>
        <w:tabs>
          <w:tab w:val="clear" w:pos="708"/>
          <w:tab w:val="right" w:pos="8820" w:leader="none"/>
        </w:tabs>
        <w:spacing w:lineRule="auto" w:line="3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 xml:space="preserve">1. Úvodné slovo starostu obce </w:t>
      </w:r>
    </w:p>
    <w:p>
      <w:pPr>
        <w:pStyle w:val="Bezmezer"/>
        <w:rPr>
          <w:color w:val="auto"/>
          <w:lang w:val="sk-SK"/>
        </w:rPr>
      </w:pPr>
      <w:r>
        <w:rPr>
          <w:color w:val="auto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Výročná správa  predstavuje súhrn činností obce v hodnotovom vyjadrení za rok 2022. Našou snahou bolo zabezpečenie potrieb v prospech občanov obce a to pri dodržiavaní rozpočtových pravidiel. Obecný úrad sa zameriava hlavne na plnenie potrieb pre obyvateľov. Stará sa o obecný majetok a zveľaďuje ho. Energetická kríza sa dotkla aj nás, zálohové platby za spotrebu elektrickej energie narástli dvojnásobne, preto sme museli zvyšovať miestne dane. Dokončili sme projekty zateplenia a zmeny vykurovania kultúrneho domu. Čakajú nás výzvy ako Zmeny a doplnky č. 2 Územného plánu obce, kde ba sme mali rozhodnúť ako bude naša obec vyzerať v budúcnosti, väčším projektom bude vypracovanie projektovej dokumentácie na rekonštrukciu interiéru obecného domu, ktorý by mal v budúcnosti slúžiť ako obecný úrad. Najpodstatnejšou výzvou je dobudovanie a sprevádzkovanie verejnej kanalizácie. Chcem sa poďakovať poslancom obecného zastupiteľstva, zamestnancom obce a všetkým občanom, ktorí sa aktívne zapojili do činnosti v obci. Zveľaďovanie verejných priestranstiev a udržiavanie čistoty v obci je vizitkou nás všetkých a oprávnene môžeme byť na svoje územie hrdí.  </w:t>
      </w:r>
    </w:p>
    <w:p>
      <w:pPr>
        <w:pStyle w:val="Bezmezer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 xml:space="preserve">2. Identifikačné údaje obce 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Názov:</w:t>
        <w:tab/>
        <w:tab/>
        <w:tab/>
        <w:tab/>
        <w:t>Obec Nižná Boca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Sídlo:</w:t>
        <w:tab/>
        <w:tab/>
        <w:tab/>
        <w:tab/>
        <w:t>Nižná Boca č. 3,032 34 Malužiná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Štatutárny zástupca:</w:t>
        <w:tab/>
        <w:tab/>
        <w:t xml:space="preserve">Mgr.  Silvia Skusilová,  starostka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IČO:</w:t>
        <w:tab/>
        <w:tab/>
        <w:tab/>
        <w:tab/>
        <w:t>00315648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DIČ:</w:t>
        <w:tab/>
        <w:tab/>
        <w:tab/>
        <w:tab/>
        <w:t>2020581596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Telefón:</w:t>
        <w:tab/>
        <w:tab/>
        <w:tab/>
        <w:t>044/5291240</w:t>
      </w:r>
    </w:p>
    <w:p>
      <w:pPr>
        <w:pStyle w:val="Bezmezer"/>
        <w:jc w:val="both"/>
        <w:rPr/>
      </w:pPr>
      <w:r>
        <w:rPr>
          <w:rFonts w:ascii="Times New Roman" w:hAnsi="Times New Roman"/>
          <w:color w:val="auto"/>
          <w:sz w:val="24"/>
          <w:szCs w:val="24"/>
          <w:lang w:val="sk-SK"/>
        </w:rPr>
        <w:t>E-mail:</w:t>
        <w:tab/>
        <w:tab/>
        <w:tab/>
      </w:r>
      <w:hyperlink r:id="rId3">
        <w:r>
          <w:rPr>
            <w:rStyle w:val="Hyperlink"/>
            <w:rFonts w:ascii="Times New Roman" w:hAnsi="Times New Roman"/>
            <w:color w:val="auto"/>
            <w:sz w:val="24"/>
            <w:szCs w:val="24"/>
            <w:lang w:val="sk-SK"/>
          </w:rPr>
          <w:t>obec@niznaboca.sk</w:t>
        </w:r>
      </w:hyperlink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,  </w:t>
      </w:r>
      <w:hyperlink r:id="rId4">
        <w:r>
          <w:rPr>
            <w:rStyle w:val="Hyperlink"/>
            <w:rFonts w:ascii="Times New Roman" w:hAnsi="Times New Roman"/>
            <w:color w:val="auto"/>
            <w:sz w:val="24"/>
            <w:szCs w:val="24"/>
            <w:lang w:val="sk-SK"/>
          </w:rPr>
          <w:t>starosta@niznaboca.sk</w:t>
        </w:r>
      </w:hyperlink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Webová stránka:</w:t>
        <w:tab/>
        <w:tab/>
        <w:t>www.niznaboca.sk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3. Organizačná štruktúra obce a identifikácia vedúcich predstaviteľov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Vo voľbách do orgánov samosprávy dňa 10. 11. 2018 boli zvolení: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Starostka obce:</w:t>
        <w:tab/>
        <w:tab/>
        <w:t>Mgr. Silvia Skusilová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Obecné zastupiteľstvo:</w:t>
        <w:tab/>
        <w:t>Ing. Milan Hromádka – zástupca starostky obce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Ing. Eva Lániová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Martin Lichardus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Vladimír Šak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Mgr. Silvia Rísiková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Vo voľbách do orgánov samosprávy dňa 29. 10. 2022 boli zvolení: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Starostka obce:</w:t>
        <w:tab/>
        <w:tab/>
        <w:t>Mgr. Silvia Skusilová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Obecné zastupiteľstvo:</w:t>
        <w:tab/>
        <w:t>Mgr. Silvia Rísiková – zástupca starostky obce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Ing. Tomáš Hellebrandt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Martin Lichardus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Ing. Peter Matejko</w:t>
      </w:r>
    </w:p>
    <w:p>
      <w:pPr>
        <w:pStyle w:val="Bezmezer"/>
        <w:ind w:firstLine="708" w:left="2124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Anna Trajteľová</w:t>
      </w:r>
    </w:p>
    <w:p>
      <w:pPr>
        <w:pStyle w:val="Bezmezer"/>
        <w:ind w:firstLine="708" w:left="2124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Komisie:</w:t>
        <w:tab/>
        <w:tab/>
        <w:tab/>
        <w:t>komisia pre ochranu verejného záujmu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Obecný úrad:</w:t>
        <w:tab/>
        <w:tab/>
        <w:tab/>
        <w:t>Andrea Hrušovská – referentka obecného úradu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4. Poslanie, vízie, ciele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Poslanie obce: Starostlivosť o všestranný rozvoj obce a  obyvateľov žijúcich na jej území.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Vízie obce: </w:t>
      </w:r>
    </w:p>
    <w:p>
      <w:pPr>
        <w:pStyle w:val="Bezmezer"/>
        <w:numPr>
          <w:ilvl w:val="0"/>
          <w:numId w:val="2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dobudovanie infraštruktúry v obci</w:t>
      </w:r>
    </w:p>
    <w:p>
      <w:pPr>
        <w:pStyle w:val="Bezmezer"/>
        <w:numPr>
          <w:ilvl w:val="0"/>
          <w:numId w:val="2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zvýšená kvalita života s využitím prírodného, geografického potenciálu</w:t>
      </w:r>
    </w:p>
    <w:p>
      <w:pPr>
        <w:pStyle w:val="Bezmezer"/>
        <w:numPr>
          <w:ilvl w:val="0"/>
          <w:numId w:val="2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rozvoj rekreácie a cestovného ruchu.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Ciele obce:</w:t>
      </w:r>
    </w:p>
    <w:p>
      <w:pPr>
        <w:pStyle w:val="Bezmezer"/>
        <w:numPr>
          <w:ilvl w:val="0"/>
          <w:numId w:val="2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podporiť rozvoj obce, vytvárať priaznivé životné podmienky pre obyvateľov</w:t>
      </w:r>
    </w:p>
    <w:p>
      <w:pPr>
        <w:pStyle w:val="Bezmezer"/>
        <w:numPr>
          <w:ilvl w:val="0"/>
          <w:numId w:val="2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zlepšiť kvalitu života jej obyvateľov.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5. Základná charakteristika obce</w:t>
      </w:r>
    </w:p>
    <w:p>
      <w:pPr>
        <w:pStyle w:val="Normal"/>
        <w:widowControl w:val="false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widowControl w:val="false"/>
        <w:jc w:val="both"/>
        <w:rPr>
          <w:color w:val="auto"/>
        </w:rPr>
      </w:pPr>
      <w:r>
        <w:rPr>
          <w:color w:val="auto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5.1. Geografické údaje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Geografická poloha obce: Obec Nižná Boca sa rozprestiera po obidvoch brehoch potoka Bocianka. Obklopujú ju svahy blízkych vrchov Oleškovej, Špíglovô, Solisko, Fišiarka, Pálenica, Plešina, Črchle, Chopec a  Rovná hoľa. Jej chotár sa rozprestiera v chránenej oblasti, v Národnom parku Nízke Tatry.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Susedné mestá a obce:</w:t>
        <w:tab/>
        <w:t>Obec Malužiná, Obec Vyšná Boca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Celková rozloha obce:</w:t>
        <w:tab/>
        <w:t>24,99 km</w:t>
      </w:r>
      <w:r>
        <w:rPr>
          <w:rFonts w:ascii="Times New Roman" w:hAnsi="Times New Roman"/>
          <w:color w:val="auto"/>
          <w:sz w:val="24"/>
          <w:szCs w:val="24"/>
          <w:vertAlign w:val="superscript"/>
          <w:lang w:val="sk-SK"/>
        </w:rPr>
        <w:t>2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Nadmorská výška:</w:t>
        <w:tab/>
        <w:tab/>
        <w:t>851 mnm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5.2. Demografické údaje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Hustota a počet obyvateľov: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Počet obyvateľov k 31.12.202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:</w:t>
        <w:tab/>
        <w:t>153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Národnostná štruktúra: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Slovenská národnosť</w:t>
        <w:tab/>
        <w:tab/>
        <w:tab/>
        <w:t>151 občanov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Česká národnosť</w:t>
        <w:tab/>
        <w:tab/>
        <w:tab/>
        <w:t>1 občan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Poľská národnosť</w:t>
        <w:tab/>
        <w:tab/>
        <w:tab/>
        <w:t>1 občan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Štruktúra obyvateľstva podľa náboženského významu: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Väčšina obyvateľov Nižnej Boce je členmi evanjelickej cirkvi augsburského  vyznania,  druhou najpočetnejšou skupina je rímskokatolícka cirkev.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5.3. Ekonomické údaje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Nezamestnanosť v obci :</w:t>
        <w:tab/>
        <w:t>nezamestnanosť v obci sa pohybuje v r. 2021 na úrovni  0,5</w:t>
        <w:tab/>
        <w:tab/>
        <w:t xml:space="preserve">                       - 1,0 % z celkového počtu obyvateľov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Nezamestnanosť v okrese:</w:t>
        <w:tab/>
        <w:t xml:space="preserve">nezamestnanosť v okrese Liptovský Mikuláš sa pohybuje na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úrovni 5,10 – 5,32 %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Vývoj nezamestnanosti : </w:t>
        <w:tab/>
        <w:t>priemerný počet dlhodobo nezamestnaných v kalendárnom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mesiaci - 1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>percento nezamestnaných sa znížilo oproti  roku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2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b/>
          <w:i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5.4. Symboly obce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Erb obce:</w:t>
      </w:r>
      <w:r>
        <w:rPr>
          <w:rFonts w:ascii="Times New Roman" w:hAnsi="Times New Roman"/>
          <w:color w:val="auto"/>
          <w:sz w:val="24"/>
          <w:szCs w:val="24"/>
          <w:lang w:val="sk-SK"/>
        </w:rPr>
        <w:tab/>
        <w:t xml:space="preserve">V červenom štíte skrížené strieborné banícke kladivká, rozpájacie a bicie, na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 xml:space="preserve">dvoch dlhých zlatých rukovätiach sprevádzané hore zlatým slnkom s tvárou, no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>bez lúčov, po bokoch striebornými položenými hviezdami  konvexných cípov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>a dolu obráteným strieborným polmesiacom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Vlajka obce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:</w:t>
        <w:tab/>
        <w:t xml:space="preserve">Vlajku obce tvorí šesť pozdĺžnych pruhov vo farbách žltá 2/8, červená 1/8,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>žltá 1/8, biela 1/8, červená 1/8  a biela 2/8. Vlajka má pomer strán 2:3,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>ukončená troma cípmi.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5.5. Logo obce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 nemá vytvorené svoje logo.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5.6. História obce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Prvá zmienka o obci je z roku 1285. V tomto období bola dolina osídľovaná nemeckými prisťahovalcami zo Saska, ktorí sa venovali hlavne ťažbe zlata, striebra, železa a medi. Postupne ťažba klesala až do roku 1860, keď bola úplne zastavená.  V čase valašskej kolonizácie, keď zanikla banícka činnosť, obyvatelia obce sa preorientovali na chov dobytka, oviec, súkenníctvo a prácu v lesoch. Obyvatelia sa tiež venovali spracovaniu ovčej vlny.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Už v roku 1540 tu existoval evanjelický zbor. V roku 1844 bol v obci postavený evanjelický kostol bez veže, ktorá bola dostavaná až v roku 1939. V roku 1632 bola zriadená ľudová evanjelická škola a nepretržite fungovala až do roku  1972.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 roku 1926 vznikla z dolnej časti Kráľovskej a Svätojánskej Boce Nižná Boca a z horných častí obidvoch obcí Vyšná Boca. V tomto období sa obyvateľstvo zaoberalo hlavne chovom dobytka a oviec. Zvláštnosťou, až raritou je skutočnosť, že obyvatelia mali dobytok ustajnený a zazimovaný priamo na lúkach, a nie pri svojich obydliach. Dodnes môžeme vidieť v celej doline roztrúsených niekoľko lúčnych maštalí.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5.7. Pamiatky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Časť Nižnej Boce je vyhlásená za Chránenú pamiatkovú zónu ľudovej architektúry. Najstarší zachovaný dom je z roku 1710 s popisným číslom 130 a miestnym názvom Od Jakobusky.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auto"/>
          <w:sz w:val="24"/>
          <w:szCs w:val="24"/>
          <w:lang w:val="sk-SK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6. Plnenie úloh obce (prenesené kompetencie, originálne kompetencie)</w:t>
      </w:r>
    </w:p>
    <w:p>
      <w:pPr>
        <w:pStyle w:val="Bezmezer"/>
        <w:jc w:val="both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6.1. Výchova a vzdelávanie, športové aktivity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 nie je zriaďovateľom žiadnej školy ani školského zariadenia.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 súčasnosti  výchovu a vzdelávanie detí poskytujú: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Predškolskú výchovu: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Materská škola Kráľova Lehota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Materská škola v Liptovskom Hrádku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Povinnú školskú dochádzku a mimoškolské aktivity si žiaci plnia v: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Základnej škole v Hybiach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Základných školách, ktorých zriaďovateľom je mesto Liptovský Hrádok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Centrum voľného času v Liptovskom Hrádku</w:t>
      </w:r>
    </w:p>
    <w:p>
      <w:pPr>
        <w:pStyle w:val="Bezmezer"/>
        <w:jc w:val="both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6.2. Zdravotníctvo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Zdravotnú starostlivosť občanom poskytuje: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Poliklinika n.o. Liptovský Hrádok v pôsobnosti ŽSK 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Nemocnica s poliklinikou v Liptovskom Mikuláši</w:t>
      </w:r>
    </w:p>
    <w:p>
      <w:pPr>
        <w:pStyle w:val="Bezmezer"/>
        <w:numPr>
          <w:ilvl w:val="0"/>
          <w:numId w:val="1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Ústredná vojenská nemocnica SNP Ružomberok</w:t>
      </w:r>
    </w:p>
    <w:p>
      <w:pPr>
        <w:pStyle w:val="Bezmezer"/>
        <w:jc w:val="both"/>
        <w:rPr>
          <w:rFonts w:ascii="Times New Roman" w:hAnsi="Times New Roman"/>
          <w:color w:val="CE181E"/>
          <w:lang w:val="sk-SK"/>
        </w:rPr>
      </w:pPr>
      <w:r>
        <w:rPr>
          <w:rFonts w:ascii="Times New Roman" w:hAnsi="Times New Roman"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CE181E"/>
          <w:lang w:val="sk-SK"/>
        </w:rPr>
      </w:pPr>
      <w:r>
        <w:rPr>
          <w:rFonts w:ascii="Times New Roman" w:hAnsi="Times New Roman"/>
          <w:color w:val="CE181E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6.3. Sociálne zabezpečenie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Sociálne služby pre občanov obce sa vybavujú individuálne. Administratívnu časť obec zabezpečuje dodávateľsky.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Najbližšie zariadenia sociálnych služieb sú v Liptovskom Hrádku a Liptovskom Mikuláši.</w:t>
      </w:r>
    </w:p>
    <w:p>
      <w:pPr>
        <w:pStyle w:val="Bezmezer"/>
        <w:jc w:val="both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6.4. Kultúra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Knižnica 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 má vlastnú knižnicu, ktorá sídli v Obecnom dome Nižná Boca č. 74 – je otvorená každý druhý štvrtok od 16.00 – 18.00 hod. Knižný fond je každý rok dopĺňaný. V roku 2022 z dôvodu rekonštrukcie vykurovania kultúrneho domu bola činnosť obecnej knižnice obmedzená.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6.5. Doprava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  <w:t>Riešenie dopravy v obci.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  <w:t>V k.ú. Nižnej Boce prechádza cesta I. triedy, ktorú spravuje Žilinský samosprávny kraj. V obci sú miestne komunikácie v dĺžke 3 km a sedem mostov. Asfaltové komunikácie sú v dĺžke 2.6 km a 0,40 km sú štrkové. Mosty sú železobetónové. Zimnú údržbu obec zabezpečuje dodávateľským spôsobom.</w:t>
      </w:r>
    </w:p>
    <w:p>
      <w:pPr>
        <w:pStyle w:val="Bezmezer"/>
        <w:jc w:val="both"/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</w:pPr>
      <w:r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6.6. Územné plánovanie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  <w:t>Riešenie územného plánovania v obci.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Cs/>
          <w:iCs/>
          <w:color w:val="auto"/>
          <w:sz w:val="24"/>
          <w:szCs w:val="24"/>
          <w:lang w:val="sk-SK"/>
        </w:rPr>
        <w:t xml:space="preserve">Územný plán bol schválený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obecným zastupiteľstvom uznesením č. 4/2003 A ll. zo dňa 29.04.2003. Zmeny a doplnky č.1 Územného plánu obceNižná Boca boli schválené uznesením č. 39/2008 zo dňa 28.02.2008 a týkali sa lokality Horné Lúky. V roku 2022 plánujeme zahájiť Zmeny a doplnky č.2 Územného plánu v lokalite Dolné Salášky a Dolné Lúky.   </w:t>
      </w:r>
    </w:p>
    <w:p>
      <w:pPr>
        <w:pStyle w:val="Bezmezer"/>
        <w:jc w:val="both"/>
        <w:rPr>
          <w:rFonts w:ascii="Times New Roman" w:hAnsi="Times New Roman"/>
          <w:bCs/>
          <w:iCs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bCs/>
          <w:iCs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6.7. Hospodárstvo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Najvýznamnejší poskytovatelia služieb v obci 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COOP Jednota SD Liptovský. Mikuláš – predajňa potraviny-mix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Penzión „Bocorka“ – reštauračné a ubytovacie služby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Reštaurácia „Stará zvonica“ – od júla 2021 – reštauračné a ubytovacie služby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Najvýznamnejšie právnické osoby, ktoré platia daň znehnuteľností 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Lesy SR,  š.p. , OZ Liptovský Hrádok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Urbársky spolok obce Nižná Boca pozemkové spoločenstvo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Agria Liptovský Ondrej a.s., Liptovský Ondrej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Jihomoravský kraj, Brno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STU v Bratislave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COOP Jednota SD, Liptovský Mikuláš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   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NVB Invest a.s., Nižná Boca 651</w:t>
      </w:r>
    </w:p>
    <w:p>
      <w:pPr>
        <w:pStyle w:val="Bezmezer"/>
        <w:jc w:val="both"/>
        <w:rPr>
          <w:rFonts w:ascii="Times New Roman" w:hAnsi="Times New Roman"/>
          <w:color w:val="CE181E"/>
          <w:lang w:val="sk-SK"/>
        </w:rPr>
      </w:pPr>
      <w:r>
        <w:rPr>
          <w:rFonts w:ascii="Times New Roman" w:hAnsi="Times New Roman"/>
          <w:color w:val="CE181E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7. Rozpočet obce na rok 202</w:t>
      </w: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b/>
          <w:color w:val="auto"/>
          <w:sz w:val="24"/>
          <w:szCs w:val="24"/>
          <w:lang w:val="sk-SK"/>
        </w:rPr>
        <w:t xml:space="preserve"> a jeho plnenie</w:t>
      </w:r>
    </w:p>
    <w:p>
      <w:pPr>
        <w:pStyle w:val="Normal"/>
        <w:tabs>
          <w:tab w:val="clear" w:pos="708"/>
          <w:tab w:val="left" w:pos="165" w:leader="none"/>
        </w:tabs>
        <w:jc w:val="both"/>
        <w:rPr>
          <w:color w:val="auto"/>
        </w:rPr>
      </w:pPr>
      <w:r>
        <w:rPr>
          <w:color w:val="auto"/>
        </w:rPr>
        <w:t>Základným   nástrojom  finančného  hospodárenia  obce  bol   rozpočet   obce   na  rok   2023.</w:t>
      </w:r>
    </w:p>
    <w:p>
      <w:pPr>
        <w:pStyle w:val="Normal"/>
        <w:tabs>
          <w:tab w:val="clear" w:pos="708"/>
          <w:tab w:val="left" w:pos="165" w:leader="none"/>
        </w:tabs>
        <w:jc w:val="both"/>
        <w:rPr>
          <w:color w:val="auto"/>
        </w:rPr>
      </w:pPr>
      <w:r>
        <w:rPr>
          <w:color w:val="auto"/>
        </w:rPr>
        <w:tab/>
        <w:t xml:space="preserve">Obec v roku 2023 zostavila rozpočet podľa ustanovenia § 10 odsek 7) zákona č.583/2004 Z. z. </w:t>
        <w:tab/>
        <w:t xml:space="preserve">o rozpočtových pravidlách územnej samosprávy a o zmene a doplnení niektorých zákonov v znení </w:t>
        <w:tab/>
        <w:t xml:space="preserve">neskorších predpisov. Rozpočet obce na rok 2023 bol zostavený ako vyrovnaný. Bežný rozpočet bol </w:t>
        <w:tab/>
        <w:t xml:space="preserve">zostavený ako prebytkový a kapitálový rozpočet ako schodkový. </w:t>
      </w:r>
    </w:p>
    <w:p>
      <w:pPr>
        <w:pStyle w:val="Normal"/>
        <w:tabs>
          <w:tab w:val="clear" w:pos="708"/>
          <w:tab w:val="left" w:pos="165" w:leader="none"/>
        </w:tabs>
        <w:jc w:val="both"/>
        <w:rPr>
          <w:color w:val="auto"/>
        </w:rPr>
      </w:pPr>
      <w:r>
        <w:rPr>
          <w:color w:val="auto"/>
        </w:rPr>
        <w:tab/>
        <w:t xml:space="preserve">Hospodárenie obce sa riadilo podľa schváleného rozpočtu na rok 2023. </w:t>
      </w:r>
    </w:p>
    <w:p>
      <w:pPr>
        <w:pStyle w:val="Normal"/>
        <w:tabs>
          <w:tab w:val="clear" w:pos="708"/>
          <w:tab w:val="left" w:pos="165" w:leader="none"/>
        </w:tabs>
        <w:jc w:val="both"/>
        <w:rPr/>
      </w:pPr>
      <w:r>
        <w:rPr>
          <w:color w:val="C9211E"/>
        </w:rPr>
        <w:tab/>
      </w:r>
      <w:r>
        <w:rPr>
          <w:color w:val="auto"/>
          <w:sz w:val="24"/>
          <w:szCs w:val="24"/>
        </w:rPr>
        <w:t>Rozpočet obce bol schválený obecným zastupiteľstvom dňa 14.12.2022  uznesením OZ</w:t>
      </w: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č. 61/2022.</w:t>
      </w:r>
    </w:p>
    <w:p>
      <w:pPr>
        <w:pStyle w:val="Normal"/>
        <w:tabs>
          <w:tab w:val="clear" w:pos="708"/>
          <w:tab w:val="left" w:pos="165" w:leader="none"/>
        </w:tabs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 xml:space="preserve">Zmeny rozpočtu: 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01. zmena schválená dňa 19.01.2023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02. zmena schválená dňa 05.02.2023 v kompetencii starostu obce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03. zmena schválená dňa 03.03.2023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04. zmena schválená dňa 10.03.2023 v kompetencii starostu obce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05. zmena schválená dňa 15.04.2023 v kompetencii starostu obce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06. zmena schválená dňa 01.06.2023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07. zmena schválená dňa 01.06.2023 v kompetencii starostu obce 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08. zmena schválená dňa 23.08.2023 OZ 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09. zmena schválená dňa 25.08.2023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10. zmena schválená dňa 28.08.2023 v kompetencii starostu obce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11. zmena schválená dňa 04.09.2023 v kompetencii starostu obce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12. zmena schválená dňa 10.09.2023 v kompetencii starostu obce 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13. zmena schválená dňa 13.10.2023 OZ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14. zmena schválená dňa 15.12.2023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15. zmena schválená dňa 15.12.2023 OZ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16. zmena schválená dňa 16.12.2023 starosta obce zobral na vedomie</w:t>
      </w:r>
    </w:p>
    <w:p>
      <w:pPr>
        <w:pStyle w:val="Normal"/>
        <w:numPr>
          <w:ilvl w:val="0"/>
          <w:numId w:val="4"/>
        </w:numPr>
        <w:suppressAutoHyphens w:val="false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  <w:lang w:val="sk-SK"/>
        </w:rPr>
        <w:t>17. zmena schválená dňa 20.12.2023 v kompetencii starostu obce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odyText"/>
        <w:suppressAutoHyphens w:val="false"/>
        <w:spacing w:before="0" w:after="63"/>
        <w:jc w:val="both"/>
        <w:rPr>
          <w:rFonts w:ascii="Times New          Roman;Times New Roman" w:hAnsi="Times New          Roman;Times New Roman" w:cs="Times New          Roman;Times New Roman"/>
          <w:b w:val="false"/>
          <w:bCs w:val="false"/>
          <w:color w:val="C9211E"/>
          <w:sz w:val="22"/>
          <w:szCs w:val="22"/>
        </w:rPr>
      </w:pPr>
      <w:r>
        <w:rPr>
          <w:rFonts w:cs="Times New          Roman;Times New Roman" w:ascii="Times New          Roman;Times New Roman" w:hAnsi="Times New          Roman;Times New Roman"/>
          <w:b w:val="false"/>
          <w:bCs w:val="false"/>
          <w:color w:val="C9211E"/>
          <w:sz w:val="22"/>
          <w:szCs w:val="22"/>
        </w:rPr>
      </w:r>
    </w:p>
    <w:p>
      <w:pPr>
        <w:pStyle w:val="Normal"/>
        <w:jc w:val="center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Rozpočet obce k  31.12.2023</w:t>
      </w:r>
    </w:p>
    <w:p>
      <w:pPr>
        <w:pStyle w:val="Normal"/>
        <w:jc w:val="center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Normal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</w:r>
    </w:p>
    <w:tbl>
      <w:tblPr>
        <w:tblW w:w="811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3"/>
        <w:gridCol w:w="1843"/>
        <w:gridCol w:w="2382"/>
      </w:tblGrid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>Schválený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Rozpočet </w:t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po zmenách 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166.780,00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411.295,00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127.880,00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140.284,00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194.446,00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38.900,00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76.565,00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166.780,00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411.295,00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127.880,00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139.159,00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38.900,00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78.800,00</w:t>
            </w:r>
          </w:p>
        </w:tc>
      </w:tr>
      <w:tr>
        <w:trPr/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color w:val="auto"/>
              </w:rPr>
            </w:pPr>
            <w:r>
              <w:rPr>
                <w:color w:val="auto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193.336,00</w:t>
            </w:r>
          </w:p>
        </w:tc>
      </w:tr>
      <w:tr>
        <w:trPr>
          <w:trHeight w:val="313" w:hRule="atLeast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0,00</w:t>
            </w:r>
          </w:p>
        </w:tc>
        <w:tc>
          <w:tcPr>
            <w:tcW w:w="2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napToGrid w:val="false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0,00</w:t>
            </w:r>
          </w:p>
        </w:tc>
      </w:tr>
    </w:tbl>
    <w:p>
      <w:pPr>
        <w:pStyle w:val="Normal"/>
        <w:jc w:val="both"/>
        <w:rPr>
          <w:b/>
          <w:color w:val="auto"/>
        </w:rPr>
      </w:pPr>
      <w:r>
        <w:rPr>
          <w:b/>
          <w:color w:val="auto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lang w:val="sk-SK"/>
        </w:rPr>
      </w:pPr>
      <w:r>
        <w:rPr>
          <w:rFonts w:ascii="Times New Roman" w:hAnsi="Times New Roman"/>
          <w:b/>
          <w:i/>
          <w:color w:val="CE181E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7.1. Plnenie príjmov a čerpanie výdavkov k 31. 12. 202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 v  eurách:</w:t>
      </w:r>
    </w:p>
    <w:p>
      <w:pPr>
        <w:pStyle w:val="Bezmezer"/>
        <w:jc w:val="both"/>
        <w:rPr>
          <w:color w:val="CE181E"/>
        </w:rPr>
      </w:pPr>
      <w:r>
        <w:rPr/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tbl>
      <w:tblPr>
        <w:tblW w:w="942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59"/>
        <w:gridCol w:w="3812"/>
        <w:gridCol w:w="2151"/>
      </w:tblGrid>
      <w:tr>
        <w:trPr>
          <w:trHeight w:val="120" w:hRule="atLeast"/>
        </w:trPr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 31.12.2023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>
          <w:trHeight w:val="224" w:hRule="atLeast"/>
        </w:trPr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411.295,00</w:t>
            </w:r>
          </w:p>
        </w:tc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402.434,99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97,85</w:t>
            </w:r>
          </w:p>
        </w:tc>
      </w:tr>
    </w:tbl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rPr/>
      </w:pPr>
      <w:r>
        <w:rPr>
          <w:color w:val="auto"/>
        </w:rPr>
        <w:tab/>
      </w:r>
      <w:bookmarkStart w:id="0" w:name="OLE_LINK61"/>
      <w:bookmarkStart w:id="1" w:name="OLE_LINK71"/>
      <w:bookmarkStart w:id="2" w:name="OLE_LINK81"/>
      <w:bookmarkStart w:id="3" w:name="OLE_LINK6"/>
      <w:bookmarkStart w:id="4" w:name="OLE_LINK7"/>
      <w:bookmarkStart w:id="5" w:name="OLE_LINK8"/>
      <w:r>
        <w:rPr>
          <w:color w:val="auto"/>
        </w:rPr>
        <w:t xml:space="preserve">Z rozpočtovaných celkových príjmov 411.295,00 EUR bol skutočný príjem k 31.12.2023 vo </w:t>
        <w:tab/>
        <w:t>výške 402.434,99 EUR, čo predstavuje plnenie na 97,85%.</w:t>
      </w:r>
      <w:bookmarkEnd w:id="0"/>
      <w:bookmarkEnd w:id="1"/>
      <w:bookmarkEnd w:id="2"/>
      <w:bookmarkEnd w:id="3"/>
      <w:bookmarkEnd w:id="4"/>
      <w:bookmarkEnd w:id="5"/>
    </w:p>
    <w:p>
      <w:pPr>
        <w:pStyle w:val="Normal"/>
        <w:rPr>
          <w:color w:val="C9211E"/>
        </w:rPr>
      </w:pPr>
      <w:r>
        <w:rPr>
          <w:color w:val="C9211E"/>
        </w:rPr>
      </w:r>
    </w:p>
    <w:p>
      <w:pPr>
        <w:pStyle w:val="Normal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2.1.  Bežné príjmy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tbl>
      <w:tblPr>
        <w:tblW w:w="942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59"/>
        <w:gridCol w:w="3812"/>
        <w:gridCol w:w="2151"/>
      </w:tblGrid>
      <w:tr>
        <w:trPr/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 31.12.2023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/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140.284,00</w:t>
            </w:r>
          </w:p>
        </w:tc>
        <w:tc>
          <w:tcPr>
            <w:tcW w:w="3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144.639,29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103,10</w:t>
            </w:r>
          </w:p>
        </w:tc>
      </w:tr>
    </w:tbl>
    <w:p>
      <w:pPr>
        <w:pStyle w:val="Normal"/>
        <w:rPr>
          <w:b/>
          <w:bCs/>
          <w:color w:val="C9211E"/>
          <w:sz w:val="28"/>
        </w:rPr>
      </w:pPr>
      <w:r>
        <w:rPr>
          <w:b/>
          <w:bCs/>
          <w:color w:val="C9211E"/>
          <w:sz w:val="28"/>
        </w:rPr>
        <w:t xml:space="preserve">       </w:t>
      </w:r>
    </w:p>
    <w:p>
      <w:pPr>
        <w:pStyle w:val="Normal"/>
        <w:rPr/>
      </w:pPr>
      <w:r>
        <w:rPr>
          <w:b/>
          <w:bCs/>
          <w:color w:val="C9211E"/>
          <w:sz w:val="28"/>
        </w:rPr>
        <w:t xml:space="preserve">   </w:t>
      </w:r>
      <w:r>
        <w:rPr>
          <w:b/>
          <w:bCs/>
          <w:color w:val="C9211E"/>
          <w:sz w:val="28"/>
        </w:rPr>
        <w:tab/>
      </w:r>
      <w:r>
        <w:rPr>
          <w:b/>
          <w:bCs/>
          <w:color w:val="auto"/>
          <w:sz w:val="28"/>
        </w:rPr>
        <w:t>Bežné príjmy – daňové</w:t>
      </w:r>
    </w:p>
    <w:tbl>
      <w:tblPr>
        <w:tblW w:w="945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2"/>
        <w:gridCol w:w="3829"/>
        <w:gridCol w:w="2109"/>
      </w:tblGrid>
      <w:tr>
        <w:trPr/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31.12.2023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/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128.310,00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134.311,32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104,68</w:t>
            </w:r>
          </w:p>
        </w:tc>
      </w:tr>
    </w:tbl>
    <w:p>
      <w:pPr>
        <w:pStyle w:val="Normal"/>
        <w:rPr>
          <w:color w:val="C9211E"/>
        </w:rPr>
      </w:pPr>
      <w:r>
        <w:rPr>
          <w:color w:val="C9211E"/>
        </w:rPr>
        <w:tab/>
      </w:r>
    </w:p>
    <w:p>
      <w:pPr>
        <w:pStyle w:val="Normal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1. Výnos dane z príjmov poukázaný územnej samospráve</w:t>
      </w:r>
    </w:p>
    <w:p>
      <w:pPr>
        <w:pStyle w:val="Normal"/>
        <w:ind w:firstLine="360" w:right="0"/>
        <w:jc w:val="both"/>
        <w:rPr>
          <w:color w:val="auto"/>
        </w:rPr>
      </w:pPr>
      <w:r>
        <w:rPr>
          <w:color w:val="auto"/>
        </w:rPr>
        <w:tab/>
        <w:t xml:space="preserve">Z predpokladanej finančnej čiastky 52.314,00 EUR  z výnosu dane z príjmov  k 31.12.2023 boli </w:t>
        <w:tab/>
        <w:t xml:space="preserve">poukázané prostriedky zo ŠR vo výške 52.064,25 EUR, čo predstavuje plnenie na 99,52 %. 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2. Daň z nehnuteľností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ab/>
        <w:t xml:space="preserve">Z rozpočtovaných 58.726,00 EUR bol skutočný príjem k 31.12.2023 vo výške 62.341,75 EUR, čo </w:t>
        <w:tab/>
        <w:t xml:space="preserve">je 106,16 % plnenia. Z toho príjem dane z pozemkov vo výške 38.683,21 EUR a dane zo stavieb </w:t>
        <w:tab/>
        <w:t>vo výške 22.658,74 EUR.</w:t>
      </w:r>
    </w:p>
    <w:p>
      <w:pPr>
        <w:pStyle w:val="Normal"/>
        <w:rPr>
          <w:color w:val="C9211E"/>
        </w:rPr>
      </w:pPr>
      <w:r>
        <w:rPr>
          <w:color w:val="C9211E"/>
        </w:rPr>
      </w:r>
    </w:p>
    <w:p>
      <w:pPr>
        <w:pStyle w:val="Normal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3.ostatné miestne dane</w:t>
      </w:r>
    </w:p>
    <w:tbl>
      <w:tblPr>
        <w:tblW w:w="9425" w:type="dxa"/>
        <w:jc w:val="left"/>
        <w:tblInd w:w="39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2265"/>
        <w:gridCol w:w="2265"/>
        <w:gridCol w:w="2195"/>
      </w:tblGrid>
      <w:tr>
        <w:trPr>
          <w:trHeight w:val="630" w:hRule="atLeast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 xml:space="preserve">           </w:t>
            </w:r>
            <w:r>
              <w:rPr>
                <w:color w:val="auto"/>
              </w:rPr>
              <w:t xml:space="preserve">Rozpočet upravený na rok 2023         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 31.12.2023</w:t>
            </w: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 xml:space="preserve">              </w:t>
            </w:r>
            <w:r>
              <w:rPr>
                <w:color w:val="auto"/>
              </w:rPr>
              <w:t>% plnenia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Daň za psa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250,00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233,98</w:t>
            </w: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93,59</w:t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Poplatok za TKO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12.100,00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12.441,82</w:t>
            </w: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102,82</w:t>
            </w:r>
          </w:p>
        </w:tc>
      </w:tr>
      <w:tr>
        <w:trPr/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left"/>
              <w:rPr>
                <w:color w:val="auto"/>
              </w:rPr>
            </w:pPr>
            <w:r>
              <w:rPr>
                <w:color w:val="auto"/>
              </w:rPr>
              <w:t>Daň za ubytovanie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7.000,00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8.881,50</w:t>
            </w:r>
          </w:p>
        </w:tc>
        <w:tc>
          <w:tcPr>
            <w:tcW w:w="21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126,88</w:t>
            </w:r>
          </w:p>
        </w:tc>
      </w:tr>
    </w:tbl>
    <w:p>
      <w:pPr>
        <w:pStyle w:val="Normal"/>
        <w:rPr>
          <w:bCs/>
          <w:color w:val="000000"/>
          <w:shd w:fill="C0C0C0" w:val="clear"/>
        </w:rPr>
      </w:pPr>
      <w:r>
        <w:rPr>
          <w:bCs/>
          <w:color w:val="000000"/>
          <w:shd w:fill="C0C0C0" w:val="clear"/>
        </w:rPr>
      </w:r>
    </w:p>
    <w:p>
      <w:pPr>
        <w:pStyle w:val="Normal"/>
        <w:rPr/>
      </w:pPr>
      <w:r>
        <w:rPr>
          <w:bCs/>
          <w:color w:val="C9211E"/>
        </w:rPr>
        <w:t xml:space="preserve">        </w:t>
      </w:r>
      <w:r>
        <w:rPr>
          <w:bCs/>
          <w:color w:val="auto"/>
        </w:rPr>
        <w:t xml:space="preserve"> </w:t>
      </w:r>
      <w:r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Bežné príjmy – nedaňové</w:t>
      </w:r>
    </w:p>
    <w:tbl>
      <w:tblPr>
        <w:tblW w:w="9441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59"/>
        <w:gridCol w:w="3741"/>
        <w:gridCol w:w="2241"/>
      </w:tblGrid>
      <w:tr>
        <w:trPr>
          <w:trHeight w:val="247" w:hRule="atLeast"/>
        </w:trPr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 31.12.2023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>
          <w:trHeight w:val="344" w:hRule="atLeast"/>
        </w:trPr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6.971,00</w:t>
            </w:r>
          </w:p>
        </w:tc>
        <w:tc>
          <w:tcPr>
            <w:tcW w:w="3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5.337,01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76,56</w:t>
            </w:r>
          </w:p>
        </w:tc>
      </w:tr>
    </w:tbl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1. Príjmy z podnikania a z vlastníckeho majetku</w:t>
      </w:r>
    </w:p>
    <w:p>
      <w:pPr>
        <w:pStyle w:val="Normal"/>
        <w:tabs>
          <w:tab w:val="clear" w:pos="708"/>
          <w:tab w:val="left" w:pos="382" w:leader="none"/>
        </w:tabs>
        <w:ind w:firstLine="360" w:right="0"/>
        <w:jc w:val="both"/>
        <w:rPr/>
      </w:pPr>
      <w:r>
        <w:rPr>
          <w:b/>
          <w:bCs/>
          <w:color w:val="auto"/>
        </w:rPr>
        <w:tab/>
        <w:tab/>
      </w:r>
      <w:r>
        <w:rPr>
          <w:color w:val="auto"/>
        </w:rPr>
        <w:t xml:space="preserve">Z rozpočtovaných 2.830,000 EUR bol skutočný príjem k 31.12.2023 vo výške 1.729,30 EUR, čo </w:t>
        <w:tab/>
        <w:tab/>
        <w:t xml:space="preserve">predstavuje plnenie na 61,11 %. V uvedených príjmoch sú zahrnuté príjmy z prenájmu budov, </w:t>
        <w:tab/>
        <w:tab/>
        <w:tab/>
        <w:t>priestorov a objektov vo výške 939,30 EUR.</w:t>
      </w:r>
    </w:p>
    <w:p>
      <w:pPr>
        <w:pStyle w:val="Normal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2. Administratívne - správne poplatky a iné  poplatky:</w:t>
      </w:r>
    </w:p>
    <w:p>
      <w:pPr>
        <w:pStyle w:val="Normal"/>
        <w:tabs>
          <w:tab w:val="clear" w:pos="708"/>
          <w:tab w:val="left" w:pos="382" w:leader="none"/>
        </w:tabs>
        <w:ind w:firstLine="360" w:right="0"/>
        <w:jc w:val="both"/>
        <w:rPr>
          <w:color w:val="auto"/>
        </w:rPr>
      </w:pPr>
      <w:r>
        <w:rPr>
          <w:color w:val="auto"/>
        </w:rPr>
        <w:tab/>
        <w:tab/>
        <w:t xml:space="preserve">Z rozpočtovaných 2.770,00 EUR bol skutočný príjem k 31.12.2023 vo výške 1.934,20 EUR, čo </w:t>
        <w:tab/>
        <w:tab/>
        <w:tab/>
        <w:t>predstavuje plnenie na 69,83%.</w:t>
      </w:r>
    </w:p>
    <w:p>
      <w:pPr>
        <w:pStyle w:val="Normal"/>
        <w:jc w:val="both"/>
        <w:rPr/>
      </w:pPr>
      <w:r>
        <w:rPr>
          <w:b/>
          <w:bCs/>
          <w:color w:val="C9211E"/>
        </w:rPr>
        <w:tab/>
      </w:r>
    </w:p>
    <w:p>
      <w:pPr>
        <w:pStyle w:val="Normal"/>
        <w:jc w:val="both"/>
        <w:rPr>
          <w:b/>
          <w:bCs/>
          <w:color w:val="C9211E"/>
        </w:rPr>
      </w:pPr>
      <w:r>
        <w:rPr/>
      </w:r>
    </w:p>
    <w:p>
      <w:pPr>
        <w:pStyle w:val="Normal"/>
        <w:jc w:val="both"/>
        <w:rPr/>
      </w:pPr>
      <w:r>
        <w:rPr>
          <w:b/>
          <w:bCs/>
          <w:color w:val="C9211E"/>
        </w:rPr>
        <w:tab/>
      </w:r>
      <w:r>
        <w:rPr>
          <w:b/>
          <w:bCs/>
          <w:color w:val="auto"/>
        </w:rPr>
        <w:t>3. Príjmy z dobropisov a vratiek</w:t>
      </w:r>
    </w:p>
    <w:p>
      <w:pPr>
        <w:pStyle w:val="Normal"/>
        <w:ind w:firstLine="360" w:right="0"/>
        <w:jc w:val="both"/>
        <w:rPr/>
      </w:pPr>
      <w:r>
        <w:rPr>
          <w:color w:val="auto"/>
        </w:rPr>
        <w:t xml:space="preserve">  </w:t>
      </w:r>
      <w:r>
        <w:rPr>
          <w:color w:val="auto"/>
        </w:rPr>
        <w:tab/>
        <w:t xml:space="preserve">Z rozpočtovaných 1.371,00 EUR bol skutočný príjem k 31.12.2023 vo výške 1.673,51 EUR, čo </w:t>
        <w:tab/>
        <w:t>predstavuje plnenie na 122,06 %</w:t>
      </w:r>
    </w:p>
    <w:p>
      <w:pPr>
        <w:pStyle w:val="Normal"/>
        <w:jc w:val="both"/>
        <w:rPr>
          <w:color w:val="C9211E"/>
        </w:rPr>
      </w:pPr>
      <w:r>
        <w:rPr>
          <w:color w:val="C9211E"/>
        </w:rPr>
      </w:r>
    </w:p>
    <w:p>
      <w:pPr>
        <w:pStyle w:val="Normal"/>
        <w:ind w:firstLine="360" w:right="0"/>
        <w:jc w:val="both"/>
        <w:rPr/>
      </w:pPr>
      <w:r>
        <w:rPr>
          <w:b/>
          <w:bCs/>
          <w:color w:val="C9211E"/>
          <w:sz w:val="28"/>
          <w:szCs w:val="28"/>
        </w:rPr>
        <w:t xml:space="preserve">     </w:t>
      </w:r>
      <w:r>
        <w:rPr>
          <w:b/>
          <w:bCs/>
          <w:color w:val="auto"/>
          <w:sz w:val="28"/>
          <w:szCs w:val="28"/>
        </w:rPr>
        <w:t>Granty a transfery</w:t>
      </w:r>
    </w:p>
    <w:tbl>
      <w:tblPr>
        <w:tblW w:w="9415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59"/>
        <w:gridCol w:w="3847"/>
        <w:gridCol w:w="2109"/>
      </w:tblGrid>
      <w:tr>
        <w:trPr/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 31.12.2023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>
          <w:trHeight w:val="310" w:hRule="atLeast"/>
        </w:trPr>
        <w:tc>
          <w:tcPr>
            <w:tcW w:w="3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5.003,00</w:t>
            </w:r>
          </w:p>
        </w:tc>
        <w:tc>
          <w:tcPr>
            <w:tcW w:w="3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4.990,96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99,76</w:t>
            </w:r>
          </w:p>
        </w:tc>
      </w:tr>
    </w:tbl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rPr>
          <w:b/>
          <w:bCs/>
          <w:color w:val="C9211E"/>
        </w:rPr>
      </w:pPr>
      <w:r>
        <w:rPr>
          <w:b/>
          <w:bCs/>
          <w:color w:val="C9211E"/>
        </w:rPr>
        <w:t xml:space="preserve">   </w:t>
      </w:r>
    </w:p>
    <w:p>
      <w:pPr>
        <w:pStyle w:val="Normal"/>
        <w:rPr>
          <w:color w:val="C9211E"/>
        </w:rPr>
      </w:pPr>
      <w:r>
        <w:rPr>
          <w:color w:val="C9211E"/>
        </w:rPr>
      </w:r>
    </w:p>
    <w:p>
      <w:pPr>
        <w:pStyle w:val="Normal"/>
        <w:rPr/>
      </w:pPr>
      <w:r>
        <w:rPr>
          <w:b/>
          <w:bCs/>
          <w:color w:val="C9211E"/>
        </w:rPr>
        <w:t xml:space="preserve"> </w:t>
      </w: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>Obec prijala nasledovné transfery a granty: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tbl>
      <w:tblPr>
        <w:tblW w:w="9630" w:type="dxa"/>
        <w:jc w:val="left"/>
        <w:tblInd w:w="8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0"/>
        <w:gridCol w:w="4502"/>
        <w:gridCol w:w="1573"/>
        <w:gridCol w:w="2973"/>
        <w:gridCol w:w="132"/>
      </w:tblGrid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 </w:t>
            </w:r>
          </w:p>
        </w:tc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 xml:space="preserve">         </w:t>
            </w:r>
            <w:r>
              <w:rPr>
                <w:color w:val="auto"/>
              </w:rPr>
              <w:t xml:space="preserve">Poskytovateľ 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>
                <w:color w:val="auto"/>
              </w:rPr>
              <w:t xml:space="preserve"> </w:t>
            </w:r>
            <w:r>
              <w:rPr>
                <w:color w:val="auto"/>
              </w:rPr>
              <w:t>Suma  v EUR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/>
            </w:pPr>
            <w:r>
              <w:rPr>
                <w:color w:val="auto"/>
              </w:rPr>
              <w:t xml:space="preserve">      </w:t>
            </w:r>
            <w:r>
              <w:rPr>
                <w:color w:val="auto"/>
              </w:rPr>
              <w:t xml:space="preserve">Účel    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Ministerstvo vnútra SR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76,49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Register obyvateľov a adries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Ministerstvo vnútra SR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1.210,81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left"/>
              <w:rPr>
                <w:color w:val="auto"/>
              </w:rPr>
            </w:pPr>
            <w:r>
              <w:rPr>
                <w:color w:val="auto"/>
              </w:rPr>
              <w:t>Voľby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Okresný úrad Žilina odbor starostlivosti o ŽP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16,93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Životné prostredie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Ostatné granty</w:t>
            </w:r>
          </w:p>
        </w:tc>
        <w:tc>
          <w:tcPr>
            <w:tcW w:w="1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500,00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knižnica        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45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Okresný úrad Žilina odbor CD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6,61</w:t>
            </w:r>
          </w:p>
        </w:tc>
        <w:tc>
          <w:tcPr>
            <w:tcW w:w="29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Cestná doprava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45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MF SR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2.948,06</w:t>
            </w:r>
          </w:p>
        </w:tc>
        <w:tc>
          <w:tcPr>
            <w:tcW w:w="29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inflácia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45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Okresný úrad Žilina odbor stavebný</w:t>
            </w:r>
          </w:p>
        </w:tc>
        <w:tc>
          <w:tcPr>
            <w:tcW w:w="15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232,06</w:t>
            </w:r>
          </w:p>
        </w:tc>
        <w:tc>
          <w:tcPr>
            <w:tcW w:w="297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Stavebný úrad</w:t>
            </w:r>
          </w:p>
        </w:tc>
        <w:tc>
          <w:tcPr>
            <w:tcW w:w="132" w:type="dxa"/>
            <w:tcBorders>
              <w:left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</w:tbl>
    <w:p>
      <w:pPr>
        <w:pStyle w:val="Normal"/>
        <w:tabs>
          <w:tab w:val="clear" w:pos="708"/>
          <w:tab w:val="left" w:pos="450" w:leader="none"/>
        </w:tabs>
        <w:rPr>
          <w:color w:val="auto"/>
        </w:rPr>
      </w:pPr>
      <w:r>
        <w:rPr>
          <w:color w:val="auto"/>
        </w:rPr>
        <w:tab/>
      </w:r>
    </w:p>
    <w:p>
      <w:pPr>
        <w:pStyle w:val="Normal"/>
        <w:tabs>
          <w:tab w:val="clear" w:pos="708"/>
          <w:tab w:val="left" w:pos="450" w:leader="none"/>
        </w:tabs>
        <w:rPr>
          <w:color w:val="auto"/>
        </w:rPr>
      </w:pPr>
      <w:r>
        <w:rPr>
          <w:color w:val="auto"/>
        </w:rPr>
        <w:tab/>
        <w:t>Prijaté transfery boli účelovo viazané a boli  použité v súlade s ich účelom v plnej výške.</w:t>
      </w:r>
    </w:p>
    <w:p>
      <w:pPr>
        <w:pStyle w:val="Normal"/>
        <w:tabs>
          <w:tab w:val="clear" w:pos="708"/>
          <w:tab w:val="left" w:pos="450" w:leader="none"/>
        </w:tabs>
        <w:rPr>
          <w:color w:val="C9211E"/>
        </w:rPr>
      </w:pPr>
      <w:r>
        <w:rPr>
          <w:color w:val="C9211E"/>
        </w:rPr>
      </w:r>
    </w:p>
    <w:p>
      <w:pPr>
        <w:pStyle w:val="Normal"/>
        <w:rPr>
          <w:color w:val="C9211E"/>
          <w:shd w:fill="C0C0C0" w:val="clear"/>
        </w:rPr>
      </w:pPr>
      <w:r>
        <w:rPr>
          <w:color w:val="C9211E"/>
          <w:shd w:fill="C0C0C0" w:val="clear"/>
        </w:rPr>
      </w:r>
    </w:p>
    <w:p>
      <w:pPr>
        <w:pStyle w:val="Normal"/>
        <w:numPr>
          <w:ilvl w:val="1"/>
          <w:numId w:val="5"/>
        </w:numPr>
        <w:rPr>
          <w:color w:val="auto"/>
        </w:rPr>
      </w:pPr>
      <w:r>
        <w:rPr>
          <w:b/>
          <w:bCs/>
          <w:color w:val="auto"/>
          <w:sz w:val="32"/>
          <w:szCs w:val="32"/>
        </w:rPr>
        <w:t>Kapitálové príjmy</w:t>
      </w:r>
    </w:p>
    <w:tbl>
      <w:tblPr>
        <w:tblW w:w="9537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2"/>
        <w:gridCol w:w="3970"/>
        <w:gridCol w:w="2055"/>
      </w:tblGrid>
      <w:tr>
        <w:trPr/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 31.12.2023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/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194.446,00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200.035,44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102,87</w:t>
            </w:r>
          </w:p>
        </w:tc>
      </w:tr>
    </w:tbl>
    <w:p>
      <w:pPr>
        <w:pStyle w:val="Normal"/>
        <w:ind w:firstLine="708" w:right="0"/>
        <w:rPr>
          <w:color w:val="auto"/>
        </w:rPr>
      </w:pPr>
      <w:r>
        <w:rPr>
          <w:color w:val="auto"/>
        </w:rPr>
      </w:r>
    </w:p>
    <w:p>
      <w:pPr>
        <w:pStyle w:val="Normal"/>
        <w:tabs>
          <w:tab w:val="clear" w:pos="708"/>
          <w:tab w:val="left" w:pos="450" w:leader="none"/>
        </w:tabs>
        <w:rPr/>
      </w:pPr>
      <w:r>
        <w:rPr>
          <w:color w:val="auto"/>
        </w:rPr>
        <w:tab/>
      </w:r>
      <w:r>
        <w:rPr>
          <w:color w:val="auto"/>
          <w:szCs w:val="28"/>
        </w:rPr>
        <w:t xml:space="preserve">Z rozpočtovaných kapitálových príjmov vo výške 194.446,00 EUR bol skutočný príjem k </w:t>
        <w:tab/>
        <w:t>31.12.2023 v sume 200.035,44 EUR, čo predstavuje plnenie na 102,87%.</w:t>
      </w:r>
    </w:p>
    <w:p>
      <w:pPr>
        <w:pStyle w:val="Normal"/>
        <w:rPr/>
      </w:pPr>
      <w:r>
        <w:rPr>
          <w:b/>
          <w:color w:val="auto"/>
          <w:sz w:val="32"/>
          <w:szCs w:val="28"/>
        </w:rPr>
        <w:tab/>
      </w:r>
      <w:r>
        <w:rPr>
          <w:b w:val="false"/>
          <w:bCs w:val="false"/>
          <w:color w:val="auto"/>
          <w:sz w:val="24"/>
          <w:szCs w:val="24"/>
        </w:rPr>
        <w:t xml:space="preserve">Kapitálové </w:t>
      </w:r>
      <w:r>
        <w:rPr>
          <w:color w:val="auto"/>
        </w:rPr>
        <w:t>príjmy tvorili: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1. príjem z dotácie KD vykurovanie</w:t>
        <w:tab/>
        <w:tab/>
        <w:tab/>
        <w:tab/>
        <w:t xml:space="preserve">       86.163,56 EUR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2. príjem z dotácie zateplenie</w:t>
        <w:tab/>
        <w:tab/>
        <w:tab/>
        <w:tab/>
        <w:t xml:space="preserve">                   96.371,88 EUR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3. predaj V3S</w:t>
        <w:tab/>
        <w:tab/>
        <w:tab/>
        <w:tab/>
        <w:tab/>
        <w:tab/>
        <w:tab/>
        <w:t xml:space="preserve">         8.500,00 EUR</w:t>
      </w:r>
    </w:p>
    <w:p>
      <w:pPr>
        <w:pStyle w:val="Normal"/>
        <w:tabs>
          <w:tab w:val="clear" w:pos="708"/>
          <w:tab w:val="left" w:pos="450" w:leader="none"/>
        </w:tabs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ab/>
        <w:tab/>
      </w:r>
    </w:p>
    <w:p>
      <w:pPr>
        <w:pStyle w:val="Normal"/>
        <w:rPr>
          <w:color w:val="C9211E"/>
        </w:rPr>
      </w:pPr>
      <w:r>
        <w:rPr>
          <w:color w:val="C9211E"/>
        </w:rPr>
      </w:r>
    </w:p>
    <w:p>
      <w:pPr>
        <w:pStyle w:val="Normal"/>
        <w:rPr>
          <w:b/>
          <w:color w:val="C9211E"/>
        </w:rPr>
      </w:pPr>
      <w:r>
        <w:rPr>
          <w:b/>
          <w:color w:val="C9211E"/>
        </w:rPr>
        <w:tab/>
      </w:r>
    </w:p>
    <w:p>
      <w:pPr>
        <w:pStyle w:val="Normal"/>
        <w:numPr>
          <w:ilvl w:val="1"/>
          <w:numId w:val="6"/>
        </w:numPr>
        <w:rPr>
          <w:color w:val="auto"/>
        </w:rPr>
      </w:pPr>
      <w:r>
        <w:rPr>
          <w:b/>
          <w:color w:val="auto"/>
          <w:sz w:val="32"/>
        </w:rPr>
        <w:t xml:space="preserve">  </w:t>
      </w:r>
      <w:r>
        <w:rPr>
          <w:b/>
          <w:color w:val="auto"/>
          <w:sz w:val="32"/>
        </w:rPr>
        <w:t>Príjmové finančné operácie</w:t>
      </w:r>
    </w:p>
    <w:tbl>
      <w:tblPr>
        <w:tblW w:w="961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82"/>
        <w:gridCol w:w="3883"/>
        <w:gridCol w:w="2149"/>
      </w:tblGrid>
      <w:tr>
        <w:trPr>
          <w:trHeight w:val="212" w:hRule="atLeast"/>
        </w:trPr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Rozpočet upravený na rok 2023</w:t>
            </w:r>
          </w:p>
        </w:tc>
        <w:tc>
          <w:tcPr>
            <w:tcW w:w="3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Skutočnosť k  31.12.2023</w:t>
            </w: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% plnenia</w:t>
            </w:r>
          </w:p>
        </w:tc>
      </w:tr>
      <w:tr>
        <w:trPr/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76.565,00</w:t>
            </w:r>
          </w:p>
        </w:tc>
        <w:tc>
          <w:tcPr>
            <w:tcW w:w="3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57.760,26</w:t>
            </w:r>
          </w:p>
        </w:tc>
        <w:tc>
          <w:tcPr>
            <w:tcW w:w="2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75,44</w:t>
            </w:r>
          </w:p>
        </w:tc>
      </w:tr>
    </w:tbl>
    <w:p>
      <w:pPr>
        <w:pStyle w:val="Normal"/>
        <w:rPr>
          <w:b/>
          <w:color w:val="C9211E"/>
          <w:sz w:val="32"/>
          <w:szCs w:val="28"/>
        </w:rPr>
      </w:pPr>
      <w:r>
        <w:rPr>
          <w:b/>
          <w:color w:val="C9211E"/>
          <w:sz w:val="32"/>
          <w:szCs w:val="28"/>
        </w:rPr>
        <w:tab/>
      </w:r>
    </w:p>
    <w:p>
      <w:pPr>
        <w:pStyle w:val="Normal"/>
        <w:rPr/>
      </w:pPr>
      <w:r>
        <w:rPr>
          <w:color w:val="C9211E"/>
          <w:szCs w:val="28"/>
        </w:rPr>
        <w:tab/>
      </w:r>
      <w:r>
        <w:rPr>
          <w:color w:val="auto"/>
          <w:szCs w:val="28"/>
        </w:rPr>
        <w:t xml:space="preserve">Z rozpočtovaných finančných príjmov vo výške 76.565,00 EUR bol skutočný príjem k </w:t>
        <w:tab/>
        <w:t>31.12.2023 v sume 57.760,26 EUR, čo predstavuje plnenie na 75,44%.</w:t>
      </w:r>
    </w:p>
    <w:p>
      <w:pPr>
        <w:pStyle w:val="Normal"/>
        <w:rPr/>
      </w:pPr>
      <w:r>
        <w:rPr>
          <w:b/>
          <w:color w:val="auto"/>
          <w:sz w:val="32"/>
          <w:szCs w:val="28"/>
        </w:rPr>
        <w:tab/>
      </w:r>
      <w:r>
        <w:rPr>
          <w:color w:val="auto"/>
        </w:rPr>
        <w:t>Finančné príjmy tvorili:</w:t>
      </w:r>
    </w:p>
    <w:p>
      <w:pPr>
        <w:pStyle w:val="Normal"/>
        <w:rPr/>
      </w:pPr>
      <w:r>
        <w:rPr>
          <w:b/>
          <w:bCs/>
          <w:color w:val="auto"/>
        </w:rPr>
        <w:tab/>
      </w:r>
      <w:r>
        <w:rPr>
          <w:b w:val="false"/>
          <w:bCs w:val="false"/>
          <w:color w:val="auto"/>
        </w:rPr>
        <w:t>1. príjem z rezervného fondu</w:t>
        <w:tab/>
        <w:tab/>
        <w:tab/>
        <w:tab/>
        <w:t xml:space="preserve">      44.942,64  EUR 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ab/>
        <w:t>2. zostatok prostriedkov Referendum 2022</w:t>
        <w:tab/>
        <w:tab/>
        <w:t xml:space="preserve">           674,57  EUR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ab/>
        <w:t xml:space="preserve">3. zostatok prostriedkov UPD             </w:t>
        <w:tab/>
        <w:tab/>
        <w:t xml:space="preserve">      12.000,00  EUR</w:t>
      </w:r>
    </w:p>
    <w:p>
      <w:pPr>
        <w:pStyle w:val="Normal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ab/>
        <w:t>4. zostatok prostriedkov zabudnutá minulosť</w:t>
        <w:tab/>
        <w:tab/>
        <w:t xml:space="preserve">           143,05  EUR</w:t>
      </w:r>
    </w:p>
    <w:p>
      <w:pPr>
        <w:pStyle w:val="Normal"/>
        <w:rPr/>
      </w:pPr>
      <w:r>
        <w:rPr>
          <w:b w:val="false"/>
          <w:bCs w:val="false"/>
          <w:color w:val="auto"/>
        </w:rPr>
        <w:tab/>
      </w:r>
      <w:r>
        <w:rPr>
          <w:b/>
          <w:color w:val="C9211E"/>
          <w:sz w:val="32"/>
          <w:szCs w:val="28"/>
        </w:rPr>
        <w:tab/>
      </w:r>
      <w:r>
        <w:rPr>
          <w:b/>
          <w:color w:val="auto"/>
          <w:sz w:val="32"/>
          <w:szCs w:val="28"/>
        </w:rPr>
        <w:t>3. Rozbor čerpania výdavkov za rok 20</w:t>
      </w:r>
      <w:r>
        <w:rPr>
          <w:b/>
          <w:bCs/>
          <w:color w:val="auto"/>
          <w:sz w:val="32"/>
          <w:szCs w:val="28"/>
        </w:rPr>
        <w:t>23</w:t>
      </w:r>
    </w:p>
    <w:p>
      <w:pPr>
        <w:pStyle w:val="Normal"/>
        <w:rPr>
          <w:color w:val="auto"/>
        </w:rPr>
      </w:pPr>
      <w:r>
        <w:rPr>
          <w:color w:val="auto"/>
        </w:rPr>
      </w:r>
    </w:p>
    <w:tbl>
      <w:tblPr>
        <w:tblW w:w="9750" w:type="dxa"/>
        <w:jc w:val="left"/>
        <w:tblInd w:w="2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00"/>
        <w:gridCol w:w="3055"/>
        <w:gridCol w:w="3095"/>
      </w:tblGrid>
      <w:tr>
        <w:trPr/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 upravený na rok 2023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  31.12.2023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% plnenia</w:t>
            </w:r>
          </w:p>
        </w:tc>
      </w:tr>
      <w:tr>
        <w:trPr/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411.295,00</w:t>
            </w:r>
          </w:p>
        </w:tc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354.014,36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86,07</w:t>
            </w:r>
          </w:p>
        </w:tc>
      </w:tr>
    </w:tbl>
    <w:p>
      <w:pPr>
        <w:pStyle w:val="Normal"/>
        <w:ind w:left="360" w:right="0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360" w:right="0"/>
        <w:jc w:val="both"/>
        <w:rPr>
          <w:color w:val="auto"/>
        </w:rPr>
      </w:pPr>
      <w:r>
        <w:rPr>
          <w:color w:val="auto"/>
        </w:rPr>
        <w:tab/>
        <w:t>Z rozpočtovaných celkových výdavkov 411.295,00 EUR bol skutočný príjem k 31.12.2023</w:t>
      </w:r>
    </w:p>
    <w:p>
      <w:pPr>
        <w:pStyle w:val="Normal"/>
        <w:ind w:left="360" w:right="0"/>
        <w:jc w:val="both"/>
        <w:rPr>
          <w:color w:val="auto"/>
        </w:rPr>
      </w:pPr>
      <w:r>
        <w:rPr>
          <w:color w:val="auto"/>
        </w:rPr>
        <w:tab/>
        <w:t xml:space="preserve"> vo výške 354.014,36 EUR, čo predstavuje plnenie na 86,07%.</w:t>
      </w:r>
    </w:p>
    <w:p>
      <w:pPr>
        <w:pStyle w:val="Normal"/>
        <w:ind w:left="360" w:right="0"/>
        <w:jc w:val="both"/>
        <w:rPr>
          <w:color w:val="C9211E"/>
        </w:rPr>
      </w:pPr>
      <w:r>
        <w:rPr>
          <w:color w:val="C9211E"/>
        </w:rPr>
      </w:r>
    </w:p>
    <w:p>
      <w:pPr>
        <w:pStyle w:val="Normal"/>
        <w:rPr/>
      </w:pPr>
      <w:r>
        <w:rPr>
          <w:b/>
          <w:color w:val="C9211E"/>
          <w:sz w:val="28"/>
          <w:szCs w:val="28"/>
        </w:rPr>
        <w:tab/>
      </w:r>
      <w:r>
        <w:rPr>
          <w:b/>
          <w:color w:val="auto"/>
          <w:sz w:val="28"/>
          <w:szCs w:val="28"/>
        </w:rPr>
        <w:t xml:space="preserve">3.1 Bežné výdavky </w:t>
      </w:r>
    </w:p>
    <w:p>
      <w:pPr>
        <w:pStyle w:val="Normal"/>
        <w:rPr>
          <w:b/>
          <w:color w:val="auto"/>
        </w:rPr>
      </w:pPr>
      <w:r>
        <w:rPr>
          <w:b/>
          <w:color w:val="auto"/>
        </w:rPr>
        <w:t xml:space="preserve"> </w:t>
      </w:r>
    </w:p>
    <w:tbl>
      <w:tblPr>
        <w:tblW w:w="9750" w:type="dxa"/>
        <w:jc w:val="left"/>
        <w:tblInd w:w="2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6"/>
        <w:gridCol w:w="3069"/>
        <w:gridCol w:w="3095"/>
      </w:tblGrid>
      <w:tr>
        <w:trPr/>
        <w:tc>
          <w:tcPr>
            <w:tcW w:w="3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 upravený  na rok 2023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  31.12.2023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% plnenia</w:t>
            </w:r>
          </w:p>
        </w:tc>
      </w:tr>
      <w:tr>
        <w:trPr>
          <w:trHeight w:val="344" w:hRule="atLeast"/>
        </w:trPr>
        <w:tc>
          <w:tcPr>
            <w:tcW w:w="3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139.880,00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111.792,99</w:t>
            </w:r>
          </w:p>
        </w:tc>
        <w:tc>
          <w:tcPr>
            <w:tcW w:w="3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80,33</w:t>
            </w:r>
          </w:p>
        </w:tc>
      </w:tr>
    </w:tbl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rPr/>
      </w:pPr>
      <w:r>
        <w:rPr>
          <w:color w:val="C9211E"/>
        </w:rPr>
        <w:tab/>
      </w:r>
      <w:r>
        <w:rPr>
          <w:color w:val="auto"/>
        </w:rPr>
        <w:t xml:space="preserve">V tom </w:t>
      </w:r>
      <w:r>
        <w:rPr>
          <w:b/>
          <w:color w:val="auto"/>
        </w:rPr>
        <w:t>:</w:t>
      </w:r>
    </w:p>
    <w:tbl>
      <w:tblPr>
        <w:tblW w:w="10323" w:type="dxa"/>
        <w:jc w:val="left"/>
        <w:tblInd w:w="-62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68"/>
        <w:gridCol w:w="1837"/>
        <w:gridCol w:w="1995"/>
        <w:gridCol w:w="2823"/>
      </w:tblGrid>
      <w:tr>
        <w:trPr/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b/>
                <w:color w:val="auto"/>
              </w:rPr>
            </w:pPr>
            <w:r>
              <w:rPr>
                <w:b/>
                <w:color w:val="auto"/>
              </w:rPr>
              <w:t>Funkčná klasifikácia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</w:t>
            </w: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% plnenia</w:t>
            </w:r>
          </w:p>
        </w:tc>
      </w:tr>
      <w:tr>
        <w:trPr/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rFonts w:eastAsia="Arial"/>
                <w:color w:val="auto"/>
              </w:rPr>
            </w:pPr>
            <w:r>
              <w:rPr>
                <w:rFonts w:eastAsia="Arial"/>
                <w:color w:val="auto"/>
              </w:rPr>
              <w:t>Výkonné a zákonodarné orgány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81.312,10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76.254,11</w:t>
            </w: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93,78</w:t>
            </w:r>
          </w:p>
        </w:tc>
      </w:tr>
      <w:tr>
        <w:trPr>
          <w:trHeight w:val="328" w:hRule="atLeast"/>
        </w:trPr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Finančné a rozpočtové záležitosti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1.450,00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1.102,60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76,04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rFonts w:eastAsia="Arial"/>
                <w:color w:val="auto"/>
              </w:rPr>
            </w:pPr>
            <w:r>
              <w:rPr>
                <w:rFonts w:eastAsia="Arial"/>
                <w:color w:val="auto"/>
              </w:rPr>
              <w:t>Všeobecné verejné služby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1.892,90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1.885,38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99,60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rFonts w:eastAsia="Arial"/>
                <w:color w:val="auto"/>
              </w:rPr>
            </w:pPr>
            <w:r>
              <w:rPr>
                <w:rFonts w:eastAsia="Arial"/>
                <w:color w:val="auto"/>
              </w:rPr>
              <w:t>Transakcie verejného dlhu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6.482,00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6.479,45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99,95</w:t>
            </w:r>
          </w:p>
        </w:tc>
      </w:tr>
      <w:tr>
        <w:trPr/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 xml:space="preserve">Cestná doprava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6.654,00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5.301,25</w:t>
            </w: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79,67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Nakladanie s odpadmi a ochrana ŽP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10.900,00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8.202,28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75,25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Cestovný ruch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800,00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13,20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1,65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Rozvoj obcí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3.543,00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2.837,02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80,07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Zásobovanie vodou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800,00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261,60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32,70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Verejné osvetlenie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3.950,00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1.670,51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42,29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Rekreačné a športové služby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1.001,00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288,33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28,80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Kultúrne služby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15.031,00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3.743,84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24,91</w:t>
            </w:r>
          </w:p>
        </w:tc>
      </w:tr>
      <w:tr>
        <w:trPr>
          <w:trHeight w:val="319" w:hRule="atLeast"/>
        </w:trPr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Vysielacie a vydavateľské služby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300,00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75,15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25,05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Náboženské služby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1.778,00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1.363,31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76,68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Vzdelávanie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1.815,00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1.096,56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60,42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Staroba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950,00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718,40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75,62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b w:val="false"/>
                <w:bCs w:val="false"/>
                <w:color w:val="auto"/>
              </w:rPr>
            </w:pPr>
            <w:r>
              <w:rPr>
                <w:b w:val="false"/>
                <w:bCs w:val="false"/>
                <w:color w:val="auto"/>
              </w:rPr>
              <w:t>Sociálna pomoc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b w:val="false"/>
                <w:bCs w:val="false"/>
                <w:color w:val="auto"/>
              </w:rPr>
            </w:pPr>
            <w:r>
              <w:rPr>
                <w:b w:val="false"/>
                <w:bCs w:val="false"/>
                <w:color w:val="auto"/>
              </w:rPr>
              <w:t>500,00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b w:val="false"/>
                <w:bCs w:val="false"/>
                <w:color w:val="auto"/>
              </w:rPr>
            </w:pPr>
            <w:r>
              <w:rPr>
                <w:b w:val="false"/>
                <w:bCs w:val="false"/>
                <w:color w:val="auto"/>
              </w:rPr>
              <w:t>500,00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b w:val="false"/>
                <w:bCs w:val="false"/>
                <w:color w:val="auto"/>
              </w:rPr>
            </w:pPr>
            <w:r>
              <w:rPr>
                <w:b w:val="false"/>
                <w:bCs w:val="false"/>
                <w:color w:val="auto"/>
              </w:rPr>
              <w:t>100,00</w:t>
            </w:r>
          </w:p>
        </w:tc>
      </w:tr>
      <w:tr>
        <w:trPr/>
        <w:tc>
          <w:tcPr>
            <w:tcW w:w="366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>SPOLU:</w:t>
            </w:r>
          </w:p>
        </w:tc>
        <w:tc>
          <w:tcPr>
            <w:tcW w:w="18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139.880,00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111.792,99</w:t>
            </w:r>
          </w:p>
        </w:tc>
        <w:tc>
          <w:tcPr>
            <w:tcW w:w="2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80,33</w:t>
            </w:r>
          </w:p>
        </w:tc>
      </w:tr>
    </w:tbl>
    <w:p>
      <w:pPr>
        <w:pStyle w:val="Normal"/>
        <w:jc w:val="both"/>
        <w:rPr>
          <w:b/>
          <w:color w:val="auto"/>
          <w:sz w:val="28"/>
        </w:rPr>
      </w:pPr>
      <w:r>
        <w:rPr>
          <w:b/>
          <w:color w:val="auto"/>
          <w:sz w:val="28"/>
        </w:rPr>
      </w:r>
    </w:p>
    <w:p>
      <w:pPr>
        <w:pStyle w:val="Normal"/>
        <w:tabs>
          <w:tab w:val="clear" w:pos="708"/>
          <w:tab w:val="right" w:pos="284" w:leader="none"/>
        </w:tabs>
        <w:ind w:hanging="284" w:left="284" w:right="0"/>
        <w:jc w:val="both"/>
        <w:rPr>
          <w:b/>
          <w:color w:val="auto"/>
        </w:rPr>
      </w:pPr>
      <w:r>
        <w:rPr>
          <w:b/>
          <w:color w:val="auto"/>
        </w:rPr>
        <w:t>a) Mzdy, platy, služobné príjmy a ostatné osobné vyrovnania</w:t>
      </w:r>
    </w:p>
    <w:p>
      <w:pPr>
        <w:pStyle w:val="Normal"/>
        <w:tabs>
          <w:tab w:val="clear" w:pos="708"/>
          <w:tab w:val="left" w:pos="286" w:leader="none"/>
        </w:tabs>
        <w:jc w:val="both"/>
        <w:rPr>
          <w:color w:val="auto"/>
        </w:rPr>
      </w:pPr>
      <w:r>
        <w:rPr>
          <w:color w:val="auto"/>
        </w:rPr>
        <w:tab/>
        <w:t xml:space="preserve">Z rozpočtovaných 41.125,20 EUR bolo skutočné čerpanie k 31.12.2023 v sume 39.363,17 EUR, </w:t>
      </w:r>
    </w:p>
    <w:p>
      <w:pPr>
        <w:pStyle w:val="Normal"/>
        <w:tabs>
          <w:tab w:val="clear" w:pos="708"/>
          <w:tab w:val="left" w:pos="286" w:leader="none"/>
        </w:tabs>
        <w:jc w:val="both"/>
        <w:rPr>
          <w:color w:val="auto"/>
        </w:rPr>
      </w:pPr>
      <w:r>
        <w:rPr>
          <w:color w:val="auto"/>
        </w:rPr>
        <w:tab/>
        <w:t>čo je 95,72 % čerpanie. Patria sem mzdové prostriedky všetkých pracovníkov OcÚ.</w:t>
      </w:r>
    </w:p>
    <w:p>
      <w:pPr>
        <w:pStyle w:val="Normal"/>
        <w:tabs>
          <w:tab w:val="clear" w:pos="708"/>
          <w:tab w:val="right" w:pos="284" w:leader="none"/>
        </w:tabs>
        <w:ind w:hanging="284" w:left="284" w:right="0"/>
        <w:jc w:val="both"/>
        <w:rPr>
          <w:b/>
          <w:color w:val="auto"/>
        </w:rPr>
      </w:pPr>
      <w:r>
        <w:rPr>
          <w:b/>
          <w:color w:val="auto"/>
        </w:rPr>
        <w:t>b) Poistné a príspevok do poisťovní</w:t>
      </w:r>
    </w:p>
    <w:p>
      <w:pPr>
        <w:pStyle w:val="Normal"/>
        <w:tabs>
          <w:tab w:val="clear" w:pos="708"/>
          <w:tab w:val="left" w:pos="327" w:leader="none"/>
        </w:tabs>
        <w:ind w:left="53" w:right="0"/>
        <w:jc w:val="both"/>
        <w:rPr>
          <w:color w:val="auto"/>
        </w:rPr>
      </w:pPr>
      <w:r>
        <w:rPr>
          <w:color w:val="auto"/>
        </w:rPr>
        <w:tab/>
        <w:t xml:space="preserve">Z rozpočtovaných  15.423,22 EUR bolo skutočne čerpané k 31.12.2023 v sume 14.193,71 EUR, </w:t>
      </w:r>
    </w:p>
    <w:p>
      <w:pPr>
        <w:pStyle w:val="Normal"/>
        <w:tabs>
          <w:tab w:val="clear" w:pos="708"/>
          <w:tab w:val="left" w:pos="341" w:leader="none"/>
        </w:tabs>
        <w:ind w:left="53" w:right="0"/>
        <w:jc w:val="both"/>
        <w:rPr>
          <w:color w:val="auto"/>
        </w:rPr>
      </w:pPr>
      <w:r>
        <w:rPr>
          <w:color w:val="auto"/>
        </w:rPr>
        <w:tab/>
        <w:t xml:space="preserve">čo je 92,03 % čerpanie. </w:t>
      </w:r>
    </w:p>
    <w:p>
      <w:pPr>
        <w:pStyle w:val="Normal"/>
        <w:tabs>
          <w:tab w:val="clear" w:pos="708"/>
          <w:tab w:val="right" w:pos="284" w:leader="none"/>
        </w:tabs>
        <w:ind w:hanging="284" w:left="284" w:right="0"/>
        <w:jc w:val="both"/>
        <w:rPr>
          <w:b/>
          <w:color w:val="auto"/>
        </w:rPr>
      </w:pPr>
      <w:r>
        <w:rPr>
          <w:b/>
          <w:color w:val="auto"/>
        </w:rPr>
        <w:t>c) Tovary a služby</w:t>
      </w:r>
    </w:p>
    <w:p>
      <w:pPr>
        <w:pStyle w:val="Normal"/>
        <w:tabs>
          <w:tab w:val="clear" w:pos="708"/>
          <w:tab w:val="left" w:pos="314" w:leader="none"/>
        </w:tabs>
        <w:jc w:val="both"/>
        <w:rPr>
          <w:color w:val="auto"/>
        </w:rPr>
      </w:pPr>
      <w:r>
        <w:rPr>
          <w:color w:val="auto"/>
        </w:rPr>
        <w:tab/>
        <w:t xml:space="preserve">Z rozpočtovaných 71.685,58 EUR bolo skutočne čerpané k 31.12.2023 v sume 48.089,71 EUR, </w:t>
      </w:r>
    </w:p>
    <w:p>
      <w:pPr>
        <w:pStyle w:val="Normal"/>
        <w:tabs>
          <w:tab w:val="clear" w:pos="708"/>
          <w:tab w:val="left" w:pos="314" w:leader="none"/>
        </w:tabs>
        <w:jc w:val="both"/>
        <w:rPr>
          <w:color w:val="auto"/>
        </w:rPr>
      </w:pPr>
      <w:r>
        <w:rPr>
          <w:color w:val="auto"/>
        </w:rPr>
        <w:tab/>
        <w:t xml:space="preserve">čo je 67,08 % čerpanie. Ide o prevádzkové výdavky všetkých stredísk OcÚ, ako sú cestovné náhrady, </w:t>
        <w:tab/>
        <w:t>energie, materiál, dopravné, rutinná a štandardná údržba, nájomné za nájom a ostatné tovary a služby.</w:t>
      </w:r>
    </w:p>
    <w:p>
      <w:pPr>
        <w:pStyle w:val="Normal"/>
        <w:tabs>
          <w:tab w:val="clear" w:pos="708"/>
          <w:tab w:val="right" w:pos="284" w:leader="none"/>
        </w:tabs>
        <w:ind w:hanging="284" w:left="284" w:right="0"/>
        <w:jc w:val="both"/>
        <w:rPr>
          <w:b/>
          <w:color w:val="auto"/>
        </w:rPr>
      </w:pPr>
      <w:r>
        <w:rPr>
          <w:b/>
          <w:color w:val="auto"/>
        </w:rPr>
        <w:t>d) Bežné transfery</w:t>
      </w:r>
    </w:p>
    <w:p>
      <w:pPr>
        <w:pStyle w:val="Normal"/>
        <w:tabs>
          <w:tab w:val="clear" w:pos="708"/>
          <w:tab w:val="left" w:pos="286" w:leader="none"/>
        </w:tabs>
        <w:jc w:val="both"/>
        <w:rPr/>
      </w:pPr>
      <w:r>
        <w:rPr>
          <w:color w:val="auto"/>
        </w:rPr>
        <w:tab/>
      </w:r>
      <w:bookmarkStart w:id="6" w:name="OLE_LINK4"/>
      <w:bookmarkStart w:id="7" w:name="OLE_LINK5"/>
      <w:r>
        <w:rPr>
          <w:color w:val="auto"/>
        </w:rPr>
        <w:t xml:space="preserve">Z rozpočtovaných 4.443,00 EUR bolo skutočne čerpané k 31.12.2023 v sume 3.666,95 EUR, </w:t>
      </w:r>
    </w:p>
    <w:p>
      <w:pPr>
        <w:pStyle w:val="Normal"/>
        <w:tabs>
          <w:tab w:val="clear" w:pos="708"/>
          <w:tab w:val="left" w:pos="286" w:leader="none"/>
        </w:tabs>
        <w:jc w:val="both"/>
        <w:rPr/>
      </w:pPr>
      <w:r>
        <w:rPr>
          <w:color w:val="auto"/>
        </w:rPr>
        <w:tab/>
        <w:t>čo predstavuje 82,53 % čerpanie</w:t>
      </w:r>
      <w:bookmarkEnd w:id="6"/>
      <w:bookmarkEnd w:id="7"/>
      <w:r>
        <w:rPr>
          <w:color w:val="auto"/>
        </w:rPr>
        <w:t>.</w:t>
      </w:r>
    </w:p>
    <w:p>
      <w:pPr>
        <w:pStyle w:val="Normal"/>
        <w:tabs>
          <w:tab w:val="clear" w:pos="708"/>
          <w:tab w:val="left" w:pos="286" w:leader="none"/>
        </w:tabs>
        <w:jc w:val="both"/>
        <w:rPr>
          <w:b/>
          <w:color w:val="auto"/>
        </w:rPr>
      </w:pPr>
      <w:r>
        <w:rPr>
          <w:b/>
          <w:color w:val="auto"/>
        </w:rPr>
        <w:t>e)  Splácanie úrokov z úverov</w:t>
      </w:r>
    </w:p>
    <w:p>
      <w:pPr>
        <w:pStyle w:val="Normal"/>
        <w:tabs>
          <w:tab w:val="clear" w:pos="708"/>
          <w:tab w:val="left" w:pos="286" w:leader="none"/>
        </w:tabs>
        <w:jc w:val="both"/>
        <w:rPr/>
      </w:pPr>
      <w:r>
        <w:rPr>
          <w:b/>
          <w:i/>
          <w:color w:val="auto"/>
        </w:rPr>
        <w:tab/>
      </w:r>
      <w:r>
        <w:rPr>
          <w:color w:val="auto"/>
        </w:rPr>
        <w:t xml:space="preserve">Z rozpočtovaných 6.482,00 EUR bolo skutočne čerpané k 31.12.2023 v sume 6.479,45 EUR, </w:t>
      </w:r>
    </w:p>
    <w:p>
      <w:pPr>
        <w:pStyle w:val="Normal"/>
        <w:tabs>
          <w:tab w:val="clear" w:pos="708"/>
          <w:tab w:val="left" w:pos="284" w:leader="none"/>
        </w:tabs>
        <w:rPr>
          <w:color w:val="auto"/>
        </w:rPr>
      </w:pPr>
      <w:r>
        <w:rPr>
          <w:color w:val="auto"/>
        </w:rPr>
        <w:tab/>
        <w:t>čo predstavuje 99,96% čerpanie</w:t>
      </w:r>
    </w:p>
    <w:p>
      <w:pPr>
        <w:pStyle w:val="Normal"/>
        <w:rPr>
          <w:b/>
          <w:color w:val="auto"/>
          <w:sz w:val="32"/>
        </w:rPr>
      </w:pPr>
      <w:r>
        <w:rPr>
          <w:b/>
          <w:color w:val="auto"/>
          <w:sz w:val="32"/>
        </w:rPr>
        <w:tab/>
      </w:r>
    </w:p>
    <w:p>
      <w:pPr>
        <w:pStyle w:val="Normal"/>
        <w:rPr>
          <w:color w:val="auto"/>
        </w:rPr>
      </w:pPr>
      <w:r>
        <w:rPr>
          <w:color w:val="auto"/>
        </w:rPr>
      </w:r>
    </w:p>
    <w:p>
      <w:pPr>
        <w:pStyle w:val="Normal"/>
        <w:rPr>
          <w:color w:val="C9211E"/>
        </w:rPr>
      </w:pPr>
      <w:r>
        <w:rPr>
          <w:color w:val="C9211E"/>
        </w:rPr>
      </w:r>
    </w:p>
    <w:p>
      <w:pPr>
        <w:pStyle w:val="Normal"/>
        <w:rPr>
          <w:b/>
          <w:color w:val="auto"/>
          <w:sz w:val="32"/>
        </w:rPr>
      </w:pPr>
      <w:r>
        <w:rPr>
          <w:b/>
          <w:color w:val="auto"/>
          <w:sz w:val="32"/>
        </w:rPr>
        <w:t>3.2 Kapitálové výdavky :</w:t>
      </w:r>
    </w:p>
    <w:p>
      <w:pPr>
        <w:pStyle w:val="Normal"/>
        <w:rPr>
          <w:b/>
          <w:color w:val="auto"/>
        </w:rPr>
      </w:pPr>
      <w:r>
        <w:rPr>
          <w:b/>
          <w:color w:val="auto"/>
        </w:rPr>
        <w:t xml:space="preserve"> </w:t>
      </w:r>
    </w:p>
    <w:tbl>
      <w:tblPr>
        <w:tblW w:w="9750" w:type="dxa"/>
        <w:jc w:val="left"/>
        <w:tblInd w:w="2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2"/>
        <w:gridCol w:w="2850"/>
        <w:gridCol w:w="3218"/>
      </w:tblGrid>
      <w:tr>
        <w:trPr/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 upravený na rok 2023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  31.12.2023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% plnenia</w:t>
            </w:r>
          </w:p>
        </w:tc>
      </w:tr>
      <w:tr>
        <w:trPr>
          <w:trHeight w:val="164" w:hRule="atLeast"/>
        </w:trPr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78.800,00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54.805,64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69,55</w:t>
            </w:r>
          </w:p>
        </w:tc>
      </w:tr>
    </w:tbl>
    <w:p>
      <w:pPr>
        <w:pStyle w:val="Normal"/>
        <w:tabs>
          <w:tab w:val="clear" w:pos="708"/>
          <w:tab w:val="left" w:pos="630" w:leader="none"/>
        </w:tabs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tabs>
          <w:tab w:val="clear" w:pos="708"/>
          <w:tab w:val="left" w:pos="630" w:leader="none"/>
        </w:tabs>
        <w:jc w:val="both"/>
        <w:rPr>
          <w:color w:val="auto"/>
        </w:rPr>
      </w:pPr>
      <w:r>
        <w:rPr>
          <w:color w:val="auto"/>
        </w:rPr>
        <w:tab/>
        <w:t xml:space="preserve">Z rozpočtovaných výdavkových kapitálových operácií vo výške 78.800,00 EUR bolo skutočné </w:t>
        <w:tab/>
        <w:t>čerpanie k 31.12.2023 vo výške 54.805,64 EUR, čo predstavuje plnenie na 69,55%.</w:t>
      </w:r>
    </w:p>
    <w:p>
      <w:pPr>
        <w:pStyle w:val="Normal"/>
        <w:tabs>
          <w:tab w:val="clear" w:pos="708"/>
          <w:tab w:val="left" w:pos="630" w:leader="none"/>
        </w:tabs>
        <w:jc w:val="both"/>
        <w:rPr>
          <w:color w:val="C9211E"/>
        </w:rPr>
      </w:pPr>
      <w:r>
        <w:rPr>
          <w:color w:val="C9211E"/>
        </w:rPr>
      </w:r>
    </w:p>
    <w:p>
      <w:pPr>
        <w:pStyle w:val="Normal"/>
        <w:tabs>
          <w:tab w:val="clear" w:pos="708"/>
          <w:tab w:val="left" w:pos="630" w:leader="none"/>
        </w:tabs>
        <w:ind w:left="360" w:right="0"/>
        <w:jc w:val="both"/>
        <w:rPr/>
      </w:pPr>
      <w:r>
        <w:rPr>
          <w:b/>
          <w:color w:val="C9211E"/>
        </w:rPr>
        <w:tab/>
      </w:r>
      <w:r>
        <w:rPr>
          <w:b/>
          <w:color w:val="auto"/>
        </w:rPr>
        <w:t>Ide o nasledovné investičné akcie :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Nákup pozemkov</w:t>
        <w:tab/>
        <w:tab/>
        <w:tab/>
        <w:t xml:space="preserve">    500,00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MK</w:t>
        <w:tab/>
        <w:tab/>
        <w:t xml:space="preserve">             1.299,00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KD z RF                                                      3.100,00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MK z RF</w:t>
        <w:tab/>
        <w:tab/>
        <w:tab/>
        <w:t xml:space="preserve"> 2.297,75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VO</w:t>
        <w:tab/>
        <w:tab/>
        <w:tab/>
        <w:t xml:space="preserve">    990,00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>- WIFI pre teba RF</w:t>
        <w:tab/>
        <w:tab/>
        <w:t xml:space="preserve">           14.990,00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>- Rekonštrukcia a modernizácia – OU z RF                                          17.335,18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 xml:space="preserve">- Rekonštrukcia a modernizácia – KD zateplenie z RF                </w:t>
        <w:tab/>
        <w:t xml:space="preserve"> 6.319,71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 xml:space="preserve">- Rekonštrukcia a modernizácia – KD vykurovanie z RF               </w:t>
        <w:tab/>
        <w:t xml:space="preserve">    900,00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360" w:right="0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360" w:right="0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567" w:right="0"/>
        <w:rPr>
          <w:b/>
          <w:color w:val="auto"/>
          <w:sz w:val="32"/>
        </w:rPr>
      </w:pPr>
      <w:r>
        <w:rPr>
          <w:b/>
          <w:color w:val="auto"/>
          <w:sz w:val="32"/>
        </w:rPr>
        <w:t>3.3 Výdavkové  finančné operácie :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     </w:t>
      </w:r>
    </w:p>
    <w:tbl>
      <w:tblPr>
        <w:tblW w:w="9750" w:type="dxa"/>
        <w:jc w:val="left"/>
        <w:tblInd w:w="2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8"/>
        <w:gridCol w:w="2877"/>
        <w:gridCol w:w="3205"/>
      </w:tblGrid>
      <w:tr>
        <w:trPr/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Rozpočet upravený na rok 2023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  31.12.2023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% plnenia</w:t>
            </w:r>
          </w:p>
        </w:tc>
      </w:tr>
      <w:tr>
        <w:trPr/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193.336,00</w:t>
            </w:r>
          </w:p>
        </w:tc>
        <w:tc>
          <w:tcPr>
            <w:tcW w:w="2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187.415,73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jc w:val="center"/>
              <w:rPr>
                <w:color w:val="auto"/>
              </w:rPr>
            </w:pPr>
            <w:r>
              <w:rPr>
                <w:color w:val="auto"/>
              </w:rPr>
              <w:t>99,98</w:t>
            </w:r>
          </w:p>
        </w:tc>
      </w:tr>
    </w:tbl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tabs>
          <w:tab w:val="clear" w:pos="708"/>
          <w:tab w:val="left" w:pos="630" w:leader="none"/>
        </w:tabs>
        <w:jc w:val="both"/>
        <w:rPr/>
      </w:pPr>
      <w:r>
        <w:rPr>
          <w:color w:val="C9211E"/>
        </w:rPr>
        <w:tab/>
      </w:r>
      <w:r>
        <w:rPr>
          <w:color w:val="auto"/>
        </w:rPr>
        <w:t xml:space="preserve">Z rozpočtovaných výdavkových finančných operácií vo výške 193.336,00 EUR bolo skutočné </w:t>
        <w:tab/>
        <w:t>čerpanie k 31.12.2023 vo výške 187.415,73 EUR, čo predstavuje plnenie na 99,98%</w:t>
      </w:r>
    </w:p>
    <w:p>
      <w:pPr>
        <w:pStyle w:val="Normal"/>
        <w:tabs>
          <w:tab w:val="clear" w:pos="708"/>
          <w:tab w:val="left" w:pos="630" w:leader="none"/>
        </w:tabs>
        <w:jc w:val="both"/>
        <w:rPr>
          <w:color w:val="auto"/>
        </w:rPr>
      </w:pPr>
      <w:r>
        <w:rPr>
          <w:color w:val="auto"/>
        </w:rPr>
        <w:tab/>
        <w:t>Čerpanie výdavkových finančných operácii tvorili:</w:t>
      </w:r>
    </w:p>
    <w:p>
      <w:pPr>
        <w:pStyle w:val="Normal"/>
        <w:tabs>
          <w:tab w:val="clear" w:pos="708"/>
          <w:tab w:val="left" w:pos="630" w:leader="none"/>
        </w:tabs>
        <w:jc w:val="both"/>
        <w:rPr>
          <w:color w:val="auto"/>
        </w:rPr>
      </w:pPr>
      <w:r>
        <w:rPr>
          <w:b w:val="false"/>
          <w:bCs w:val="false"/>
          <w:i w:val="false"/>
          <w:iCs w:val="false"/>
          <w:color w:val="auto"/>
          <w:sz w:val="24"/>
          <w:szCs w:val="24"/>
          <w:lang w:val="sk-SK"/>
        </w:rPr>
        <w:t>- splátkenie preklenovacích úverov na zateplenie a vykurovanie KD z dotácií</w:t>
      </w:r>
    </w:p>
    <w:p>
      <w:pPr>
        <w:pStyle w:val="Normal"/>
        <w:tabs>
          <w:tab w:val="clear" w:pos="708"/>
          <w:tab w:val="left" w:pos="630" w:leader="none"/>
        </w:tabs>
        <w:jc w:val="both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lang w:val="sk-SK"/>
        </w:rPr>
      </w:pPr>
      <w:r>
        <w:rPr>
          <w:color w:val="auto"/>
        </w:rPr>
      </w:r>
    </w:p>
    <w:p>
      <w:pPr>
        <w:pStyle w:val="Bezmezer"/>
        <w:jc w:val="both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7.2. Prebytok/schodok rozpočtového hospodárenia za rok 202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3</w:t>
      </w:r>
    </w:p>
    <w:p>
      <w:pPr>
        <w:pStyle w:val="Normal"/>
        <w:tabs>
          <w:tab w:val="clear" w:pos="708"/>
          <w:tab w:val="left" w:pos="510" w:leader="none"/>
        </w:tabs>
        <w:jc w:val="both"/>
        <w:rPr>
          <w:color w:val="auto"/>
        </w:rPr>
      </w:pPr>
      <w:r>
        <w:rPr>
          <w:color w:val="C9211E"/>
        </w:rPr>
      </w:r>
    </w:p>
    <w:tbl>
      <w:tblPr>
        <w:tblW w:w="9600" w:type="dxa"/>
        <w:jc w:val="left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85"/>
        <w:gridCol w:w="3915"/>
      </w:tblGrid>
      <w:tr>
        <w:trPr>
          <w:trHeight w:val="300" w:hRule="atLeast"/>
        </w:trPr>
        <w:tc>
          <w:tcPr>
            <w:tcW w:w="5685" w:type="dxa"/>
            <w:tcBorders>
              <w:top w:val="double" w:sz="6" w:space="0" w:color="000000"/>
              <w:lef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snapToGrid w:val="false"/>
              <w:jc w:val="center"/>
              <w:rPr>
                <w:color w:val="auto"/>
              </w:rPr>
            </w:pPr>
            <w:r>
              <w:rPr>
                <w:color w:val="auto"/>
              </w:rPr>
            </w:r>
          </w:p>
          <w:p>
            <w:pPr>
              <w:pStyle w:val="Normal"/>
              <w:snapToGrid w:val="false"/>
              <w:jc w:val="center"/>
              <w:rPr>
                <w:color w:val="auto"/>
              </w:rPr>
            </w:pPr>
            <w:r>
              <w:rPr>
                <w:color w:val="auto"/>
              </w:rPr>
            </w:r>
          </w:p>
          <w:p>
            <w:pPr>
              <w:pStyle w:val="Normal"/>
              <w:snapToGrid w:val="false"/>
              <w:jc w:val="center"/>
              <w:rPr>
                <w:color w:val="auto"/>
              </w:rPr>
            </w:pPr>
            <w:r>
              <w:rPr>
                <w:color w:val="auto"/>
              </w:rPr>
            </w:r>
          </w:p>
          <w:p>
            <w:pPr>
              <w:pStyle w:val="Normal"/>
              <w:jc w:val="center"/>
              <w:rPr/>
            </w:pPr>
            <w:r>
              <w:rPr>
                <w:rStyle w:val="Strong"/>
                <w:color w:val="auto"/>
              </w:rPr>
              <w:t>Hospodárenie obce</w:t>
            </w:r>
          </w:p>
        </w:tc>
        <w:tc>
          <w:tcPr>
            <w:tcW w:w="39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snapToGrid w:val="false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  31.12.2023 EUR</w:t>
            </w:r>
          </w:p>
          <w:p>
            <w:pPr>
              <w:pStyle w:val="Normal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left w:val="double" w:sz="6" w:space="0" w:color="000000"/>
              <w:bottom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snapToGrid w:val="false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3915" w:type="dxa"/>
            <w:vMerge w:val="continue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snapToGrid w:val="false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Bežné  príjmy spol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144.639,29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Emphasis"/>
                <w:i w:val="false"/>
                <w:color w:val="auto"/>
                <w:sz w:val="20"/>
                <w:szCs w:val="20"/>
              </w:rPr>
              <w:t>144.639,29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Bežné výdavky spolu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111.792,99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Emphasis"/>
                <w:i w:val="false"/>
                <w:color w:val="auto"/>
                <w:sz w:val="20"/>
                <w:szCs w:val="20"/>
              </w:rPr>
              <w:t>111.792,99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>Bežný rozpočet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32.846,30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Kapitálové  príjmy spolu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200.035,44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Emphasis"/>
                <w:i w:val="false"/>
                <w:color w:val="auto"/>
                <w:sz w:val="20"/>
                <w:szCs w:val="20"/>
              </w:rPr>
              <w:t>200.035,44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Kapitálové  výdavky spolu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54.805,64</w:t>
            </w:r>
          </w:p>
        </w:tc>
      </w:tr>
      <w:tr>
        <w:trPr>
          <w:trHeight w:val="274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/>
            </w:pPr>
            <w:r>
              <w:rPr>
                <w:rStyle w:val="Emphasis"/>
                <w:i w:val="false"/>
                <w:color w:val="auto"/>
                <w:sz w:val="20"/>
                <w:szCs w:val="20"/>
              </w:rPr>
              <w:t>54.805,64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rPr>
                <w:b/>
                <w:i/>
                <w:i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145.229,80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DD9C3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178.076,10</w:t>
            </w:r>
          </w:p>
        </w:tc>
      </w:tr>
      <w:tr>
        <w:trPr>
          <w:trHeight w:val="342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FFFFFF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color w:val="auto"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FFFFFF" w:val="clear"/>
            <w:vAlign w:val="center"/>
          </w:tcPr>
          <w:p>
            <w:pPr>
              <w:pStyle w:val="Normal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5.069,05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DD9C3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color w:val="auto"/>
                <w:sz w:val="20"/>
                <w:szCs w:val="20"/>
              </w:rPr>
              <w:t xml:space="preserve">Upravený prebytok/schodok </w:t>
            </w: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>bežného a kapitálového rozpočtu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DD9C3" w:val="clear"/>
            <w:vAlign w:val="center"/>
          </w:tcPr>
          <w:p>
            <w:pPr>
              <w:pStyle w:val="Normal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173.007,05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Príjmy z finančných operácií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57.760,26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Výdavky z finančných operácií</w:t>
            </w:r>
          </w:p>
        </w:tc>
        <w:tc>
          <w:tcPr>
            <w:tcW w:w="3915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vAlign w:val="center"/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187.415,73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fill="D9D9D9" w:val="clear"/>
            <w:vAlign w:val="center"/>
          </w:tcPr>
          <w:p>
            <w:pPr>
              <w:pStyle w:val="Normal"/>
              <w:rPr/>
            </w:pP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>Rozdiel finančných operácií</w:t>
            </w:r>
          </w:p>
        </w:tc>
        <w:tc>
          <w:tcPr>
            <w:tcW w:w="39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  <w:color w:val="auto"/>
              </w:rPr>
              <w:t>-129.655,47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left="-85" w:right="0"/>
              <w:rPr>
                <w:caps/>
                <w:color w:val="auto"/>
                <w:sz w:val="20"/>
                <w:szCs w:val="20"/>
              </w:rPr>
            </w:pPr>
            <w:r>
              <w:rPr>
                <w:caps/>
                <w:color w:val="auto"/>
                <w:sz w:val="20"/>
                <w:szCs w:val="20"/>
              </w:rPr>
              <w:t xml:space="preserve">Príjmy spolu  </w:t>
            </w:r>
          </w:p>
        </w:tc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right="-108"/>
              <w:jc w:val="right"/>
              <w:rPr>
                <w:caps/>
                <w:color w:val="auto"/>
              </w:rPr>
            </w:pPr>
            <w:r>
              <w:rPr>
                <w:caps/>
                <w:color w:val="auto"/>
              </w:rPr>
              <w:t>402.434,99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left="-85" w:right="0"/>
              <w:rPr/>
            </w:pPr>
            <w:r>
              <w:rPr>
                <w:caps/>
                <w:color w:val="auto"/>
                <w:sz w:val="20"/>
                <w:szCs w:val="20"/>
              </w:rPr>
              <w:t>VÝDAVKY</w:t>
            </w:r>
            <w:r>
              <w:rPr>
                <w:color w:val="auto"/>
                <w:sz w:val="20"/>
                <w:szCs w:val="20"/>
              </w:rPr>
              <w:t xml:space="preserve"> SPOLU</w:t>
            </w:r>
          </w:p>
        </w:tc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right="-108"/>
              <w:jc w:val="right"/>
              <w:rPr>
                <w:color w:val="auto"/>
              </w:rPr>
            </w:pPr>
            <w:r>
              <w:rPr>
                <w:color w:val="auto"/>
              </w:rPr>
              <w:t>354.014,36</w:t>
            </w:r>
          </w:p>
        </w:tc>
      </w:tr>
      <w:tr>
        <w:trPr>
          <w:trHeight w:val="285" w:hRule="atLeast"/>
        </w:trPr>
        <w:tc>
          <w:tcPr>
            <w:tcW w:w="5685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fill="DDD9C3" w:val="clear"/>
            <w:tcMar>
              <w:left w:w="108" w:type="dxa"/>
              <w:right w:w="108" w:type="dxa"/>
            </w:tcMar>
          </w:tcPr>
          <w:p>
            <w:pPr>
              <w:pStyle w:val="Normal"/>
              <w:ind w:left="-85" w:right="0"/>
              <w:rPr/>
            </w:pP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 xml:space="preserve">Hospodárenie obce </w:t>
            </w:r>
          </w:p>
        </w:tc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fill="DDD9C3" w:val="clear"/>
            <w:tcMar>
              <w:left w:w="108" w:type="dxa"/>
              <w:right w:w="108" w:type="dxa"/>
            </w:tcMar>
          </w:tcPr>
          <w:p>
            <w:pPr>
              <w:pStyle w:val="Normal"/>
              <w:ind w:right="-108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48.420,63</w:t>
            </w:r>
          </w:p>
        </w:tc>
      </w:tr>
      <w:tr>
        <w:trPr>
          <w:trHeight w:val="300" w:hRule="atLeast"/>
        </w:trPr>
        <w:tc>
          <w:tcPr>
            <w:tcW w:w="5685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left="-85" w:right="0"/>
              <w:rPr/>
            </w:pPr>
            <w:r>
              <w:rPr>
                <w:rStyle w:val="Emphasis"/>
                <w:b/>
                <w:color w:val="auto"/>
                <w:sz w:val="20"/>
                <w:szCs w:val="20"/>
              </w:rPr>
              <w:t>Vylúčenie z prebytku (fond oprav+zábezpeky BD + dotácie)</w:t>
            </w:r>
          </w:p>
        </w:tc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left w:w="108" w:type="dxa"/>
              <w:right w:w="108" w:type="dxa"/>
            </w:tcMar>
          </w:tcPr>
          <w:p>
            <w:pPr>
              <w:pStyle w:val="Normal"/>
              <w:ind w:right="-108"/>
              <w:jc w:val="right"/>
              <w:rPr>
                <w:color w:val="auto"/>
              </w:rPr>
            </w:pPr>
            <w:r>
              <w:rPr>
                <w:color w:val="auto"/>
              </w:rPr>
              <w:t>5.069,05</w:t>
            </w:r>
          </w:p>
        </w:tc>
      </w:tr>
      <w:tr>
        <w:trPr>
          <w:trHeight w:val="330" w:hRule="atLeast"/>
        </w:trPr>
        <w:tc>
          <w:tcPr>
            <w:tcW w:w="5685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fill="D9D9D9" w:val="clear"/>
            <w:tcMar>
              <w:left w:w="108" w:type="dxa"/>
              <w:right w:w="108" w:type="dxa"/>
            </w:tcMar>
          </w:tcPr>
          <w:p>
            <w:pPr>
              <w:pStyle w:val="Normal"/>
              <w:ind w:left="-85" w:right="0"/>
              <w:rPr/>
            </w:pPr>
            <w:r>
              <w:rPr>
                <w:rStyle w:val="Emphasis"/>
                <w:b/>
                <w:bCs/>
                <w:color w:val="auto"/>
                <w:sz w:val="20"/>
                <w:szCs w:val="20"/>
              </w:rPr>
              <w:t>Upravené hospodárenie obce</w:t>
            </w:r>
          </w:p>
        </w:tc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fill="D9D9D9" w:val="clear"/>
            <w:tcMar>
              <w:left w:w="108" w:type="dxa"/>
              <w:right w:w="108" w:type="dxa"/>
            </w:tcMar>
          </w:tcPr>
          <w:p>
            <w:pPr>
              <w:pStyle w:val="Normal"/>
              <w:ind w:right="-108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43.351,58</w:t>
            </w:r>
          </w:p>
        </w:tc>
      </w:tr>
    </w:tbl>
    <w:p>
      <w:pPr>
        <w:pStyle w:val="Normal"/>
        <w:tabs>
          <w:tab w:val="clear" w:pos="708"/>
          <w:tab w:val="right" w:pos="7740" w:leader="none"/>
        </w:tabs>
        <w:jc w:val="both"/>
        <w:rPr>
          <w:color w:val="C9211E"/>
        </w:rPr>
      </w:pPr>
      <w:r>
        <w:rPr>
          <w:color w:val="C9211E"/>
        </w:rPr>
      </w:r>
    </w:p>
    <w:p>
      <w:pPr>
        <w:pStyle w:val="Normal"/>
        <w:tabs>
          <w:tab w:val="clear" w:pos="708"/>
          <w:tab w:val="right" w:pos="7740" w:leader="none"/>
        </w:tabs>
        <w:jc w:val="both"/>
        <w:rPr/>
      </w:pPr>
      <w:r>
        <w:rPr>
          <w:b/>
          <w:color w:val="auto"/>
        </w:rPr>
        <w:t>Prebytok bežného a kapitálového rozpočtu v sume 178.076,10 EUR</w:t>
      </w:r>
      <w:r>
        <w:rPr>
          <w:color w:val="auto"/>
        </w:rPr>
        <w:t xml:space="preserve">  zistený podľa ustanovenia § 10 ods. 3 písm. a) a b) zákona č. 583/2004 Z. z. o rozpočtových pravidlách územnej samosprávy a o zmene a doplnení niektorých zákonov v znení neskorších predpisov, </w:t>
      </w:r>
      <w:r>
        <w:rPr>
          <w:b/>
          <w:color w:val="auto"/>
        </w:rPr>
        <w:t>upravený</w:t>
      </w:r>
      <w:r>
        <w:rPr>
          <w:color w:val="auto"/>
        </w:rPr>
        <w:t xml:space="preserve"> o: </w:t>
      </w:r>
    </w:p>
    <w:p>
      <w:pPr>
        <w:pStyle w:val="Normal"/>
        <w:tabs>
          <w:tab w:val="clear" w:pos="708"/>
          <w:tab w:val="right" w:pos="7740" w:leader="none"/>
        </w:tabs>
        <w:jc w:val="both"/>
        <w:rPr/>
      </w:pPr>
      <w:r>
        <w:rPr>
          <w:b w:val="false"/>
          <w:bCs w:val="false"/>
          <w:color w:val="auto"/>
        </w:rPr>
        <w:tab/>
        <w:t>- nevyčerpané granty na územný plán: 4.926,00 EUR</w:t>
      </w:r>
    </w:p>
    <w:p>
      <w:pPr>
        <w:pStyle w:val="Normal"/>
        <w:tabs>
          <w:tab w:val="clear" w:pos="708"/>
          <w:tab w:val="right" w:pos="7740" w:leader="none"/>
        </w:tabs>
        <w:jc w:val="both"/>
        <w:rPr/>
      </w:pPr>
      <w:r>
        <w:rPr>
          <w:b w:val="false"/>
          <w:bCs w:val="false"/>
          <w:color w:val="auto"/>
        </w:rPr>
        <w:tab/>
        <w:t xml:space="preserve">        - nevyčerpané granty zabudnutá minulosť: 143,05 EUR</w:t>
      </w:r>
    </w:p>
    <w:p>
      <w:pPr>
        <w:pStyle w:val="Normal"/>
        <w:tabs>
          <w:tab w:val="clear" w:pos="708"/>
          <w:tab w:val="right" w:pos="7740" w:leader="none"/>
        </w:tabs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tabs>
          <w:tab w:val="clear" w:pos="708"/>
          <w:tab w:val="right" w:pos="7740" w:leader="none"/>
        </w:tabs>
        <w:jc w:val="both"/>
        <w:rPr>
          <w:color w:val="auto"/>
        </w:rPr>
      </w:pPr>
      <w:r>
        <w:rPr>
          <w:color w:val="auto"/>
        </w:rPr>
        <w:t>navrhujeme použiť na :</w:t>
      </w:r>
    </w:p>
    <w:p>
      <w:pPr>
        <w:pStyle w:val="Normal"/>
        <w:tabs>
          <w:tab w:val="clear" w:pos="708"/>
          <w:tab w:val="right" w:pos="7740" w:leader="none"/>
        </w:tabs>
        <w:jc w:val="both"/>
        <w:rPr/>
      </w:pPr>
      <w:r>
        <w:rPr>
          <w:color w:val="auto"/>
        </w:rPr>
        <w:t xml:space="preserve">     </w:t>
      </w:r>
      <w:r>
        <w:rPr>
          <w:b/>
          <w:bCs/>
          <w:color w:val="auto"/>
        </w:rPr>
        <w:t xml:space="preserve"> </w:t>
      </w:r>
      <w:r>
        <w:rPr>
          <w:b/>
          <w:bCs/>
          <w:color w:val="auto"/>
        </w:rPr>
        <w:t>-     krytie schodku finančných operácií vo výške 129.655,47 EUR</w:t>
      </w:r>
      <w:r>
        <w:rPr>
          <w:color w:val="auto"/>
        </w:rPr>
        <w:tab/>
        <w:tab/>
        <w:tab/>
        <w:tab/>
        <w:tab/>
      </w:r>
    </w:p>
    <w:p>
      <w:pPr>
        <w:pStyle w:val="Normal"/>
        <w:numPr>
          <w:ilvl w:val="0"/>
          <w:numId w:val="4"/>
        </w:numPr>
        <w:tabs>
          <w:tab w:val="clear" w:pos="708"/>
          <w:tab w:val="right" w:pos="5580" w:leader="none"/>
        </w:tabs>
        <w:jc w:val="both"/>
        <w:rPr>
          <w:b/>
          <w:bCs/>
          <w:color w:val="C9211E"/>
        </w:rPr>
      </w:pPr>
      <w:r>
        <w:rPr>
          <w:b/>
          <w:bCs/>
          <w:color w:val="auto"/>
        </w:rPr>
        <w:t>tvorbu rezervného fondu vo výške</w:t>
        <w:tab/>
        <w:t xml:space="preserve"> 43.351,58 EUR</w:t>
        <w:tab/>
      </w:r>
    </w:p>
    <w:p>
      <w:pPr>
        <w:pStyle w:val="Normal"/>
        <w:numPr>
          <w:ilvl w:val="0"/>
          <w:numId w:val="0"/>
        </w:numPr>
        <w:tabs>
          <w:tab w:val="clear" w:pos="708"/>
          <w:tab w:val="right" w:pos="5580" w:leader="none"/>
        </w:tabs>
        <w:ind w:hanging="0" w:left="720" w:right="0"/>
        <w:jc w:val="both"/>
        <w:rPr>
          <w:b/>
          <w:bCs/>
          <w:color w:val="C9211E"/>
        </w:rPr>
      </w:pPr>
      <w:r>
        <w:rPr>
          <w:b/>
          <w:bCs/>
          <w:color w:val="C9211E"/>
        </w:rPr>
      </w:r>
    </w:p>
    <w:p>
      <w:pPr>
        <w:pStyle w:val="Normal"/>
        <w:tabs>
          <w:tab w:val="clear" w:pos="708"/>
          <w:tab w:val="right" w:pos="7740" w:leader="none"/>
        </w:tabs>
        <w:jc w:val="both"/>
        <w:rPr>
          <w:b w:val="false"/>
          <w:bCs w:val="false"/>
          <w:iCs/>
          <w:color w:val="C9211E"/>
        </w:rPr>
      </w:pPr>
      <w:r>
        <w:rPr>
          <w:b w:val="false"/>
          <w:bCs w:val="false"/>
          <w:iCs/>
          <w:color w:val="C9211E"/>
        </w:rPr>
      </w:r>
    </w:p>
    <w:p>
      <w:pPr>
        <w:pStyle w:val="Normal"/>
        <w:tabs>
          <w:tab w:val="clear" w:pos="708"/>
          <w:tab w:val="right" w:pos="5580" w:leader="none"/>
        </w:tabs>
        <w:jc w:val="both"/>
        <w:rPr>
          <w:b w:val="false"/>
          <w:bCs w:val="false"/>
          <w:iCs/>
          <w:color w:val="C9211E"/>
        </w:rPr>
      </w:pPr>
      <w:r>
        <w:rPr>
          <w:b w:val="false"/>
          <w:bCs w:val="false"/>
          <w:iCs/>
          <w:color w:val="C9211E"/>
        </w:rPr>
      </w:r>
    </w:p>
    <w:p>
      <w:pPr>
        <w:pStyle w:val="Normal"/>
        <w:suppressAutoHyphens w:val="false"/>
        <w:autoSpaceDE w:val="false"/>
        <w:rPr>
          <w:color w:val="C9211E"/>
          <w:lang w:eastAsia="sk-SK"/>
        </w:rPr>
      </w:pPr>
      <w:r>
        <w:rPr>
          <w:color w:val="C9211E"/>
          <w:lang w:eastAsia="sk-SK"/>
        </w:rPr>
      </w:r>
    </w:p>
    <w:p>
      <w:pPr>
        <w:pStyle w:val="Normal"/>
        <w:tabs>
          <w:tab w:val="clear" w:pos="708"/>
          <w:tab w:val="left" w:pos="510" w:leader="none"/>
        </w:tabs>
        <w:jc w:val="both"/>
        <w:rPr/>
      </w:pPr>
      <w:r>
        <w:rPr>
          <w:b/>
          <w:bCs/>
          <w:color w:val="auto"/>
          <w:sz w:val="26"/>
          <w:szCs w:val="26"/>
          <w:lang w:eastAsia="sk-SK"/>
        </w:rPr>
        <w:t xml:space="preserve">Na základe uvedených skutočností </w:t>
      </w:r>
      <w:r>
        <w:rPr>
          <w:b/>
          <w:bCs/>
          <w:color w:val="auto"/>
          <w:sz w:val="26"/>
          <w:szCs w:val="26"/>
          <w:lang w:eastAsia="sk-SK"/>
        </w:rPr>
        <w:t>bola</w:t>
      </w:r>
      <w:r>
        <w:rPr>
          <w:b/>
          <w:bCs/>
          <w:color w:val="auto"/>
          <w:sz w:val="26"/>
          <w:szCs w:val="26"/>
          <w:lang w:eastAsia="sk-SK"/>
        </w:rPr>
        <w:t xml:space="preserve"> skutočn</w:t>
      </w:r>
      <w:r>
        <w:rPr>
          <w:b/>
          <w:bCs/>
          <w:color w:val="auto"/>
          <w:sz w:val="26"/>
          <w:szCs w:val="26"/>
          <w:lang w:eastAsia="sk-SK"/>
        </w:rPr>
        <w:t>á</w:t>
      </w:r>
      <w:r>
        <w:rPr>
          <w:b/>
          <w:bCs/>
          <w:color w:val="auto"/>
          <w:sz w:val="26"/>
          <w:szCs w:val="26"/>
          <w:lang w:eastAsia="sk-SK"/>
        </w:rPr>
        <w:t xml:space="preserve"> tvorb</w:t>
      </w:r>
      <w:r>
        <w:rPr>
          <w:b/>
          <w:bCs/>
          <w:color w:val="auto"/>
          <w:sz w:val="26"/>
          <w:szCs w:val="26"/>
          <w:lang w:eastAsia="sk-SK"/>
        </w:rPr>
        <w:t>a</w:t>
      </w:r>
      <w:r>
        <w:rPr>
          <w:b/>
          <w:bCs/>
          <w:color w:val="auto"/>
          <w:sz w:val="26"/>
          <w:szCs w:val="26"/>
          <w:lang w:eastAsia="sk-SK"/>
        </w:rPr>
        <w:t xml:space="preserve"> rezervného fondu za rok 202</w:t>
      </w:r>
      <w:r>
        <w:rPr>
          <w:b/>
          <w:bCs/>
          <w:color w:val="auto"/>
          <w:sz w:val="26"/>
          <w:szCs w:val="26"/>
          <w:lang w:eastAsia="sk-SK"/>
        </w:rPr>
        <w:t>3</w:t>
      </w:r>
      <w:r>
        <w:rPr>
          <w:b/>
          <w:bCs/>
          <w:color w:val="auto"/>
          <w:sz w:val="26"/>
          <w:szCs w:val="26"/>
          <w:lang w:eastAsia="sk-SK"/>
        </w:rPr>
        <w:t xml:space="preserve"> vo výške 43.351,58 EUR.</w:t>
      </w:r>
    </w:p>
    <w:p>
      <w:pPr>
        <w:pStyle w:val="Normal"/>
        <w:tabs>
          <w:tab w:val="clear" w:pos="708"/>
          <w:tab w:val="left" w:pos="510" w:leader="none"/>
        </w:tabs>
        <w:jc w:val="both"/>
        <w:rPr>
          <w:b/>
          <w:color w:val="CE181E"/>
        </w:rPr>
      </w:pPr>
      <w:r>
        <w:rPr>
          <w:b/>
          <w:bCs/>
          <w:color w:val="auto"/>
          <w:sz w:val="26"/>
          <w:szCs w:val="26"/>
          <w:lang w:eastAsia="sk-SK"/>
        </w:rPr>
      </w:r>
    </w:p>
    <w:p>
      <w:pPr>
        <w:pStyle w:val="NoSpacing"/>
        <w:ind w:firstLine="708" w:left="3540"/>
        <w:rPr>
          <w:b/>
          <w:color w:val="CE181E"/>
        </w:rPr>
      </w:pPr>
      <w:r>
        <w:rPr>
          <w:b/>
          <w:color w:val="CE181E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7.3. Rozpočet na roky 202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4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-202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6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tbl>
      <w:tblPr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097"/>
        <w:gridCol w:w="1625"/>
        <w:gridCol w:w="1602"/>
        <w:gridCol w:w="1678"/>
        <w:gridCol w:w="1952"/>
      </w:tblGrid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Skutočnosť k 31.12.202</w:t>
            </w:r>
            <w:r>
              <w:rPr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Rozpočet  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Rozpočet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Rozpočet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6</w:t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b/>
                <w:color w:val="auto"/>
              </w:rPr>
              <w:t>Príjmy celkom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402.434,99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225.094,00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129.894,00</w:t>
            </w:r>
            <w:r>
              <w:rPr>
                <w:b/>
                <w:bCs/>
                <w:color w:val="auto"/>
              </w:rPr>
              <w:t>0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130.894,00</w:t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z toho :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Bežné príjmy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color w:val="auto"/>
              </w:rPr>
              <w:t>144.639,29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128.894,00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129.894,00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130.894,00</w:t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Kapitálové príjmy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ind w:hanging="0" w:left="0"/>
              <w:jc w:val="center"/>
              <w:outlineLvl w:val="0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>
              <w:rPr>
                <w:color w:val="auto"/>
              </w:rPr>
              <w:t>200.035,44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/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Finančné príjmy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color w:val="auto"/>
              </w:rPr>
              <w:t>57.760,26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>
      <w:pPr>
        <w:pStyle w:val="Normal"/>
        <w:tabs>
          <w:tab w:val="clear" w:pos="708"/>
          <w:tab w:val="right" w:pos="8820" w:leader="none"/>
        </w:tabs>
        <w:jc w:val="both"/>
        <w:rPr>
          <w:b/>
          <w:color w:val="CE181E"/>
        </w:rPr>
      </w:pPr>
      <w:r>
        <w:rPr>
          <w:b/>
          <w:color w:val="CE181E"/>
        </w:rPr>
      </w:r>
    </w:p>
    <w:tbl>
      <w:tblPr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087"/>
        <w:gridCol w:w="1624"/>
        <w:gridCol w:w="1612"/>
        <w:gridCol w:w="1673"/>
        <w:gridCol w:w="1958"/>
      </w:tblGrid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Skutočnosť k 31.12.202</w:t>
            </w:r>
            <w:r>
              <w:rPr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Rozpočet  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Rozpočet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DD9C3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>Rozpočet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 </w:t>
            </w:r>
            <w:r>
              <w:rPr>
                <w:b/>
                <w:color w:val="auto"/>
                <w:sz w:val="20"/>
                <w:szCs w:val="20"/>
              </w:rPr>
              <w:t>na rok 202</w:t>
            </w:r>
            <w:r>
              <w:rPr>
                <w:b/>
                <w:color w:val="auto"/>
                <w:sz w:val="20"/>
                <w:szCs w:val="20"/>
              </w:rPr>
              <w:t>6</w:t>
            </w:r>
          </w:p>
        </w:tc>
      </w:tr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b/>
                <w:color w:val="auto"/>
              </w:rPr>
              <w:t>Výdavky celkom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354.014,36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225.094,00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129.894,00</w:t>
            </w:r>
            <w:r>
              <w:rPr>
                <w:b/>
                <w:bCs/>
                <w:color w:val="auto"/>
              </w:rPr>
              <w:t>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b/>
                <w:bCs/>
                <w:color w:val="auto"/>
              </w:rPr>
              <w:t>130.894,00</w:t>
            </w:r>
          </w:p>
        </w:tc>
      </w:tr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z toho :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Bežné výdavky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color w:val="auto"/>
              </w:rPr>
              <w:t>111.792,99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128.894,00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129.894,00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130.894,00</w:t>
            </w:r>
          </w:p>
        </w:tc>
      </w:tr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  <w:sz w:val="22"/>
                <w:szCs w:val="22"/>
              </w:rPr>
              <w:t>Kapitálové výdavky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color w:val="auto"/>
              </w:rPr>
              <w:t>54.805,64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/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both"/>
              <w:rPr>
                <w:color w:val="auto"/>
              </w:rPr>
            </w:pPr>
            <w:r>
              <w:rPr>
                <w:color w:val="auto"/>
              </w:rPr>
              <w:t>Finančné výdavky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>
              <w:rPr>
                <w:color w:val="auto"/>
              </w:rPr>
              <w:t>187.415,73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b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b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8. Informácia o vývoji obce z pohľadu účtovníctva</w:t>
      </w:r>
    </w:p>
    <w:p>
      <w:pPr>
        <w:pStyle w:val="Bezmezer"/>
        <w:jc w:val="both"/>
        <w:rPr>
          <w:rFonts w:ascii="Times New Roman" w:hAnsi="Times New Roman"/>
          <w:b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b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8.1 Majetok</w:t>
      </w:r>
    </w:p>
    <w:p>
      <w:pPr>
        <w:pStyle w:val="Normal"/>
        <w:spacing w:lineRule="auto" w:line="360"/>
        <w:jc w:val="both"/>
        <w:rPr>
          <w:b/>
        </w:rPr>
      </w:pPr>
      <w:r>
        <w:rPr>
          <w:b/>
          <w:color w:val="auto"/>
        </w:rPr>
      </w:r>
    </w:p>
    <w:tbl>
      <w:tblPr>
        <w:tblW w:w="10016" w:type="dxa"/>
        <w:jc w:val="left"/>
        <w:tblInd w:w="1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35"/>
        <w:gridCol w:w="2880"/>
        <w:gridCol w:w="3401"/>
      </w:tblGrid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>ZS  k  1.1.2023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>KZ  k  31.12.2023</w:t>
            </w:r>
          </w:p>
        </w:tc>
      </w:tr>
      <w:tr>
        <w:trPr>
          <w:trHeight w:val="104" w:hRule="atLeast"/>
        </w:trPr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1 152 810,26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1.151.935,66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1 060 029,16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1.071.117,10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2 000,00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9.074,00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1 011 980,76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1.015.994,70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46 048,40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46 048,40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90 917,57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77.940,66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280,50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280,50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</w:t>
            </w:r>
            <w:r>
              <w:rPr/>
              <w:t>4 468,99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1.745,52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86 168,08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75.578,37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1 863,53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2.877,90</w:t>
            </w:r>
          </w:p>
        </w:tc>
      </w:tr>
    </w:tbl>
    <w:p>
      <w:pPr>
        <w:pStyle w:val="Normal"/>
        <w:spacing w:lineRule="auto" w:line="360"/>
        <w:jc w:val="both"/>
        <w:rPr>
          <w:b/>
          <w:color w:val="auto"/>
        </w:rPr>
      </w:pPr>
      <w:r>
        <w:rPr>
          <w:b/>
          <w:color w:val="auto"/>
        </w:rPr>
      </w:r>
    </w:p>
    <w:p>
      <w:pPr>
        <w:pStyle w:val="Bezmezer"/>
        <w:jc w:val="both"/>
        <w:rPr>
          <w:color w:val="auto"/>
        </w:rPr>
      </w:pPr>
      <w:r>
        <w:rPr/>
      </w:r>
    </w:p>
    <w:p>
      <w:pPr>
        <w:pStyle w:val="Bezmezer"/>
        <w:jc w:val="both"/>
        <w:rPr>
          <w:color w:val="auto"/>
        </w:rPr>
      </w:pPr>
      <w:r>
        <w:rPr/>
      </w:r>
    </w:p>
    <w:p>
      <w:pPr>
        <w:pStyle w:val="Bezmezer"/>
        <w:jc w:val="both"/>
        <w:rPr>
          <w:color w:val="auto"/>
        </w:rPr>
      </w:pPr>
      <w:r>
        <w:rPr/>
      </w:r>
    </w:p>
    <w:p>
      <w:pPr>
        <w:pStyle w:val="Bezmezer"/>
        <w:jc w:val="both"/>
        <w:rPr>
          <w:color w:val="auto"/>
        </w:rPr>
      </w:pPr>
      <w:r>
        <w:rPr/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8.2 Zdroje krytia</w:t>
      </w:r>
    </w:p>
    <w:p>
      <w:pPr>
        <w:pStyle w:val="Normal"/>
        <w:spacing w:lineRule="auto" w:line="360"/>
        <w:jc w:val="both"/>
        <w:rPr>
          <w:b/>
        </w:rPr>
      </w:pPr>
      <w:r>
        <w:rPr>
          <w:b/>
          <w:color w:val="auto"/>
        </w:rPr>
      </w:r>
    </w:p>
    <w:tbl>
      <w:tblPr>
        <w:tblW w:w="10036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56"/>
        <w:gridCol w:w="2870"/>
        <w:gridCol w:w="3410"/>
      </w:tblGrid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>ZS  k  1.1.2023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b/>
              </w:rPr>
              <w:t>KZ  k  31.12.2023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1 152 810,26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C4BC96" w:val="clear"/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1.151.935,66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362 092,20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400.877,82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VH minulých rokov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342 255,87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362.092,20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</w:t>
            </w:r>
            <w:r>
              <w:rPr/>
              <w:t>19 836,33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38.785,62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216 400,25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15.677,83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</w:tr>
      <w:tr>
        <w:trPr>
          <w:trHeight w:val="452" w:hRule="atLeast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   </w:t>
            </w:r>
            <w:r>
              <w:rPr/>
              <w:t>2 340,00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2 340,00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      </w:t>
            </w:r>
            <w:r>
              <w:rPr/>
              <w:t>674,57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0,00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     </w:t>
            </w:r>
            <w:r>
              <w:rPr/>
              <w:t>341,70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356,64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 xml:space="preserve">  </w:t>
            </w:r>
            <w:r>
              <w:rPr/>
              <w:t>23 095,25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12.981,19</w:t>
            </w:r>
          </w:p>
        </w:tc>
      </w:tr>
      <w:tr>
        <w:trPr/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189 948,73</w:t>
            </w:r>
          </w:p>
        </w:tc>
        <w:tc>
          <w:tcPr>
            <w:tcW w:w="3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/>
            </w:pPr>
            <w:r>
              <w:rPr/>
              <w:t>0,00</w:t>
            </w:r>
          </w:p>
        </w:tc>
      </w:tr>
      <w:tr>
        <w:trPr/>
        <w:tc>
          <w:tcPr>
            <w:tcW w:w="37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574 317,81</w:t>
            </w:r>
          </w:p>
        </w:tc>
        <w:tc>
          <w:tcPr>
            <w:tcW w:w="3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center"/>
              <w:rPr>
                <w:b/>
              </w:rPr>
            </w:pPr>
            <w:r>
              <w:rPr>
                <w:b/>
              </w:rPr>
              <w:t>735.380,01</w:t>
            </w:r>
          </w:p>
        </w:tc>
      </w:tr>
    </w:tbl>
    <w:p>
      <w:pPr>
        <w:pStyle w:val="Normal"/>
        <w:rPr>
          <w:b/>
          <w:color w:val="C9211E"/>
          <w:sz w:val="32"/>
          <w:szCs w:val="28"/>
        </w:rPr>
      </w:pPr>
      <w:r>
        <w:rPr>
          <w:b/>
          <w:color w:val="C9211E"/>
          <w:sz w:val="32"/>
          <w:szCs w:val="28"/>
        </w:rPr>
      </w:r>
    </w:p>
    <w:p>
      <w:pPr>
        <w:pStyle w:val="Normal"/>
        <w:jc w:val="both"/>
        <w:rPr>
          <w:color w:val="CE181E"/>
        </w:rPr>
      </w:pPr>
      <w:r>
        <w:rPr>
          <w:color w:val="CE181E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8.3. Pohľadávky</w:t>
      </w:r>
    </w:p>
    <w:p>
      <w:pPr>
        <w:pStyle w:val="Normal"/>
        <w:ind w:left="360" w:right="0"/>
        <w:jc w:val="both"/>
        <w:rPr/>
      </w:pPr>
      <w:r>
        <w:rPr>
          <w:color w:val="auto"/>
        </w:rPr>
        <w:t xml:space="preserve">Obec k 31.12.2023 evidovala pohľadávky vo výške 1.745,52 EUR  z toho: </w:t>
      </w:r>
    </w:p>
    <w:p>
      <w:pPr>
        <w:pStyle w:val="Normal"/>
        <w:tabs>
          <w:tab w:val="clear" w:pos="708"/>
          <w:tab w:val="left" w:pos="426" w:leader="none"/>
          <w:tab w:val="left" w:pos="5670" w:leader="none"/>
        </w:tabs>
        <w:jc w:val="both"/>
        <w:rPr/>
      </w:pPr>
      <w:r>
        <w:rPr>
          <w:color w:val="auto"/>
        </w:rPr>
        <w:tab/>
        <w:t xml:space="preserve">Nedaňové pohľadávky TKO                                                   </w:t>
        <w:tab/>
        <w:tab/>
        <w:t xml:space="preserve">          102,48 EUR</w:t>
      </w:r>
    </w:p>
    <w:p>
      <w:pPr>
        <w:pStyle w:val="Normal"/>
        <w:tabs>
          <w:tab w:val="clear" w:pos="708"/>
          <w:tab w:val="left" w:pos="426" w:leader="none"/>
        </w:tabs>
        <w:jc w:val="both"/>
        <w:rPr/>
      </w:pPr>
      <w:r>
        <w:rPr>
          <w:color w:val="auto"/>
        </w:rPr>
        <w:tab/>
        <w:t xml:space="preserve">Daňové pohľadávky DzN a psa                                                </w:t>
        <w:tab/>
        <w:tab/>
        <w:t xml:space="preserve">       1.358,47 EUR</w:t>
      </w:r>
    </w:p>
    <w:p>
      <w:pPr>
        <w:pStyle w:val="Normal"/>
        <w:tabs>
          <w:tab w:val="clear" w:pos="708"/>
          <w:tab w:val="left" w:pos="426" w:leader="none"/>
        </w:tabs>
        <w:jc w:val="both"/>
        <w:rPr/>
      </w:pPr>
      <w:r>
        <w:rPr>
          <w:color w:val="auto"/>
          <w:sz w:val="24"/>
          <w:szCs w:val="24"/>
          <w:lang w:val="sk-SK"/>
        </w:rPr>
        <w:tab/>
        <w:t>Ostatné pohľadávky</w:t>
        <w:tab/>
        <w:tab/>
        <w:tab/>
        <w:tab/>
        <w:t xml:space="preserve">            </w:t>
        <w:tab/>
        <w:tab/>
        <w:t xml:space="preserve">          284,57 EUR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/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8.4.  Záväzky</w:t>
      </w:r>
    </w:p>
    <w:p>
      <w:pPr>
        <w:pStyle w:val="Bezmezer"/>
        <w:jc w:val="both"/>
        <w:rPr>
          <w:color w:val="CE181E"/>
        </w:rPr>
      </w:pPr>
      <w:r>
        <w:rPr/>
      </w:r>
    </w:p>
    <w:p>
      <w:pPr>
        <w:pStyle w:val="Normal"/>
        <w:jc w:val="both"/>
        <w:rPr/>
      </w:pPr>
      <w:r>
        <w:rPr>
          <w:color w:val="C9211E"/>
        </w:rPr>
        <w:t xml:space="preserve"> </w:t>
      </w:r>
      <w:r>
        <w:rPr>
          <w:color w:val="auto"/>
        </w:rPr>
        <w:t>Obec k 31.12.2023 eviduje záväzky vo výške 15.677,83 EUR z toho: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Neuhradené faktúry v lehote splatnosti</w:t>
        <w:tab/>
        <w:tab/>
        <w:tab/>
        <w:tab/>
        <w:tab/>
        <w:t xml:space="preserve">          2.335,31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Ostatné záväzky/splátky Slovak telekom</w:t>
        <w:tab/>
        <w:tab/>
        <w:tab/>
        <w:t xml:space="preserve">                           51,50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Ostatné záväzky/nezúčtovaný stavebný úrad</w:t>
        <w:tab/>
        <w:tab/>
        <w:tab/>
        <w:tab/>
        <w:t xml:space="preserve">             232,02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 xml:space="preserve">Ostatné záväzky    </w:t>
        <w:tab/>
        <w:tab/>
        <w:tab/>
        <w:tab/>
        <w:t xml:space="preserve">                                                 22,80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Nevyplatené mzdy 12/23 v lehote splatnosti</w:t>
        <w:tab/>
        <w:tab/>
        <w:tab/>
        <w:tab/>
        <w:t xml:space="preserve">          3.217,56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Záväzky do poisťovní (mzdy 12/23)</w:t>
        <w:tab/>
        <w:tab/>
        <w:tab/>
        <w:tab/>
        <w:tab/>
        <w:t xml:space="preserve">         1.812,62  EUR</w:t>
      </w:r>
    </w:p>
    <w:p>
      <w:pPr>
        <w:pStyle w:val="Normal"/>
        <w:tabs>
          <w:tab w:val="clear" w:pos="708"/>
          <w:tab w:val="left" w:pos="426" w:leader="none"/>
        </w:tabs>
        <w:ind w:hanging="360" w:left="851" w:right="0"/>
        <w:jc w:val="both"/>
        <w:rPr/>
      </w:pPr>
      <w:r>
        <w:rPr>
          <w:color w:val="auto"/>
        </w:rPr>
        <w:t>Daň zo mzdy (12/23)</w:t>
        <w:tab/>
        <w:tab/>
        <w:tab/>
        <w:tab/>
        <w:tab/>
        <w:tab/>
        <w:tab/>
        <w:t xml:space="preserve">             291,83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Ostatné (Soc. fond)</w:t>
        <w:tab/>
        <w:tab/>
        <w:tab/>
        <w:tab/>
        <w:tab/>
        <w:tab/>
        <w:tab/>
        <w:t xml:space="preserve">             305,14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Nezúčtované transfery</w:t>
        <w:tab/>
        <w:tab/>
        <w:tab/>
        <w:tab/>
        <w:tab/>
        <w:tab/>
        <w:tab/>
        <w:t xml:space="preserve">          5.069,05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/>
      </w:pPr>
      <w:r>
        <w:rPr>
          <w:color w:val="auto"/>
        </w:rPr>
        <w:t>Rezerva na audit 2022</w:t>
        <w:tab/>
        <w:tab/>
        <w:tab/>
        <w:tab/>
        <w:tab/>
        <w:t xml:space="preserve">   </w:t>
        <w:tab/>
        <w:t xml:space="preserve">                      2.340,00 EUR</w:t>
      </w:r>
    </w:p>
    <w:p>
      <w:pPr>
        <w:pStyle w:val="Normal"/>
        <w:tabs>
          <w:tab w:val="clear" w:pos="708"/>
          <w:tab w:val="left" w:pos="851" w:leader="none"/>
        </w:tabs>
        <w:ind w:hanging="360" w:left="851" w:right="0"/>
        <w:jc w:val="both"/>
        <w:rPr>
          <w:color w:val="auto"/>
        </w:rPr>
      </w:pPr>
      <w:r>
        <w:rPr/>
      </w:r>
    </w:p>
    <w:p>
      <w:pPr>
        <w:pStyle w:val="Normal"/>
        <w:ind w:firstLine="426" w:right="0"/>
        <w:rPr/>
      </w:pPr>
      <w:r>
        <w:rPr>
          <w:b/>
          <w:i/>
          <w:color w:val="auto"/>
          <w:sz w:val="24"/>
          <w:szCs w:val="24"/>
          <w:lang w:val="sk-SK"/>
        </w:rPr>
        <w:t>Obec Nižná Boca nemá k 31.12.2023 žiadny úver. Všetky úvery evidované k 31.12.2022 boli v priebehu roku 2023 vyplatené.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>9. Hospodársky výsledok za rok 2023 – vývoj nákladov a výnosov eurách</w:t>
      </w:r>
    </w:p>
    <w:p>
      <w:pPr>
        <w:pStyle w:val="Bezmezer"/>
        <w:jc w:val="both"/>
        <w:rPr>
          <w:rFonts w:ascii="Times New Roman" w:hAnsi="Times New Roman"/>
          <w:b/>
          <w:color w:val="auto"/>
          <w:sz w:val="24"/>
          <w:szCs w:val="24"/>
          <w:lang w:val="sk-SK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</w:r>
    </w:p>
    <w:tbl>
      <w:tblPr>
        <w:tblW w:w="918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926"/>
        <w:gridCol w:w="1985"/>
        <w:gridCol w:w="2269"/>
      </w:tblGrid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Skutočnosť k 31.12.2022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Skutočnosť k 31.12.2023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139.976,18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156.324,70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50 – Spotrebované nákupy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11.787,05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17.020,03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51 – Služby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23.604,20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23.939,91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52 – Osobné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58.990,90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58.158,08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53 – Dane a poplatky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178,81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1.474,10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54 – Ostatné náklady na prevádzkovú činnosť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3.709,09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4.748,25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55 – Odpisy, rezervy a OP z prevádzkovej a finančnej činnosti a zúčtovanie časového rozl.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36.262,73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41.171,85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56 – Finančné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3.051,56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7.142,05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57 – Mimoriadne náklady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58 –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2.391,84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2.670,43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159.812,51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b/>
                <w:color w:val="auto"/>
                <w:lang w:val="sk-SK"/>
              </w:rPr>
              <w:t>195.110,32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60 – Tržby za vlastné výkony a tovar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53,15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35,00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61 – Zmena stavu vnútroorganizačných služieb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63 –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123.938,97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135.646,93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64 –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3.501,46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16.607,70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510,00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0,00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66 –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12,30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0,00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67 – 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rFonts w:ascii="Times New Roman" w:hAnsi="Times New Roman"/>
                <w:color w:val="auto"/>
                <w:lang w:val="sk-SK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31.796,63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42.820,69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59 – splatná daň z príjmov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0,00</w:t>
            </w:r>
          </w:p>
        </w:tc>
      </w:tr>
      <w:tr>
        <w:trPr/>
        <w:tc>
          <w:tcPr>
            <w:tcW w:w="4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Výsledok hospodárenia po zdanení</w:t>
            </w:r>
          </w:p>
          <w:p>
            <w:pPr>
              <w:pStyle w:val="Bezmezer"/>
              <w:jc w:val="both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/ + kladný VH, - záporný VH /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19.836,33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Bezmezer"/>
              <w:jc w:val="right"/>
              <w:rPr>
                <w:color w:val="auto"/>
              </w:rPr>
            </w:pPr>
            <w:r>
              <w:rPr>
                <w:rFonts w:ascii="Times New Roman" w:hAnsi="Times New Roman"/>
                <w:color w:val="auto"/>
                <w:lang w:val="sk-SK"/>
              </w:rPr>
              <w:t>38.785,62</w:t>
            </w:r>
          </w:p>
        </w:tc>
      </w:tr>
    </w:tbl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/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CE181E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color w:val="auto"/>
          <w:sz w:val="24"/>
          <w:szCs w:val="24"/>
          <w:lang w:val="sk-SK"/>
        </w:rPr>
        <w:t xml:space="preserve">10. Ostatné  dôležité informácie 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10.1 Prijaté granty a transfery 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auto"/>
          <w:sz w:val="24"/>
          <w:szCs w:val="24"/>
          <w:lang w:val="sk-SK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 roku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obec prijala nasledovné granty a transfery: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</w:r>
    </w:p>
    <w:tbl>
      <w:tblPr>
        <w:tblW w:w="9630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5"/>
        <w:gridCol w:w="2732"/>
        <w:gridCol w:w="1494"/>
        <w:gridCol w:w="1504"/>
        <w:gridCol w:w="1245"/>
      </w:tblGrid>
      <w:tr>
        <w:trPr>
          <w:trHeight w:val="1470" w:hRule="atLeast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bookmarkStart w:id="8" w:name="OLE_LINK10"/>
            <w:bookmarkStart w:id="9" w:name="OLE_LINK11"/>
            <w:bookmarkStart w:id="10" w:name="_Hlk515302209"/>
            <w:bookmarkEnd w:id="8"/>
            <w:bookmarkEnd w:id="9"/>
            <w:bookmarkEnd w:id="10"/>
            <w:r>
              <w:rPr>
                <w:b/>
                <w:color w:val="auto"/>
                <w:sz w:val="20"/>
                <w:szCs w:val="20"/>
              </w:rPr>
              <w:t>Poskytovateľ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- 1 -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Účelové určenie grantu, transferu uviesť : školstvo, matrika, ....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bežné výdavky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kapitálové výdavky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- 2 -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Suma  poskytnutých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finančných prostriedkov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- 3 -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Suma skutočne použitých finančných prostriedkov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- 4 -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Rozdiel</w:t>
            </w:r>
          </w:p>
          <w:p>
            <w:pPr>
              <w:pStyle w:val="Normal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(stĺ.3 - stĺ.4 )</w:t>
            </w:r>
          </w:p>
          <w:p>
            <w:pPr>
              <w:pStyle w:val="Normal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- 5 -</w:t>
            </w:r>
          </w:p>
        </w:tc>
      </w:tr>
      <w:tr>
        <w:trPr>
          <w:trHeight w:val="278" w:hRule="atLeast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Ministerstvo vnútra SR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>Register obyv. a adries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76,49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76,49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/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Ministerstvo vnútra SR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left"/>
              <w:rPr>
                <w:color w:val="auto"/>
              </w:rPr>
            </w:pPr>
            <w:r>
              <w:rPr>
                <w:color w:val="auto"/>
              </w:rPr>
              <w:t>Voľby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1.210,81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1.210,81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/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>OÚ Žilina odbor ŽP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>
                <w:color w:val="auto"/>
              </w:rPr>
            </w:pPr>
            <w:r>
              <w:rPr>
                <w:color w:val="auto"/>
              </w:rPr>
              <w:t>Životné prostredie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16,93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16,93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>
          <w:trHeight w:val="222" w:hRule="atLeast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Ostatné granty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/>
            </w:pPr>
            <w:r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knižnica       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500,00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500,00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>
          <w:trHeight w:val="222" w:hRule="atLeast"/>
        </w:trPr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>OÚ Žilina odbor CD</w:t>
            </w:r>
          </w:p>
        </w:tc>
        <w:tc>
          <w:tcPr>
            <w:tcW w:w="273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Cestná doprava</w:t>
            </w:r>
          </w:p>
        </w:tc>
        <w:tc>
          <w:tcPr>
            <w:tcW w:w="14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6,61</w:t>
            </w:r>
          </w:p>
        </w:tc>
        <w:tc>
          <w:tcPr>
            <w:tcW w:w="15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6,61</w:t>
            </w: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>
          <w:trHeight w:val="222" w:hRule="atLeast"/>
        </w:trPr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MF SR</w:t>
            </w:r>
          </w:p>
        </w:tc>
        <w:tc>
          <w:tcPr>
            <w:tcW w:w="273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inflácia</w:t>
            </w:r>
          </w:p>
        </w:tc>
        <w:tc>
          <w:tcPr>
            <w:tcW w:w="14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2.948,06</w:t>
            </w:r>
          </w:p>
        </w:tc>
        <w:tc>
          <w:tcPr>
            <w:tcW w:w="15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2.948,06</w:t>
            </w: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>
          <w:trHeight w:val="222" w:hRule="atLeast"/>
        </w:trPr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rPr/>
            </w:pPr>
            <w:r>
              <w:rPr>
                <w:color w:val="auto"/>
              </w:rPr>
              <w:t>OÚ Žilina odb. stavebný</w:t>
            </w:r>
          </w:p>
        </w:tc>
        <w:tc>
          <w:tcPr>
            <w:tcW w:w="273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rPr>
                <w:color w:val="auto"/>
              </w:rPr>
            </w:pPr>
            <w:r>
              <w:rPr>
                <w:color w:val="auto"/>
              </w:rPr>
              <w:t>Stavebný úrad</w:t>
            </w:r>
          </w:p>
        </w:tc>
        <w:tc>
          <w:tcPr>
            <w:tcW w:w="149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232,06</w:t>
            </w:r>
          </w:p>
        </w:tc>
        <w:tc>
          <w:tcPr>
            <w:tcW w:w="15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jc w:val="right"/>
              <w:rPr>
                <w:color w:val="auto"/>
              </w:rPr>
            </w:pPr>
            <w:r>
              <w:rPr>
                <w:color w:val="auto"/>
              </w:rPr>
              <w:t>232,06</w:t>
            </w: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>
      <w:pPr>
        <w:pStyle w:val="Normal"/>
        <w:tabs>
          <w:tab w:val="clear" w:pos="708"/>
          <w:tab w:val="left" w:pos="426" w:leader="none"/>
        </w:tabs>
        <w:jc w:val="both"/>
        <w:rPr>
          <w:color w:val="C9211E"/>
        </w:rPr>
      </w:pPr>
      <w:r>
        <w:rPr>
          <w:color w:val="C9211E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Dotácie boli poskytnuté zo ŠR na prenesený výkon štátnej správy, na voľby do samosprávy obcí a VÚC..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 xml:space="preserve">10.2 Poskytnuté dotácie </w:t>
      </w:r>
    </w:p>
    <w:p>
      <w:pPr>
        <w:pStyle w:val="Normal"/>
        <w:tabs>
          <w:tab w:val="clear" w:pos="708"/>
          <w:tab w:val="left" w:pos="426" w:leader="none"/>
        </w:tabs>
        <w:jc w:val="both"/>
        <w:rPr>
          <w:color w:val="auto"/>
        </w:rPr>
      </w:pPr>
      <w:r>
        <w:rPr>
          <w:color w:val="auto"/>
        </w:rPr>
      </w:r>
    </w:p>
    <w:tbl>
      <w:tblPr>
        <w:tblW w:w="1000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20"/>
        <w:gridCol w:w="2126"/>
        <w:gridCol w:w="1576"/>
        <w:gridCol w:w="1783"/>
      </w:tblGrid>
      <w:tr>
        <w:trPr/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snapToGrid w:val="false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  <w:bookmarkStart w:id="11" w:name="OLE_LINK18"/>
            <w:bookmarkStart w:id="12" w:name="OLE_LINK19"/>
            <w:bookmarkStart w:id="13" w:name="_Hlk515303860"/>
            <w:bookmarkStart w:id="14" w:name="OLE_LINK18"/>
            <w:bookmarkStart w:id="15" w:name="OLE_LINK19"/>
            <w:bookmarkStart w:id="16" w:name="_Hlk515303860"/>
            <w:bookmarkEnd w:id="14"/>
            <w:bookmarkEnd w:id="15"/>
            <w:bookmarkEnd w:id="16"/>
          </w:p>
          <w:p>
            <w:pPr>
              <w:pStyle w:val="Normal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Obec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- 1 -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Suma  poskytnutých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finančných prostriedkov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- 2 -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Suma skutočne použitých finančných prostriedkov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- 3-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D9D9D9" w:val="clear"/>
          </w:tcPr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Rozdiel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(stĺ.3 - stĺ.4 )</w:t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- 4 -</w:t>
            </w:r>
          </w:p>
        </w:tc>
      </w:tr>
      <w:tr>
        <w:trPr/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Obec Kráľova Lehota MŠ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414,56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414,56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>
        <w:trPr/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/>
            </w:pPr>
            <w:r>
              <w:rPr>
                <w:color w:val="auto"/>
                <w:sz w:val="22"/>
                <w:szCs w:val="22"/>
              </w:rPr>
              <w:t>Obec Liptovský Hrádok  na stavebný úrad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1.581,08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1.349,06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232,02</w:t>
            </w:r>
          </w:p>
        </w:tc>
      </w:tr>
      <w:tr>
        <w:trPr/>
        <w:tc>
          <w:tcPr>
            <w:tcW w:w="45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Mesto Liptovský Mikuláš BT na CVČ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color w:val="auto"/>
              </w:rPr>
              <w:t>197,00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/>
            </w:pPr>
            <w:r>
              <w:rPr>
                <w:color w:val="auto"/>
              </w:rPr>
              <w:t>197,00</w:t>
            </w:r>
          </w:p>
        </w:tc>
        <w:tc>
          <w:tcPr>
            <w:tcW w:w="17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>
      <w:pPr>
        <w:pStyle w:val="Normal"/>
        <w:tabs>
          <w:tab w:val="clear" w:pos="708"/>
          <w:tab w:val="left" w:pos="426" w:leader="none"/>
        </w:tabs>
        <w:jc w:val="both"/>
        <w:rPr>
          <w:color w:val="auto"/>
        </w:rPr>
      </w:pPr>
      <w:r>
        <w:rPr>
          <w:color w:val="auto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 roku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3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obec neposkytla zo svojho rozpočtu dotáciu fyzickej osobe - podnikateľovi  v zmysle VZN č. 2/2013 o poskytovaní dotácií z rozpočtu obce v platnom znení.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Obec poskytla  CVČ Liptovský Hrádok, ktoré navštevujú aj deti z našej obce, dotáciu na záujmovú činnosť v súlade  s VZN. 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10.3 Významné investičné akcie v roku 202</w:t>
      </w: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3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b/>
          <w:i/>
          <w:color w:val="CE181E"/>
          <w:sz w:val="24"/>
          <w:szCs w:val="24"/>
          <w:lang w:val="sk-SK"/>
        </w:rPr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Nákup pozemkov</w:t>
        <w:tab/>
        <w:tab/>
        <w:tab/>
        <w:t xml:space="preserve">    500,00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MK</w:t>
        <w:tab/>
        <w:tab/>
        <w:t xml:space="preserve">             1.299,00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KD z RF                                                      3.100,00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 xml:space="preserve">-  Projektová dokumentácia MK z RF                         </w:t>
        <w:tab/>
        <w:t xml:space="preserve">    </w:t>
        <w:tab/>
        <w:t xml:space="preserve"> 2.297,75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b w:val="false"/>
          <w:bCs w:val="false"/>
          <w:color w:val="auto"/>
        </w:rPr>
      </w:pPr>
      <w:r>
        <w:rPr>
          <w:b w:val="false"/>
          <w:bCs w:val="false"/>
          <w:color w:val="auto"/>
        </w:rPr>
        <w:t>-  Projektová dokumentácia VO</w:t>
        <w:tab/>
        <w:tab/>
        <w:tab/>
        <w:t xml:space="preserve">    990,00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>- WIFI pre teba RF</w:t>
        <w:tab/>
        <w:tab/>
        <w:t xml:space="preserve">           14.990,00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>- Rekonštrukcia a modernizácia – OU z RF</w:t>
        <w:tab/>
        <w:t xml:space="preserve">             17.335,18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 xml:space="preserve">- Rekonštrukcia a modernizácia – KD zateplenie z RF               </w:t>
        <w:tab/>
        <w:t xml:space="preserve"> 6.319,71 EUR</w:t>
      </w:r>
    </w:p>
    <w:p>
      <w:pPr>
        <w:pStyle w:val="Normal"/>
        <w:tabs>
          <w:tab w:val="clear" w:pos="708"/>
          <w:tab w:val="left" w:pos="630" w:leader="none"/>
          <w:tab w:val="left" w:pos="6240" w:leader="none"/>
        </w:tabs>
        <w:ind w:left="360" w:right="0"/>
        <w:jc w:val="both"/>
        <w:rPr>
          <w:color w:val="auto"/>
        </w:rPr>
      </w:pPr>
      <w:r>
        <w:rPr>
          <w:color w:val="auto"/>
        </w:rPr>
        <w:t xml:space="preserve">- Rekonštrukcia a modernizácia – KD vykurovanie z RF              </w:t>
        <w:tab/>
        <w:t xml:space="preserve">    900,00 EUR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10.4 Predpokladaný budúci vývoj činností</w:t>
      </w:r>
    </w:p>
    <w:p>
      <w:pPr>
        <w:pStyle w:val="Bezmezer"/>
        <w:jc w:val="both"/>
        <w:rPr>
          <w:rFonts w:ascii="Times New Roman" w:hAnsi="Times New Roman"/>
          <w:b/>
          <w:i/>
          <w:i/>
          <w:color w:val="auto"/>
          <w:sz w:val="24"/>
          <w:szCs w:val="24"/>
          <w:lang w:val="sk-SK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Predpokladané investičné akcie realizované v budúcich rokoch: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Dokončenie rekonštrukcie miestnej komunikácie.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Výstavba vodovodu – ďalšie vetvy.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Výstavba ČOV a kanalizácie – dokončenie. 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Rekonštrukcia domu smútku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Rekonštrukcia kultúrneho domu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Modernizácia multifunkčného ihriska 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Kompostéry do domácností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Obec bude žiadať  o dotácie na dostavbu ČOV a kanalizácie, vodovodu. Zapojí sa do výziev – získanie finančných prostriedkov na ďalšie investičné akcie.</w:t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10.5. Udalosti osobitného významu po skončení účtovného obdobia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>Obec nezaznamenala žiadnu udalosť osobitného významu po skončení účtovného obdobia, za ktoré sa vyhotovuje výročná správa.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b/>
          <w:i/>
          <w:color w:val="auto"/>
          <w:sz w:val="24"/>
          <w:szCs w:val="24"/>
          <w:lang w:val="sk-SK"/>
        </w:rPr>
        <w:t>10.6. Významné riziká a neistoty, ktorým je účtovná jednotka vystavená</w:t>
      </w:r>
    </w:p>
    <w:p>
      <w:pPr>
        <w:pStyle w:val="Normal"/>
        <w:jc w:val="both"/>
        <w:rPr>
          <w:color w:val="auto"/>
        </w:rPr>
      </w:pPr>
      <w:r>
        <w:rPr>
          <w:color w:val="auto"/>
        </w:rPr>
        <w:t xml:space="preserve">Vyvlastňovacie konanie pre stavbu „Miestna komunikácia Nižná Boca“, kde bolo vydané rozhodnutie Okresným úradom v Žiline v prospech obce, ale proti rozhodnutiu bolo prehratou stranou podané odvolanie. Ministerstvom dopravy a výstavby SR bolo vydané rozhodnutie v prospech obce, bol podaný protest prokurátora, ktorému  minister Dopravy a výstavby vyhovel a zrušil rozhodnutie Ministerstva DaV SR, čím sa rozhodnutie o vyvlastnení zrušuje a bude nové konanie od úrovne Okresného úradu v Žiline, odbor výstavby a bytovej politiky, čím však nie je dotknutá vykonateľnosť rozhodnutia OÚ Žilina. 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Vypracovala:  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Ing. Juraj Brziak</w:t>
      </w: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   </w:t>
        <w:tab/>
        <w:tab/>
        <w:t>Schválil: Mgr. Silvia Skusilová</w:t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ab/>
        <w:tab/>
        <w:tab/>
        <w:tab/>
        <w:tab/>
        <w:tab/>
        <w:tab/>
        <w:tab/>
        <w:tab/>
        <w:t xml:space="preserve">starostka                                                                    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V Nižnej Boci  dňa   15. 06. 202</w:t>
      </w:r>
      <w:r>
        <w:rPr>
          <w:rFonts w:ascii="Times New Roman" w:hAnsi="Times New Roman"/>
          <w:color w:val="auto"/>
          <w:sz w:val="24"/>
          <w:szCs w:val="24"/>
          <w:lang w:val="sk-SK"/>
        </w:rPr>
        <w:t>4</w:t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auto"/>
          <w:sz w:val="24"/>
          <w:szCs w:val="24"/>
          <w:lang w:val="sk-SK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</w:r>
    </w:p>
    <w:p>
      <w:pPr>
        <w:pStyle w:val="Bezmezer"/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Prílohy:</w:t>
      </w:r>
    </w:p>
    <w:p>
      <w:pPr>
        <w:pStyle w:val="Bezmezer"/>
        <w:numPr>
          <w:ilvl w:val="0"/>
          <w:numId w:val="3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>Individuálna účtovná závierka: Súvaha, Výkaz ziskov a strát, Poznámky</w:t>
      </w:r>
    </w:p>
    <w:p>
      <w:pPr>
        <w:pStyle w:val="Bezmezer"/>
        <w:numPr>
          <w:ilvl w:val="0"/>
          <w:numId w:val="3"/>
        </w:numPr>
        <w:jc w:val="both"/>
        <w:rPr>
          <w:color w:val="auto"/>
        </w:rPr>
      </w:pPr>
      <w:r>
        <w:rPr>
          <w:rFonts w:ascii="Times New Roman" w:hAnsi="Times New Roman"/>
          <w:color w:val="auto"/>
          <w:sz w:val="24"/>
          <w:szCs w:val="24"/>
          <w:lang w:val="sk-SK"/>
        </w:rPr>
        <w:t xml:space="preserve">Výrok audítora k individuálnej účtovnej závierke </w:t>
      </w:r>
    </w:p>
    <w:p>
      <w:pPr>
        <w:pStyle w:val="Bezmezer"/>
        <w:jc w:val="both"/>
        <w:rPr>
          <w:color w:val="auto"/>
          <w:lang w:val="sk-SK"/>
        </w:rPr>
      </w:pPr>
      <w:r>
        <w:rPr>
          <w:color w:val="auto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Bezmezer"/>
        <w:jc w:val="both"/>
        <w:rPr>
          <w:rFonts w:ascii="Times New Roman" w:hAnsi="Times New Roman"/>
          <w:color w:val="CE181E"/>
          <w:sz w:val="24"/>
          <w:szCs w:val="24"/>
          <w:lang w:val="sk-SK"/>
        </w:rPr>
      </w:pPr>
      <w:r>
        <w:rPr>
          <w:rFonts w:ascii="Times New Roman" w:hAnsi="Times New Roman"/>
          <w:color w:val="CE181E"/>
          <w:sz w:val="24"/>
          <w:szCs w:val="24"/>
          <w:lang w:val="sk-SK"/>
        </w:rPr>
      </w:r>
    </w:p>
    <w:p>
      <w:pPr>
        <w:pStyle w:val="Normal"/>
        <w:rPr>
          <w:color w:val="CE181E"/>
        </w:rPr>
      </w:pPr>
      <w:r>
        <w:rPr>
          <w:color w:val="CE181E"/>
        </w:rPr>
      </w:r>
    </w:p>
    <w:p>
      <w:pPr>
        <w:pStyle w:val="Normal"/>
        <w:rPr>
          <w:color w:val="CE181E"/>
        </w:rPr>
      </w:pPr>
      <w:r>
        <w:rPr>
          <w:color w:val="CE181E"/>
        </w:rPr>
      </w:r>
    </w:p>
    <w:p>
      <w:pPr>
        <w:pStyle w:val="Normal"/>
        <w:rPr>
          <w:color w:val="CE181E"/>
        </w:rPr>
      </w:pPr>
      <w:r>
        <w:rPr>
          <w:color w:val="CE181E"/>
        </w:rPr>
      </w:r>
    </w:p>
    <w:sectPr>
      <w:footerReference w:type="default" r:id="rId5"/>
      <w:type w:val="nextPage"/>
      <w:pgSz w:w="11906" w:h="16838"/>
      <w:pgMar w:left="1417" w:right="1417" w:gutter="0" w:header="0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imes New          Roman">
    <w:altName w:val="Times New Roman"/>
    <w:charset w:val="ee"/>
    <w:family w:val="auto"/>
    <w:pitch w:val="default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17</w:t>
    </w:r>
    <w:r>
      <w:rPr/>
      <w:fldChar w:fldCharType="end"/>
    </w:r>
  </w:p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5">
    <w:lvl w:ilvl="0">
      <w:start w:val="2"/>
      <w:numFmt w:val="decimal"/>
      <w:lvlText w:val="%1"/>
      <w:lvlJc w:val="left"/>
      <w:pPr>
        <w:tabs>
          <w:tab w:val="num" w:pos="0"/>
        </w:tabs>
        <w:ind w:left="405" w:hanging="405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365" w:hanging="720"/>
      </w:pPr>
      <w:rPr>
        <w:sz w:val="28"/>
        <w:b/>
        <w:szCs w:val="28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010" w:hanging="72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015" w:hanging="108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020" w:hanging="144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665" w:hanging="144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670" w:hanging="180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675" w:hanging="216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320" w:hanging="2160"/>
      </w:pPr>
      <w:rPr>
        <w:smallCaps w:val="false"/>
        <w:caps w:val="false"/>
        <w:sz w:val="24"/>
        <w:rFonts w:ascii="Times New          Roman;Times New Roman" w:hAnsi="Times New          Roman;Times New Roman" w:cs="Times New          Roman;Times New Roman"/>
        <w:color w:val="auto"/>
      </w:rPr>
    </w:lvl>
  </w:abstractNum>
  <w:abstractNum w:abstractNumId="6">
    <w:lvl w:ilvl="0">
      <w:start w:val="2"/>
      <w:numFmt w:val="decimal"/>
      <w:lvlText w:val="%1"/>
      <w:lvlJc w:val="left"/>
      <w:pPr>
        <w:tabs>
          <w:tab w:val="num" w:pos="0"/>
        </w:tabs>
        <w:ind w:left="405" w:hanging="405"/>
      </w:pPr>
      <w:rPr>
        <w:sz w:val="32"/>
        <w:b/>
        <w:rFonts w:ascii="Times New Roman" w:hAnsi="Times New Roman" w:eastAsia="Times New Roman" w:cs="Times New Roman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1125" w:hanging="405"/>
      </w:pPr>
      <w:rPr>
        <w:sz w:val="32"/>
        <w:b/>
        <w:rFonts w:ascii="Times New Roman" w:hAnsi="Times New Roman" w:eastAsia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sz w:val="32"/>
        <w:b/>
        <w:rFonts w:ascii="Times New Roman" w:hAnsi="Times New Roman" w:eastAsia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240" w:hanging="1080"/>
      </w:pPr>
      <w:rPr>
        <w:sz w:val="32"/>
        <w:b/>
        <w:rFonts w:ascii="Times New Roman" w:hAnsi="Times New Roman" w:eastAsia="Times New Roman"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960" w:hanging="1080"/>
      </w:pPr>
      <w:rPr>
        <w:sz w:val="32"/>
        <w:b/>
        <w:rFonts w:ascii="Times New Roman" w:hAnsi="Times New Roman" w:eastAsia="Times New Roman"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040" w:hanging="1440"/>
      </w:pPr>
      <w:rPr>
        <w:sz w:val="32"/>
        <w:b/>
        <w:rFonts w:ascii="Times New Roman" w:hAnsi="Times New Roman" w:eastAsia="Times New Roman"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760" w:hanging="1440"/>
      </w:pPr>
      <w:rPr>
        <w:sz w:val="32"/>
        <w:b/>
        <w:rFonts w:ascii="Times New Roman" w:hAnsi="Times New Roman" w:eastAsia="Times New Roman"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840" w:hanging="1800"/>
      </w:pPr>
      <w:rPr>
        <w:sz w:val="32"/>
        <w:b/>
        <w:rFonts w:ascii="Times New Roman" w:hAnsi="Times New Roman" w:eastAsia="Times New Roman"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920" w:hanging="2160"/>
      </w:pPr>
      <w:rPr>
        <w:sz w:val="32"/>
        <w:b/>
        <w:rFonts w:ascii="Times New Roman" w:hAnsi="Times New Roman" w:eastAsia="Times New Roman" w:cs="Times New Roman"/>
      </w:r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84ed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uiPriority w:val="99"/>
    <w:qFormat/>
    <w:rsid w:val="00784edf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qFormat/>
    <w:rsid w:val="00784edf"/>
    <w:rPr/>
  </w:style>
  <w:style w:type="character" w:styleId="HlavikaChar" w:customStyle="1">
    <w:name w:val="Hlavička Char"/>
    <w:basedOn w:val="DefaultParagraphFont"/>
    <w:qFormat/>
    <w:rsid w:val="00784edf"/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Hyperlink">
    <w:name w:val="Hyperlink"/>
    <w:basedOn w:val="DefaultParagraphFont"/>
    <w:rsid w:val="00784ed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784edf"/>
    <w:rPr>
      <w:i/>
      <w:iCs/>
    </w:rPr>
  </w:style>
  <w:style w:type="character" w:styleId="Strong">
    <w:name w:val="Strong"/>
    <w:basedOn w:val="DefaultParagraphFont"/>
    <w:uiPriority w:val="22"/>
    <w:qFormat/>
    <w:rsid w:val="00784edf"/>
    <w:rPr>
      <w:b/>
      <w:bCs/>
    </w:rPr>
  </w:style>
  <w:style w:type="character" w:styleId="WW8Num6z0">
    <w:name w:val="WW8Num6z0"/>
    <w:qFormat/>
    <w:rPr>
      <w:rFonts w:ascii="Times New Roman" w:hAnsi="Times New Roman" w:cs="Times New Roman"/>
    </w:rPr>
  </w:style>
  <w:style w:type="character" w:styleId="WW8Num4z0">
    <w:name w:val="WW8Num4z0"/>
    <w:qFormat/>
    <w:rPr>
      <w:rFonts w:ascii="Times New          Roman;Times New Roman" w:hAnsi="Times New          Roman;Times New Roman" w:cs="Times New          Roman;Times New Roman"/>
      <w:caps w:val="false"/>
      <w:smallCaps w:val="false"/>
      <w:color w:val="auto"/>
      <w:sz w:val="24"/>
    </w:rPr>
  </w:style>
  <w:style w:type="character" w:styleId="WW8Num4z1">
    <w:name w:val="WW8Num4z1"/>
    <w:qFormat/>
    <w:rPr>
      <w:b/>
      <w:sz w:val="28"/>
      <w:szCs w:val="28"/>
    </w:rPr>
  </w:style>
  <w:style w:type="character" w:styleId="WW8Num5z0">
    <w:name w:val="WW8Num5z0"/>
    <w:qFormat/>
    <w:rPr>
      <w:rFonts w:ascii="Times New Roman" w:hAnsi="Times New Roman" w:eastAsia="Times New Roman" w:cs="Times New Roman"/>
      <w:b/>
      <w:sz w:val="32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link w:val="PtaChar"/>
    <w:uiPriority w:val="99"/>
    <w:rsid w:val="00784edf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Header">
    <w:name w:val="Header"/>
    <w:basedOn w:val="Normal"/>
    <w:link w:val="HlavikaChar"/>
    <w:rsid w:val="00784edf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ezmezer" w:customStyle="1">
    <w:name w:val="Bez mezer"/>
    <w:qFormat/>
    <w:rsid w:val="00784edf"/>
    <w:pPr>
      <w:widowControl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4"/>
      <w:szCs w:val="22"/>
      <w:lang w:val="cs-CZ" w:eastAsia="en-US" w:bidi="ar-SA"/>
    </w:rPr>
  </w:style>
  <w:style w:type="paragraph" w:styleId="ListParagraph">
    <w:name w:val="List Paragraph"/>
    <w:basedOn w:val="Normal"/>
    <w:uiPriority w:val="34"/>
    <w:qFormat/>
    <w:rsid w:val="00784edf"/>
    <w:pPr>
      <w:spacing w:before="0" w:after="0"/>
      <w:ind w:hanging="0" w:left="720"/>
      <w:contextualSpacing/>
    </w:pPr>
    <w:rPr/>
  </w:style>
  <w:style w:type="paragraph" w:styleId="NoSpacing">
    <w:name w:val="No Spacing"/>
    <w:uiPriority w:val="1"/>
    <w:qFormat/>
    <w:rsid w:val="00784ed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WW8Num6">
    <w:name w:val="WW8Num6"/>
    <w:qFormat/>
  </w:style>
  <w:style w:type="numbering" w:styleId="WW8Num4">
    <w:name w:val="WW8Num4"/>
    <w:qFormat/>
  </w:style>
  <w:style w:type="numbering" w:styleId="WW8Num5">
    <w:name w:val="WW8Num5"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mailto:obec@niznaboca.sk" TargetMode="External"/><Relationship Id="rId4" Type="http://schemas.openxmlformats.org/officeDocument/2006/relationships/hyperlink" Target="mailto:starosta@niznaboca.sk" TargetMode="Externa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Application>LibreOffice/7.6.3.2$Windows_X86_64 LibreOffice_project/29d686fea9f6705b262d369fede658f824154cc0</Application>
  <AppVersion>15.0000</AppVersion>
  <DocSecurity>0</DocSecurity>
  <Pages>17</Pages>
  <Words>4052</Words>
  <Characters>23415</Characters>
  <CharactersWithSpaces>28718</CharactersWithSpaces>
  <Paragraphs>863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2023-05-24T05:46:00Z</dcterms:created>
  <dc:creator>Lenovo</dc:creator>
  <dc:description/>
  <dc:language>sk-SK</dc:language>
  <cp:lastModifiedBy/>
  <cp:lastPrinted>2023-06-29T20:30:00Z</cp:lastPrinted>
  <dcterms:modified xsi:type="dcterms:W3CDTF">2024-09-14T11:06:19Z</dcterms:modified>
  <cp:revision>35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