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color w:val="CE181E"/>
          <w:sz w:val="40"/>
          <w:szCs w:val="40"/>
        </w:rPr>
      </w:pPr>
      <w:r>
        <w:rPr>
          <w:b/>
          <w:color w:val="CE181E"/>
          <w:sz w:val="40"/>
          <w:szCs w:val="40"/>
        </w:rPr>
      </w:r>
    </w:p>
    <w:p>
      <w:pPr>
        <w:pStyle w:val="Normal"/>
        <w:jc w:val="center"/>
        <w:rPr>
          <w:b/>
          <w:color w:val="CE181E"/>
          <w:sz w:val="40"/>
          <w:szCs w:val="40"/>
        </w:rPr>
      </w:pPr>
      <w:r>
        <w:rPr>
          <w:b/>
          <w:color w:val="CE181E"/>
          <w:sz w:val="40"/>
          <w:szCs w:val="40"/>
        </w:rPr>
      </w:r>
    </w:p>
    <w:p>
      <w:pPr>
        <w:pStyle w:val="Normal"/>
        <w:jc w:val="center"/>
        <w:rPr>
          <w:b/>
          <w:color w:val="CE181E"/>
          <w:sz w:val="40"/>
          <w:szCs w:val="40"/>
        </w:rPr>
      </w:pPr>
      <w:r>
        <w:rPr>
          <w:b/>
          <w:color w:val="CE181E"/>
          <w:sz w:val="40"/>
          <w:szCs w:val="40"/>
        </w:rP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2212975</wp:posOffset>
            </wp:positionH>
            <wp:positionV relativeFrom="paragraph">
              <wp:posOffset>283845</wp:posOffset>
            </wp:positionV>
            <wp:extent cx="788670" cy="926465"/>
            <wp:effectExtent l="0" t="0" r="0" b="0"/>
            <wp:wrapSquare wrapText="largest"/>
            <wp:docPr id="1" name="Obrázok 1" descr="Picture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 descr="Picture 00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670" cy="926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>
          <w:b/>
          <w:color w:val="CE181E"/>
          <w:sz w:val="40"/>
          <w:szCs w:val="40"/>
        </w:rPr>
      </w:pPr>
      <w:r>
        <w:rPr>
          <w:b/>
          <w:color w:val="CE181E"/>
          <w:sz w:val="40"/>
          <w:szCs w:val="40"/>
        </w:rPr>
      </w:r>
    </w:p>
    <w:p>
      <w:pPr>
        <w:pStyle w:val="Normal"/>
        <w:jc w:val="center"/>
        <w:rPr>
          <w:b/>
          <w:color w:val="CE181E"/>
          <w:sz w:val="40"/>
          <w:szCs w:val="40"/>
        </w:rPr>
      </w:pPr>
      <w:r>
        <w:rPr>
          <w:b/>
          <w:color w:val="CE181E"/>
          <w:sz w:val="40"/>
          <w:szCs w:val="40"/>
        </w:rPr>
      </w:r>
    </w:p>
    <w:p>
      <w:pPr>
        <w:pStyle w:val="Normal"/>
        <w:jc w:val="center"/>
        <w:rPr>
          <w:b/>
          <w:color w:val="CE181E"/>
          <w:sz w:val="40"/>
          <w:szCs w:val="40"/>
        </w:rPr>
      </w:pPr>
      <w:r>
        <w:rPr>
          <w:b/>
          <w:color w:val="CE181E"/>
          <w:sz w:val="40"/>
          <w:szCs w:val="40"/>
        </w:rPr>
      </w:r>
    </w:p>
    <w:p>
      <w:pPr>
        <w:pStyle w:val="Normal"/>
        <w:jc w:val="center"/>
        <w:rPr>
          <w:b/>
          <w:color w:val="CE181E"/>
          <w:sz w:val="40"/>
          <w:szCs w:val="40"/>
        </w:rPr>
      </w:pPr>
      <w:r>
        <w:rPr>
          <w:b/>
          <w:color w:val="CE181E"/>
          <w:sz w:val="40"/>
          <w:szCs w:val="40"/>
        </w:rPr>
      </w:r>
    </w:p>
    <w:p>
      <w:pPr>
        <w:pStyle w:val="Normal"/>
        <w:rPr>
          <w:b/>
          <w:color w:val="CE181E"/>
          <w:sz w:val="56"/>
          <w:szCs w:val="56"/>
        </w:rPr>
      </w:pPr>
      <w:r>
        <w:rPr>
          <w:b/>
          <w:color w:val="CE181E"/>
          <w:sz w:val="56"/>
          <w:szCs w:val="56"/>
        </w:rPr>
      </w:r>
    </w:p>
    <w:p>
      <w:pPr>
        <w:pStyle w:val="Normal"/>
        <w:jc w:val="center"/>
        <w:rPr>
          <w:b/>
          <w:color w:val="CE181E"/>
          <w:sz w:val="56"/>
          <w:szCs w:val="56"/>
        </w:rPr>
      </w:pPr>
      <w:r>
        <w:rPr>
          <w:b/>
          <w:color w:val="CE181E"/>
          <w:sz w:val="56"/>
          <w:szCs w:val="56"/>
        </w:rPr>
      </w:r>
    </w:p>
    <w:p>
      <w:pPr>
        <w:pStyle w:val="Normal"/>
        <w:jc w:val="center"/>
        <w:rPr>
          <w:color w:val="auto"/>
        </w:rPr>
      </w:pPr>
      <w:r>
        <w:rPr>
          <w:b/>
          <w:color w:val="auto"/>
          <w:sz w:val="52"/>
          <w:szCs w:val="52"/>
        </w:rPr>
        <w:t xml:space="preserve">Individuálna výročná správa </w:t>
      </w:r>
    </w:p>
    <w:p>
      <w:pPr>
        <w:pStyle w:val="Normal"/>
        <w:jc w:val="center"/>
        <w:rPr>
          <w:color w:val="auto"/>
        </w:rPr>
      </w:pPr>
      <w:r>
        <w:rPr>
          <w:b/>
          <w:color w:val="auto"/>
          <w:sz w:val="52"/>
          <w:szCs w:val="52"/>
        </w:rPr>
        <w:t>Obce Nižná Boca</w:t>
      </w:r>
    </w:p>
    <w:p>
      <w:pPr>
        <w:pStyle w:val="Normal"/>
        <w:jc w:val="center"/>
        <w:rPr>
          <w:b/>
          <w:color w:val="auto"/>
          <w:sz w:val="52"/>
          <w:szCs w:val="52"/>
        </w:rPr>
      </w:pPr>
      <w:r>
        <w:rPr>
          <w:b/>
          <w:color w:val="auto"/>
          <w:sz w:val="52"/>
          <w:szCs w:val="52"/>
        </w:rPr>
      </w:r>
    </w:p>
    <w:p>
      <w:pPr>
        <w:pStyle w:val="Normal"/>
        <w:jc w:val="center"/>
        <w:rPr>
          <w:color w:val="auto"/>
        </w:rPr>
      </w:pPr>
      <w:r>
        <w:rPr>
          <w:b/>
          <w:color w:val="auto"/>
          <w:sz w:val="52"/>
          <w:szCs w:val="52"/>
        </w:rPr>
        <w:t>za rok  2023</w:t>
      </w:r>
    </w:p>
    <w:p>
      <w:pPr>
        <w:pStyle w:val="Normal"/>
        <w:jc w:val="center"/>
        <w:rPr>
          <w:b/>
          <w:color w:val="auto"/>
          <w:sz w:val="52"/>
          <w:szCs w:val="52"/>
        </w:rPr>
      </w:pPr>
      <w:r>
        <w:rPr>
          <w:b/>
          <w:color w:val="auto"/>
          <w:sz w:val="52"/>
          <w:szCs w:val="52"/>
        </w:rPr>
      </w:r>
    </w:p>
    <w:p>
      <w:pPr>
        <w:pStyle w:val="Normal"/>
        <w:jc w:val="center"/>
        <w:rPr>
          <w:b/>
          <w:color w:val="auto"/>
          <w:sz w:val="52"/>
          <w:szCs w:val="52"/>
        </w:rPr>
      </w:pPr>
      <w:r>
        <w:rPr>
          <w:b/>
          <w:color w:val="auto"/>
          <w:sz w:val="52"/>
          <w:szCs w:val="52"/>
        </w:rPr>
      </w:r>
    </w:p>
    <w:p>
      <w:pPr>
        <w:pStyle w:val="Normal"/>
        <w:jc w:val="center"/>
        <w:rPr>
          <w:b/>
          <w:color w:val="auto"/>
          <w:sz w:val="44"/>
          <w:szCs w:val="44"/>
        </w:rPr>
      </w:pPr>
      <w:r>
        <w:rPr>
          <w:b/>
          <w:color w:val="auto"/>
          <w:sz w:val="44"/>
          <w:szCs w:val="44"/>
        </w:rPr>
      </w:r>
    </w:p>
    <w:p>
      <w:pPr>
        <w:pStyle w:val="Normal"/>
        <w:rPr>
          <w:b/>
          <w:color w:val="auto"/>
          <w:sz w:val="44"/>
          <w:szCs w:val="44"/>
        </w:rPr>
      </w:pPr>
      <w:r>
        <w:rPr>
          <w:b/>
          <w:color w:val="auto"/>
          <w:sz w:val="44"/>
          <w:szCs w:val="44"/>
        </w:rPr>
      </w:r>
    </w:p>
    <w:p>
      <w:pPr>
        <w:pStyle w:val="Normal"/>
        <w:tabs>
          <w:tab w:val="clear" w:pos="708"/>
          <w:tab w:val="right" w:pos="8820" w:leader="none"/>
        </w:tabs>
        <w:jc w:val="both"/>
        <w:rPr>
          <w:b/>
          <w:color w:val="auto"/>
          <w:sz w:val="44"/>
          <w:szCs w:val="44"/>
        </w:rPr>
      </w:pPr>
      <w:r>
        <w:rPr>
          <w:b/>
          <w:color w:val="auto"/>
          <w:sz w:val="44"/>
          <w:szCs w:val="44"/>
        </w:rPr>
      </w:r>
    </w:p>
    <w:p>
      <w:pPr>
        <w:pStyle w:val="Normal"/>
        <w:tabs>
          <w:tab w:val="clear" w:pos="708"/>
          <w:tab w:val="right" w:pos="8820" w:leader="none"/>
        </w:tabs>
        <w:jc w:val="both"/>
        <w:rPr>
          <w:b/>
          <w:color w:val="auto"/>
          <w:sz w:val="44"/>
          <w:szCs w:val="44"/>
        </w:rPr>
      </w:pPr>
      <w:r>
        <w:rPr>
          <w:b/>
          <w:color w:val="auto"/>
          <w:sz w:val="44"/>
          <w:szCs w:val="44"/>
        </w:rPr>
      </w:r>
    </w:p>
    <w:p>
      <w:pPr>
        <w:pStyle w:val="Normal"/>
        <w:tabs>
          <w:tab w:val="clear" w:pos="708"/>
          <w:tab w:val="right" w:pos="8820" w:leader="none"/>
        </w:tabs>
        <w:jc w:val="both"/>
        <w:rPr>
          <w:b/>
          <w:color w:val="auto"/>
          <w:sz w:val="44"/>
          <w:szCs w:val="44"/>
        </w:rPr>
      </w:pPr>
      <w:r>
        <w:rPr>
          <w:b/>
          <w:color w:val="auto"/>
          <w:sz w:val="44"/>
          <w:szCs w:val="44"/>
        </w:rPr>
      </w:r>
    </w:p>
    <w:p>
      <w:pPr>
        <w:pStyle w:val="Normal"/>
        <w:tabs>
          <w:tab w:val="clear" w:pos="708"/>
          <w:tab w:val="right" w:pos="8820" w:leader="none"/>
        </w:tabs>
        <w:jc w:val="both"/>
        <w:rPr>
          <w:b/>
          <w:color w:val="auto"/>
          <w:sz w:val="44"/>
          <w:szCs w:val="44"/>
        </w:rPr>
      </w:pPr>
      <w:r>
        <w:rPr>
          <w:b/>
          <w:color w:val="auto"/>
          <w:sz w:val="44"/>
          <w:szCs w:val="44"/>
        </w:rPr>
      </w:r>
    </w:p>
    <w:p>
      <w:pPr>
        <w:pStyle w:val="Normal"/>
        <w:tabs>
          <w:tab w:val="clear" w:pos="708"/>
          <w:tab w:val="right" w:pos="8820" w:leader="none"/>
        </w:tabs>
        <w:jc w:val="both"/>
        <w:rPr>
          <w:b/>
          <w:color w:val="auto"/>
          <w:sz w:val="44"/>
          <w:szCs w:val="44"/>
        </w:rPr>
      </w:pPr>
      <w:r>
        <w:rPr>
          <w:b/>
          <w:color w:val="auto"/>
          <w:sz w:val="44"/>
          <w:szCs w:val="44"/>
        </w:rPr>
      </w:r>
    </w:p>
    <w:p>
      <w:pPr>
        <w:pStyle w:val="Normal"/>
        <w:tabs>
          <w:tab w:val="clear" w:pos="708"/>
          <w:tab w:val="right" w:pos="8820" w:leader="none"/>
        </w:tabs>
        <w:jc w:val="both"/>
        <w:rPr>
          <w:b/>
          <w:color w:val="auto"/>
          <w:sz w:val="44"/>
          <w:szCs w:val="44"/>
        </w:rPr>
      </w:pPr>
      <w:r>
        <w:rPr>
          <w:b/>
          <w:color w:val="auto"/>
          <w:sz w:val="44"/>
          <w:szCs w:val="44"/>
        </w:rPr>
      </w:r>
    </w:p>
    <w:p>
      <w:pPr>
        <w:pStyle w:val="Normal"/>
        <w:tabs>
          <w:tab w:val="clear" w:pos="708"/>
          <w:tab w:val="right" w:pos="8820" w:leader="none"/>
        </w:tabs>
        <w:rPr>
          <w:color w:val="auto"/>
        </w:rPr>
      </w:pPr>
      <w:r>
        <w:rPr>
          <w:color w:val="auto"/>
        </w:rPr>
        <w:t xml:space="preserve">                                                                                            </w:t>
      </w:r>
      <w:r>
        <w:rPr>
          <w:color w:val="auto"/>
        </w:rPr>
        <w:t>Mgr. Silvia Skusilová</w:t>
      </w:r>
    </w:p>
    <w:p>
      <w:pPr>
        <w:pStyle w:val="Normal"/>
        <w:tabs>
          <w:tab w:val="clear" w:pos="708"/>
          <w:tab w:val="right" w:pos="8820" w:leader="none"/>
        </w:tabs>
        <w:rPr>
          <w:color w:val="auto"/>
        </w:rPr>
      </w:pPr>
      <w:r>
        <w:rPr>
          <w:color w:val="auto"/>
        </w:rPr>
        <w:t xml:space="preserve">                                                                                                         </w:t>
      </w:r>
      <w:r>
        <w:rPr>
          <w:color w:val="auto"/>
        </w:rPr>
        <w:t xml:space="preserve">starostka </w:t>
      </w:r>
    </w:p>
    <w:p>
      <w:pPr>
        <w:pStyle w:val="Normal"/>
        <w:tabs>
          <w:tab w:val="clear" w:pos="708"/>
          <w:tab w:val="right" w:pos="8820" w:leader="none"/>
        </w:tabs>
        <w:spacing w:lineRule="auto" w:line="360"/>
        <w:jc w:val="both"/>
        <w:rPr>
          <w:b/>
          <w:color w:val="auto"/>
        </w:rPr>
      </w:pPr>
      <w:r>
        <w:rPr>
          <w:b/>
          <w:color w:val="auto"/>
        </w:rPr>
      </w:r>
    </w:p>
    <w:p>
      <w:pPr>
        <w:pStyle w:val="Normal"/>
        <w:tabs>
          <w:tab w:val="clear" w:pos="708"/>
          <w:tab w:val="right" w:pos="8820" w:leader="none"/>
        </w:tabs>
        <w:spacing w:lineRule="auto" w:line="360"/>
        <w:jc w:val="both"/>
        <w:rPr>
          <w:b/>
          <w:color w:val="CE181E"/>
        </w:rPr>
      </w:pPr>
      <w:r>
        <w:rPr>
          <w:b/>
          <w:color w:val="CE181E"/>
        </w:rPr>
      </w:r>
    </w:p>
    <w:p>
      <w:pPr>
        <w:pStyle w:val="Normal"/>
        <w:tabs>
          <w:tab w:val="clear" w:pos="708"/>
          <w:tab w:val="right" w:pos="8820" w:leader="none"/>
        </w:tabs>
        <w:spacing w:lineRule="auto" w:line="360"/>
        <w:jc w:val="both"/>
        <w:rPr>
          <w:b/>
          <w:color w:val="CE181E"/>
          <w:sz w:val="28"/>
          <w:szCs w:val="28"/>
        </w:rPr>
      </w:pPr>
      <w:r>
        <w:rPr>
          <w:b/>
          <w:color w:val="CE181E"/>
          <w:sz w:val="28"/>
          <w:szCs w:val="28"/>
        </w:rPr>
      </w:r>
    </w:p>
    <w:p>
      <w:pPr>
        <w:pStyle w:val="Normal"/>
        <w:tabs>
          <w:tab w:val="clear" w:pos="708"/>
          <w:tab w:val="right" w:pos="8820" w:leader="none"/>
        </w:tabs>
        <w:spacing w:lineRule="auto" w:line="360"/>
        <w:jc w:val="both"/>
        <w:rPr>
          <w:color w:val="auto"/>
        </w:rPr>
      </w:pPr>
      <w:r>
        <w:rPr>
          <w:b/>
          <w:color w:val="auto"/>
          <w:sz w:val="28"/>
          <w:szCs w:val="28"/>
        </w:rPr>
        <w:t>OBSAH</w:t>
        <w:tab/>
        <w:t>str.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1. Úvodné slovo starostu obce</w:t>
        <w:tab/>
        <w:tab/>
        <w:tab/>
        <w:tab/>
        <w:tab/>
        <w:tab/>
        <w:tab/>
        <w:tab/>
        <w:t>3</w:t>
      </w:r>
    </w:p>
    <w:p>
      <w:pPr>
        <w:pStyle w:val="Bezmezer"/>
        <w:jc w:val="both"/>
        <w:rPr>
          <w:rFonts w:ascii="Times New Roman" w:hAnsi="Times New Roman"/>
          <w:color w:val="auto"/>
          <w:sz w:val="24"/>
          <w:szCs w:val="24"/>
          <w:lang w:val="sk-SK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2. Identifikačné údaje obce</w:t>
        <w:tab/>
        <w:tab/>
        <w:tab/>
        <w:tab/>
        <w:tab/>
        <w:tab/>
        <w:tab/>
        <w:tab/>
        <w:tab/>
        <w:t>3</w:t>
      </w:r>
    </w:p>
    <w:p>
      <w:pPr>
        <w:pStyle w:val="Bezmezer"/>
        <w:jc w:val="both"/>
        <w:rPr>
          <w:rFonts w:ascii="Times New Roman" w:hAnsi="Times New Roman"/>
          <w:color w:val="auto"/>
          <w:sz w:val="24"/>
          <w:szCs w:val="24"/>
          <w:lang w:val="sk-SK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3. Organizačná štruktúra obce a identifikácia vedúcich predstaviteľov</w:t>
        <w:tab/>
        <w:tab/>
        <w:tab/>
        <w:t>3</w:t>
      </w:r>
    </w:p>
    <w:p>
      <w:pPr>
        <w:pStyle w:val="Bezmezer"/>
        <w:jc w:val="both"/>
        <w:rPr>
          <w:rFonts w:ascii="Times New Roman" w:hAnsi="Times New Roman"/>
          <w:color w:val="auto"/>
          <w:sz w:val="24"/>
          <w:szCs w:val="24"/>
          <w:lang w:val="sk-SK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4. Poslanie, vízie, ciele</w:t>
        <w:tab/>
        <w:tab/>
        <w:tab/>
        <w:tab/>
        <w:tab/>
        <w:tab/>
        <w:tab/>
        <w:tab/>
        <w:tab/>
        <w:t>3</w:t>
      </w:r>
    </w:p>
    <w:p>
      <w:pPr>
        <w:pStyle w:val="Bezmezer"/>
        <w:jc w:val="both"/>
        <w:rPr>
          <w:rFonts w:ascii="Times New Roman" w:hAnsi="Times New Roman"/>
          <w:color w:val="auto"/>
          <w:sz w:val="24"/>
          <w:szCs w:val="24"/>
          <w:lang w:val="sk-SK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5. Základná charakteristika obce</w:t>
        <w:tab/>
        <w:tab/>
        <w:tab/>
        <w:tab/>
        <w:tab/>
        <w:tab/>
        <w:tab/>
        <w:tab/>
        <w:t>3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 xml:space="preserve">    </w:t>
      </w:r>
      <w:r>
        <w:rPr>
          <w:rFonts w:ascii="Times New Roman" w:hAnsi="Times New Roman"/>
          <w:color w:val="auto"/>
          <w:sz w:val="24"/>
          <w:szCs w:val="24"/>
          <w:lang w:val="sk-SK"/>
        </w:rPr>
        <w:t>5.1. Geografické údaje</w:t>
        <w:tab/>
        <w:tab/>
        <w:tab/>
        <w:tab/>
        <w:tab/>
        <w:tab/>
        <w:tab/>
        <w:tab/>
        <w:tab/>
        <w:t>4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 xml:space="preserve">    </w:t>
      </w:r>
      <w:r>
        <w:rPr>
          <w:rFonts w:ascii="Times New Roman" w:hAnsi="Times New Roman"/>
          <w:color w:val="auto"/>
          <w:sz w:val="24"/>
          <w:szCs w:val="24"/>
          <w:lang w:val="sk-SK"/>
        </w:rPr>
        <w:t>5.2. Demografické údaje</w:t>
        <w:tab/>
        <w:tab/>
        <w:tab/>
        <w:tab/>
        <w:tab/>
        <w:tab/>
        <w:tab/>
        <w:tab/>
        <w:tab/>
        <w:t>4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 xml:space="preserve">    </w:t>
      </w:r>
      <w:r>
        <w:rPr>
          <w:rFonts w:ascii="Times New Roman" w:hAnsi="Times New Roman"/>
          <w:color w:val="auto"/>
          <w:sz w:val="24"/>
          <w:szCs w:val="24"/>
          <w:lang w:val="sk-SK"/>
        </w:rPr>
        <w:t>5.3. Ekonomické údaje</w:t>
        <w:tab/>
        <w:tab/>
        <w:tab/>
        <w:tab/>
        <w:tab/>
        <w:tab/>
        <w:tab/>
        <w:tab/>
        <w:tab/>
        <w:t>4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 xml:space="preserve">    </w:t>
      </w:r>
      <w:r>
        <w:rPr>
          <w:rFonts w:ascii="Times New Roman" w:hAnsi="Times New Roman"/>
          <w:color w:val="auto"/>
          <w:sz w:val="24"/>
          <w:szCs w:val="24"/>
          <w:lang w:val="sk-SK"/>
        </w:rPr>
        <w:t>5.4. Symboly obce</w:t>
        <w:tab/>
        <w:tab/>
        <w:tab/>
        <w:tab/>
        <w:tab/>
        <w:tab/>
        <w:tab/>
        <w:tab/>
        <w:tab/>
        <w:tab/>
        <w:t>4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 xml:space="preserve">    </w:t>
      </w:r>
      <w:r>
        <w:rPr>
          <w:rFonts w:ascii="Times New Roman" w:hAnsi="Times New Roman"/>
          <w:color w:val="auto"/>
          <w:sz w:val="24"/>
          <w:szCs w:val="24"/>
          <w:lang w:val="sk-SK"/>
        </w:rPr>
        <w:t>5.5. Logo obce</w:t>
        <w:tab/>
        <w:tab/>
        <w:tab/>
        <w:tab/>
        <w:tab/>
        <w:tab/>
        <w:tab/>
        <w:tab/>
        <w:tab/>
        <w:tab/>
        <w:t>5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 xml:space="preserve">    </w:t>
      </w:r>
      <w:r>
        <w:rPr>
          <w:rFonts w:ascii="Times New Roman" w:hAnsi="Times New Roman"/>
          <w:color w:val="auto"/>
          <w:sz w:val="24"/>
          <w:szCs w:val="24"/>
          <w:lang w:val="sk-SK"/>
        </w:rPr>
        <w:t>5.6. História obce</w:t>
        <w:tab/>
        <w:tab/>
        <w:tab/>
        <w:tab/>
        <w:tab/>
        <w:tab/>
        <w:tab/>
        <w:tab/>
        <w:tab/>
        <w:tab/>
        <w:t>5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 xml:space="preserve">    </w:t>
      </w:r>
      <w:r>
        <w:rPr>
          <w:rFonts w:ascii="Times New Roman" w:hAnsi="Times New Roman"/>
          <w:color w:val="auto"/>
          <w:sz w:val="24"/>
          <w:szCs w:val="24"/>
          <w:lang w:val="sk-SK"/>
        </w:rPr>
        <w:t>5.7. Pamiatky</w:t>
        <w:tab/>
        <w:tab/>
        <w:tab/>
        <w:tab/>
        <w:tab/>
        <w:tab/>
        <w:tab/>
        <w:tab/>
        <w:tab/>
        <w:tab/>
        <w:t>5</w:t>
      </w:r>
    </w:p>
    <w:p>
      <w:pPr>
        <w:pStyle w:val="Bezmezer"/>
        <w:jc w:val="both"/>
        <w:rPr>
          <w:rFonts w:ascii="Times New Roman" w:hAnsi="Times New Roman"/>
          <w:color w:val="auto"/>
          <w:sz w:val="24"/>
          <w:szCs w:val="24"/>
          <w:lang w:val="sk-SK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6. Plnenie úloh obce (prenesené kompetencie, originálne kompetencie)</w:t>
        <w:tab/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 xml:space="preserve">    </w:t>
      </w:r>
      <w:r>
        <w:rPr>
          <w:rFonts w:ascii="Times New Roman" w:hAnsi="Times New Roman"/>
          <w:color w:val="auto"/>
          <w:sz w:val="24"/>
          <w:szCs w:val="24"/>
          <w:lang w:val="sk-SK"/>
        </w:rPr>
        <w:t>6.1. Výchova a vzdelávanie</w:t>
        <w:tab/>
        <w:tab/>
        <w:tab/>
        <w:tab/>
        <w:tab/>
        <w:tab/>
        <w:tab/>
        <w:tab/>
        <w:t>5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 xml:space="preserve">    </w:t>
      </w:r>
      <w:r>
        <w:rPr>
          <w:rFonts w:ascii="Times New Roman" w:hAnsi="Times New Roman"/>
          <w:color w:val="auto"/>
          <w:sz w:val="24"/>
          <w:szCs w:val="24"/>
          <w:lang w:val="sk-SK"/>
        </w:rPr>
        <w:t>6.2   Zdravotníctvo</w:t>
        <w:tab/>
        <w:tab/>
        <w:tab/>
        <w:tab/>
        <w:tab/>
        <w:tab/>
        <w:tab/>
        <w:tab/>
        <w:tab/>
        <w:tab/>
        <w:t>5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 xml:space="preserve">    </w:t>
      </w:r>
      <w:r>
        <w:rPr>
          <w:rFonts w:ascii="Times New Roman" w:hAnsi="Times New Roman"/>
          <w:color w:val="auto"/>
          <w:sz w:val="24"/>
          <w:szCs w:val="24"/>
          <w:lang w:val="sk-SK"/>
        </w:rPr>
        <w:t xml:space="preserve">6.3. Sociálne zabezpečenie    </w:t>
        <w:tab/>
        <w:tab/>
        <w:tab/>
        <w:tab/>
        <w:tab/>
        <w:tab/>
        <w:tab/>
        <w:tab/>
        <w:t>5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 xml:space="preserve">    </w:t>
      </w:r>
      <w:r>
        <w:rPr>
          <w:rFonts w:ascii="Times New Roman" w:hAnsi="Times New Roman"/>
          <w:color w:val="auto"/>
          <w:sz w:val="24"/>
          <w:szCs w:val="24"/>
          <w:lang w:val="sk-SK"/>
        </w:rPr>
        <w:t xml:space="preserve">6.4.  Kultúra                 </w:t>
        <w:tab/>
        <w:tab/>
        <w:tab/>
        <w:tab/>
        <w:tab/>
        <w:tab/>
        <w:tab/>
        <w:tab/>
        <w:tab/>
        <w:t xml:space="preserve">5 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 xml:space="preserve">    </w:t>
      </w:r>
      <w:r>
        <w:rPr>
          <w:rFonts w:ascii="Times New Roman" w:hAnsi="Times New Roman"/>
          <w:color w:val="auto"/>
          <w:sz w:val="24"/>
          <w:szCs w:val="24"/>
          <w:lang w:val="sk-SK"/>
        </w:rPr>
        <w:t>6.5   Doprava</w:t>
        <w:tab/>
        <w:tab/>
        <w:tab/>
        <w:tab/>
        <w:tab/>
        <w:tab/>
        <w:tab/>
        <w:tab/>
        <w:tab/>
        <w:tab/>
        <w:t>6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 xml:space="preserve">    </w:t>
      </w:r>
      <w:r>
        <w:rPr>
          <w:rFonts w:ascii="Times New Roman" w:hAnsi="Times New Roman"/>
          <w:color w:val="auto"/>
          <w:sz w:val="24"/>
          <w:szCs w:val="24"/>
          <w:lang w:val="sk-SK"/>
        </w:rPr>
        <w:t>6.6   Územné plánovanie</w:t>
        <w:tab/>
        <w:tab/>
        <w:tab/>
        <w:tab/>
        <w:tab/>
        <w:tab/>
        <w:tab/>
        <w:tab/>
        <w:tab/>
        <w:t>6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 xml:space="preserve">    </w:t>
      </w:r>
      <w:r>
        <w:rPr>
          <w:rFonts w:ascii="Times New Roman" w:hAnsi="Times New Roman"/>
          <w:color w:val="auto"/>
          <w:sz w:val="24"/>
          <w:szCs w:val="24"/>
          <w:lang w:val="sk-SK"/>
        </w:rPr>
        <w:t>6.5.  Hospodárstvo</w:t>
        <w:tab/>
        <w:tab/>
        <w:tab/>
        <w:tab/>
        <w:tab/>
        <w:tab/>
        <w:tab/>
        <w:tab/>
        <w:tab/>
        <w:tab/>
        <w:t>6</w:t>
        <w:tab/>
        <w:tab/>
        <w:tab/>
        <w:tab/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7. Informácia o vývoji obce z pohľadu rozpočtovníctva</w:t>
        <w:tab/>
        <w:tab/>
        <w:tab/>
        <w:tab/>
        <w:tab/>
        <w:t>7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 xml:space="preserve">    </w:t>
      </w:r>
      <w:r>
        <w:rPr>
          <w:rFonts w:ascii="Times New Roman" w:hAnsi="Times New Roman"/>
          <w:color w:val="auto"/>
          <w:sz w:val="24"/>
          <w:szCs w:val="24"/>
          <w:lang w:val="sk-SK"/>
        </w:rPr>
        <w:t>7.1. Plnenie príjmov a čerpanie výdavkov za rok 202</w:t>
      </w:r>
      <w:r>
        <w:rPr>
          <w:rFonts w:ascii="Times New Roman" w:hAnsi="Times New Roman"/>
          <w:color w:val="auto"/>
          <w:sz w:val="24"/>
          <w:szCs w:val="24"/>
          <w:lang w:val="sk-SK"/>
        </w:rPr>
        <w:t>3</w:t>
      </w:r>
      <w:r>
        <w:rPr>
          <w:rFonts w:ascii="Times New Roman" w:hAnsi="Times New Roman"/>
          <w:color w:val="auto"/>
          <w:sz w:val="24"/>
          <w:szCs w:val="24"/>
          <w:lang w:val="sk-SK"/>
        </w:rPr>
        <w:tab/>
        <w:tab/>
        <w:tab/>
        <w:tab/>
        <w:tab/>
        <w:t>7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 xml:space="preserve">    </w:t>
      </w:r>
      <w:r>
        <w:rPr>
          <w:rFonts w:ascii="Times New Roman" w:hAnsi="Times New Roman"/>
          <w:color w:val="auto"/>
          <w:sz w:val="24"/>
          <w:szCs w:val="24"/>
          <w:lang w:val="sk-SK"/>
        </w:rPr>
        <w:t>7.2. Prebytok/schodok rozpočtového hospodárenia za rok 202</w:t>
      </w:r>
      <w:r>
        <w:rPr>
          <w:rFonts w:ascii="Times New Roman" w:hAnsi="Times New Roman"/>
          <w:color w:val="auto"/>
          <w:sz w:val="24"/>
          <w:szCs w:val="24"/>
          <w:lang w:val="sk-SK"/>
        </w:rPr>
        <w:t>3</w:t>
      </w:r>
      <w:r>
        <w:rPr>
          <w:rFonts w:ascii="Times New Roman" w:hAnsi="Times New Roman"/>
          <w:color w:val="auto"/>
          <w:sz w:val="24"/>
          <w:szCs w:val="24"/>
          <w:lang w:val="sk-SK"/>
        </w:rPr>
        <w:tab/>
        <w:tab/>
        <w:tab/>
        <w:tab/>
        <w:t>8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 xml:space="preserve">    </w:t>
      </w:r>
      <w:r>
        <w:rPr>
          <w:rFonts w:ascii="Times New Roman" w:hAnsi="Times New Roman"/>
          <w:color w:val="auto"/>
          <w:sz w:val="24"/>
          <w:szCs w:val="24"/>
          <w:lang w:val="sk-SK"/>
        </w:rPr>
        <w:t>7.3. Rozpočet na roky 202</w:t>
      </w:r>
      <w:r>
        <w:rPr>
          <w:rFonts w:ascii="Times New Roman" w:hAnsi="Times New Roman"/>
          <w:color w:val="auto"/>
          <w:sz w:val="24"/>
          <w:szCs w:val="24"/>
          <w:lang w:val="sk-SK"/>
        </w:rPr>
        <w:t>4</w:t>
      </w:r>
      <w:r>
        <w:rPr>
          <w:rFonts w:ascii="Times New Roman" w:hAnsi="Times New Roman"/>
          <w:color w:val="auto"/>
          <w:sz w:val="24"/>
          <w:szCs w:val="24"/>
          <w:lang w:val="sk-SK"/>
        </w:rPr>
        <w:t>-202</w:t>
      </w:r>
      <w:r>
        <w:rPr>
          <w:rFonts w:ascii="Times New Roman" w:hAnsi="Times New Roman"/>
          <w:color w:val="auto"/>
          <w:sz w:val="24"/>
          <w:szCs w:val="24"/>
          <w:lang w:val="sk-SK"/>
        </w:rPr>
        <w:t>6</w:t>
      </w:r>
      <w:r>
        <w:rPr>
          <w:rFonts w:ascii="Times New Roman" w:hAnsi="Times New Roman"/>
          <w:color w:val="auto"/>
          <w:sz w:val="24"/>
          <w:szCs w:val="24"/>
          <w:lang w:val="sk-SK"/>
        </w:rPr>
        <w:tab/>
        <w:tab/>
        <w:tab/>
        <w:tab/>
        <w:tab/>
        <w:tab/>
        <w:tab/>
        <w:tab/>
        <w:t>10</w:t>
      </w:r>
    </w:p>
    <w:p>
      <w:pPr>
        <w:pStyle w:val="Bezmezer"/>
        <w:jc w:val="both"/>
        <w:rPr>
          <w:rFonts w:ascii="Times New Roman" w:hAnsi="Times New Roman"/>
          <w:color w:val="auto"/>
          <w:sz w:val="24"/>
          <w:szCs w:val="24"/>
          <w:lang w:val="sk-SK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8. Informácia o vývoji obce z pohľadu účtovníctva</w:t>
        <w:tab/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 xml:space="preserve">    </w:t>
      </w:r>
      <w:r>
        <w:rPr>
          <w:rFonts w:ascii="Times New Roman" w:hAnsi="Times New Roman"/>
          <w:color w:val="auto"/>
          <w:sz w:val="24"/>
          <w:szCs w:val="24"/>
          <w:lang w:val="sk-SK"/>
        </w:rPr>
        <w:t xml:space="preserve">8.1   Majetok                </w:t>
        <w:tab/>
        <w:tab/>
        <w:tab/>
        <w:tab/>
        <w:tab/>
        <w:tab/>
        <w:tab/>
        <w:tab/>
        <w:tab/>
        <w:t>10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 xml:space="preserve">    </w:t>
      </w:r>
      <w:r>
        <w:rPr>
          <w:rFonts w:ascii="Times New Roman" w:hAnsi="Times New Roman"/>
          <w:color w:val="auto"/>
          <w:sz w:val="24"/>
          <w:szCs w:val="24"/>
          <w:lang w:val="sk-SK"/>
        </w:rPr>
        <w:t xml:space="preserve">8.2.  Zdroje krytia   </w:t>
        <w:tab/>
        <w:tab/>
        <w:tab/>
        <w:tab/>
        <w:tab/>
        <w:tab/>
        <w:tab/>
        <w:tab/>
        <w:tab/>
        <w:t>10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 xml:space="preserve">    </w:t>
      </w:r>
      <w:r>
        <w:rPr>
          <w:rFonts w:ascii="Times New Roman" w:hAnsi="Times New Roman"/>
          <w:color w:val="auto"/>
          <w:sz w:val="24"/>
          <w:szCs w:val="24"/>
          <w:lang w:val="sk-SK"/>
        </w:rPr>
        <w:t xml:space="preserve">8.3.  Pohľadávky         </w:t>
        <w:tab/>
        <w:tab/>
        <w:tab/>
        <w:tab/>
        <w:tab/>
        <w:tab/>
        <w:tab/>
        <w:tab/>
        <w:tab/>
        <w:t>11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 xml:space="preserve">    </w:t>
      </w:r>
      <w:r>
        <w:rPr>
          <w:rFonts w:ascii="Times New Roman" w:hAnsi="Times New Roman"/>
          <w:color w:val="auto"/>
          <w:sz w:val="24"/>
          <w:szCs w:val="24"/>
          <w:lang w:val="sk-SK"/>
        </w:rPr>
        <w:t>8.4.  Záväzky</w:t>
        <w:tab/>
        <w:tab/>
        <w:tab/>
        <w:tab/>
        <w:tab/>
        <w:tab/>
        <w:tab/>
        <w:tab/>
        <w:tab/>
        <w:tab/>
        <w:t>12</w:t>
      </w:r>
    </w:p>
    <w:p>
      <w:pPr>
        <w:pStyle w:val="Bezmezer"/>
        <w:jc w:val="both"/>
        <w:rPr>
          <w:rFonts w:ascii="Times New Roman" w:hAnsi="Times New Roman"/>
          <w:color w:val="auto"/>
          <w:sz w:val="24"/>
          <w:szCs w:val="24"/>
          <w:lang w:val="sk-SK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9. Hospodársky výsledok za rok 202</w:t>
      </w:r>
      <w:r>
        <w:rPr>
          <w:rFonts w:ascii="Times New Roman" w:hAnsi="Times New Roman"/>
          <w:color w:val="auto"/>
          <w:sz w:val="24"/>
          <w:szCs w:val="24"/>
          <w:lang w:val="sk-SK"/>
        </w:rPr>
        <w:t>3</w:t>
      </w:r>
      <w:r>
        <w:rPr>
          <w:rFonts w:ascii="Times New Roman" w:hAnsi="Times New Roman"/>
          <w:color w:val="auto"/>
          <w:sz w:val="24"/>
          <w:szCs w:val="24"/>
          <w:lang w:val="sk-SK"/>
        </w:rPr>
        <w:t xml:space="preserve"> – vývoj nákladov a výnosov</w:t>
        <w:tab/>
        <w:tab/>
        <w:tab/>
        <w:t>12</w:t>
      </w:r>
    </w:p>
    <w:p>
      <w:pPr>
        <w:pStyle w:val="Bezmezer"/>
        <w:jc w:val="both"/>
        <w:rPr>
          <w:rFonts w:ascii="Times New Roman" w:hAnsi="Times New Roman"/>
          <w:color w:val="auto"/>
          <w:sz w:val="24"/>
          <w:szCs w:val="24"/>
          <w:lang w:val="sk-SK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10. Ostatné významné skutočnosti, ktoré mali vplyv na hospodárenie a činnosť obce</w:t>
        <w:tab/>
        <w:t>14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 xml:space="preserve">    </w:t>
      </w:r>
      <w:r>
        <w:rPr>
          <w:rFonts w:ascii="Times New Roman" w:hAnsi="Times New Roman"/>
          <w:color w:val="auto"/>
          <w:sz w:val="24"/>
          <w:szCs w:val="24"/>
          <w:lang w:val="sk-SK"/>
        </w:rPr>
        <w:t>10.1.  Prijaté granty a transfery</w:t>
        <w:tab/>
        <w:tab/>
        <w:tab/>
        <w:tab/>
        <w:tab/>
        <w:tab/>
        <w:tab/>
        <w:tab/>
        <w:t>14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 xml:space="preserve">    </w:t>
      </w:r>
      <w:r>
        <w:rPr>
          <w:rFonts w:ascii="Times New Roman" w:hAnsi="Times New Roman"/>
          <w:color w:val="auto"/>
          <w:sz w:val="24"/>
          <w:szCs w:val="24"/>
          <w:lang w:val="sk-SK"/>
        </w:rPr>
        <w:t>10.2.  Poskytnuté dotácie</w:t>
        <w:tab/>
        <w:tab/>
        <w:tab/>
        <w:tab/>
        <w:tab/>
        <w:tab/>
        <w:tab/>
        <w:tab/>
        <w:tab/>
        <w:t>14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 xml:space="preserve">    </w:t>
      </w:r>
      <w:r>
        <w:rPr>
          <w:rFonts w:ascii="Times New Roman" w:hAnsi="Times New Roman"/>
          <w:color w:val="auto"/>
          <w:sz w:val="24"/>
          <w:szCs w:val="24"/>
          <w:lang w:val="sk-SK"/>
        </w:rPr>
        <w:t>10.3.  Významné investičné akcie v roku 202</w:t>
      </w:r>
      <w:r>
        <w:rPr>
          <w:rFonts w:ascii="Times New Roman" w:hAnsi="Times New Roman"/>
          <w:color w:val="auto"/>
          <w:sz w:val="24"/>
          <w:szCs w:val="24"/>
          <w:lang w:val="sk-SK"/>
        </w:rPr>
        <w:t>3</w:t>
      </w:r>
      <w:r>
        <w:rPr>
          <w:rFonts w:ascii="Times New Roman" w:hAnsi="Times New Roman"/>
          <w:color w:val="auto"/>
          <w:sz w:val="24"/>
          <w:szCs w:val="24"/>
          <w:lang w:val="sk-SK"/>
        </w:rPr>
        <w:tab/>
        <w:tab/>
        <w:tab/>
        <w:tab/>
        <w:tab/>
        <w:tab/>
        <w:t>14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 xml:space="preserve">    </w:t>
      </w:r>
      <w:r>
        <w:rPr>
          <w:rFonts w:ascii="Times New Roman" w:hAnsi="Times New Roman"/>
          <w:color w:val="auto"/>
          <w:sz w:val="24"/>
          <w:szCs w:val="24"/>
          <w:lang w:val="sk-SK"/>
        </w:rPr>
        <w:t>10.4   Predpokladaný budúci vývoj činnosti</w:t>
        <w:tab/>
        <w:tab/>
        <w:tab/>
        <w:tab/>
        <w:tab/>
        <w:tab/>
        <w:t>15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 xml:space="preserve">    </w:t>
      </w:r>
      <w:r>
        <w:rPr>
          <w:rFonts w:ascii="Times New Roman" w:hAnsi="Times New Roman"/>
          <w:color w:val="auto"/>
          <w:sz w:val="24"/>
          <w:szCs w:val="24"/>
          <w:lang w:val="sk-SK"/>
        </w:rPr>
        <w:t xml:space="preserve">10.5.  Udalosti osobitného významu po skončení účtovného obdobia      </w:t>
        <w:tab/>
        <w:tab/>
        <w:t>15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 xml:space="preserve">    </w:t>
      </w:r>
      <w:r>
        <w:rPr>
          <w:rFonts w:ascii="Times New Roman" w:hAnsi="Times New Roman"/>
          <w:color w:val="auto"/>
          <w:sz w:val="24"/>
          <w:szCs w:val="24"/>
          <w:lang w:val="sk-SK"/>
        </w:rPr>
        <w:t xml:space="preserve">10.6   Významné riziká a neistoty, ktorým je účtovná jednotka vystavená        </w:t>
        <w:tab/>
        <w:tab/>
        <w:t>15</w:t>
      </w:r>
    </w:p>
    <w:p>
      <w:pPr>
        <w:pStyle w:val="Normal"/>
        <w:tabs>
          <w:tab w:val="clear" w:pos="708"/>
          <w:tab w:val="right" w:pos="8820" w:leader="none"/>
        </w:tabs>
        <w:spacing w:lineRule="auto" w:line="36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</w:r>
    </w:p>
    <w:p>
      <w:pPr>
        <w:pStyle w:val="Normal"/>
        <w:tabs>
          <w:tab w:val="clear" w:pos="708"/>
          <w:tab w:val="right" w:pos="8820" w:leader="none"/>
        </w:tabs>
        <w:spacing w:lineRule="auto" w:line="36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b/>
          <w:color w:val="auto"/>
          <w:sz w:val="24"/>
          <w:szCs w:val="24"/>
          <w:lang w:val="sk-SK"/>
        </w:rPr>
        <w:t xml:space="preserve">1. Úvodné slovo starostu obce </w:t>
      </w:r>
    </w:p>
    <w:p>
      <w:pPr>
        <w:pStyle w:val="Bezmezer"/>
        <w:rPr>
          <w:color w:val="auto"/>
          <w:lang w:val="sk-SK"/>
        </w:rPr>
      </w:pPr>
      <w:r>
        <w:rPr>
          <w:color w:val="auto"/>
          <w:lang w:val="sk-SK"/>
        </w:rPr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 xml:space="preserve">Výročná správa  predstavuje súhrn činností obce v hodnotovom vyjadrení za rok 2022. Našou snahou bolo zabezpečenie potrieb v prospech občanov obce a to pri dodržiavaní rozpočtových pravidiel. Obecný úrad sa zameriava hlavne na plnenie potrieb pre obyvateľov. Stará sa o obecný majetok a zveľaďuje ho. Energetická kríza sa dotkla aj nás, zálohové platby za spotrebu elektrickej energie narástli dvojnásobne, preto sme museli zvyšovať miestne dane. Dokončili sme projekty zateplenia a zmeny vykurovania kultúrneho domu. Čakajú nás výzvy ako Zmeny a doplnky č. 2 Územného plánu obce, kde ba sme mali rozhodnúť ako bude naša obec vyzerať v budúcnosti, väčším projektom bude vypracovanie projektovej dokumentácie na rekonštrukciu interiéru obecného domu, ktorý by mal v budúcnosti slúžiť ako obecný úrad. Najpodstatnejšou výzvou je dobudovanie a sprevádzkovanie verejnej kanalizácie. Chcem sa poďakovať poslancom obecného zastupiteľstva, zamestnancom obce a všetkým občanom, ktorí sa aktívne zapojili do činnosti v obci. Zveľaďovanie verejných priestranstiev a udržiavanie čistoty v obci je vizitkou nás všetkých a oprávnene môžeme byť na svoje územie hrdí.  </w:t>
      </w:r>
    </w:p>
    <w:p>
      <w:pPr>
        <w:pStyle w:val="Bezmezer"/>
        <w:rPr>
          <w:rFonts w:ascii="Times New Roman" w:hAnsi="Times New Roman"/>
          <w:color w:val="auto"/>
          <w:sz w:val="24"/>
          <w:szCs w:val="24"/>
          <w:lang w:val="sk-SK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b/>
          <w:color w:val="auto"/>
          <w:sz w:val="24"/>
          <w:szCs w:val="24"/>
          <w:lang w:val="sk-SK"/>
        </w:rPr>
        <w:t xml:space="preserve">2. Identifikačné údaje obce </w:t>
      </w:r>
    </w:p>
    <w:p>
      <w:pPr>
        <w:pStyle w:val="Bezmezer"/>
        <w:jc w:val="both"/>
        <w:rPr>
          <w:rFonts w:ascii="Times New Roman" w:hAnsi="Times New Roman"/>
          <w:color w:val="auto"/>
          <w:sz w:val="24"/>
          <w:szCs w:val="24"/>
          <w:lang w:val="sk-SK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Názov:</w:t>
        <w:tab/>
        <w:tab/>
        <w:tab/>
        <w:tab/>
        <w:t>Obec Nižná Boca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Sídlo:</w:t>
        <w:tab/>
        <w:tab/>
        <w:tab/>
        <w:tab/>
        <w:t>Nižná Boca č. 3,032 34 Malužiná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Štatutárny zástupca:</w:t>
        <w:tab/>
        <w:tab/>
        <w:t xml:space="preserve">Mgr.  Silvia Skusilová,  starostka 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IČO:</w:t>
        <w:tab/>
        <w:tab/>
        <w:tab/>
        <w:tab/>
        <w:t>00315648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DIČ:</w:t>
        <w:tab/>
        <w:tab/>
        <w:tab/>
        <w:tab/>
        <w:t>2020581596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Telefón:</w:t>
        <w:tab/>
        <w:tab/>
        <w:tab/>
        <w:t>044/5291240</w:t>
      </w:r>
    </w:p>
    <w:p>
      <w:pPr>
        <w:pStyle w:val="Bezmezer"/>
        <w:jc w:val="both"/>
        <w:rPr/>
      </w:pPr>
      <w:r>
        <w:rPr>
          <w:rFonts w:ascii="Times New Roman" w:hAnsi="Times New Roman"/>
          <w:color w:val="auto"/>
          <w:sz w:val="24"/>
          <w:szCs w:val="24"/>
          <w:lang w:val="sk-SK"/>
        </w:rPr>
        <w:t>E-mail:</w:t>
        <w:tab/>
        <w:tab/>
        <w:tab/>
      </w:r>
      <w:hyperlink r:id="rId3">
        <w:r>
          <w:rPr>
            <w:rStyle w:val="Hyperlink"/>
            <w:rFonts w:ascii="Times New Roman" w:hAnsi="Times New Roman"/>
            <w:color w:val="auto"/>
            <w:sz w:val="24"/>
            <w:szCs w:val="24"/>
            <w:lang w:val="sk-SK"/>
          </w:rPr>
          <w:t>obec@niznaboca.sk</w:t>
        </w:r>
      </w:hyperlink>
      <w:r>
        <w:rPr>
          <w:rFonts w:ascii="Times New Roman" w:hAnsi="Times New Roman"/>
          <w:color w:val="auto"/>
          <w:sz w:val="24"/>
          <w:szCs w:val="24"/>
          <w:lang w:val="sk-SK"/>
        </w:rPr>
        <w:t xml:space="preserve">,  </w:t>
      </w:r>
      <w:hyperlink r:id="rId4">
        <w:r>
          <w:rPr>
            <w:rStyle w:val="Hyperlink"/>
            <w:rFonts w:ascii="Times New Roman" w:hAnsi="Times New Roman"/>
            <w:color w:val="auto"/>
            <w:sz w:val="24"/>
            <w:szCs w:val="24"/>
            <w:lang w:val="sk-SK"/>
          </w:rPr>
          <w:t>starosta@niznaboca.sk</w:t>
        </w:r>
      </w:hyperlink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Webová stránka:</w:t>
        <w:tab/>
        <w:tab/>
        <w:t>www.niznaboca.sk</w:t>
      </w:r>
    </w:p>
    <w:p>
      <w:pPr>
        <w:pStyle w:val="Bezmezer"/>
        <w:jc w:val="both"/>
        <w:rPr>
          <w:rFonts w:ascii="Times New Roman" w:hAnsi="Times New Roman"/>
          <w:color w:val="auto"/>
          <w:sz w:val="24"/>
          <w:szCs w:val="24"/>
          <w:lang w:val="sk-SK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b/>
          <w:color w:val="auto"/>
          <w:sz w:val="24"/>
          <w:szCs w:val="24"/>
          <w:lang w:val="sk-SK"/>
        </w:rPr>
        <w:t>3. Organizačná štruktúra obce a identifikácia vedúcich predstaviteľov</w:t>
      </w:r>
    </w:p>
    <w:p>
      <w:pPr>
        <w:pStyle w:val="Bezmezer"/>
        <w:jc w:val="both"/>
        <w:rPr>
          <w:rFonts w:ascii="Times New Roman" w:hAnsi="Times New Roman"/>
          <w:color w:val="auto"/>
          <w:sz w:val="24"/>
          <w:szCs w:val="24"/>
          <w:lang w:val="sk-SK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Vo voľbách do orgánov samosprávy dňa 10. 11. 2018 boli zvolení: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Starostka obce:</w:t>
        <w:tab/>
        <w:tab/>
        <w:t>Mgr. Silvia Skusilová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Obecné zastupiteľstvo:</w:t>
        <w:tab/>
        <w:t>Ing. Milan Hromádka – zástupca starostky obce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ab/>
        <w:tab/>
        <w:tab/>
        <w:tab/>
        <w:t>Ing. Eva Lániová</w:t>
      </w:r>
    </w:p>
    <w:p>
      <w:pPr>
        <w:pStyle w:val="Bezmezer"/>
        <w:ind w:firstLine="708" w:left="2124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Martin Lichardus</w:t>
      </w:r>
    </w:p>
    <w:p>
      <w:pPr>
        <w:pStyle w:val="Bezmezer"/>
        <w:ind w:firstLine="708" w:left="2124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Vladimír Šak</w:t>
      </w:r>
    </w:p>
    <w:p>
      <w:pPr>
        <w:pStyle w:val="Bezmezer"/>
        <w:ind w:firstLine="708" w:left="2124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Mgr. Silvia Rísiková</w:t>
      </w:r>
    </w:p>
    <w:p>
      <w:pPr>
        <w:pStyle w:val="Bezmezer"/>
        <w:jc w:val="both"/>
        <w:rPr>
          <w:rFonts w:ascii="Times New Roman" w:hAnsi="Times New Roman"/>
          <w:color w:val="auto"/>
          <w:sz w:val="24"/>
          <w:szCs w:val="24"/>
          <w:lang w:val="sk-SK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Vo voľbách do orgánov samosprávy dňa 29. 10. 2022 boli zvolení: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Starostka obce:</w:t>
        <w:tab/>
        <w:tab/>
        <w:t>Mgr. Silvia Skusilová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Obecné zastupiteľstvo:</w:t>
        <w:tab/>
        <w:t>Mgr. Silvia Rísiková – zástupca starostky obce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ab/>
        <w:tab/>
        <w:tab/>
        <w:tab/>
        <w:t>Ing. Tomáš Hellebrandt</w:t>
      </w:r>
    </w:p>
    <w:p>
      <w:pPr>
        <w:pStyle w:val="Bezmezer"/>
        <w:ind w:firstLine="708" w:left="2124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Martin Lichardus</w:t>
      </w:r>
    </w:p>
    <w:p>
      <w:pPr>
        <w:pStyle w:val="Bezmezer"/>
        <w:ind w:firstLine="708" w:left="2124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Ing. Peter Matejko</w:t>
      </w:r>
    </w:p>
    <w:p>
      <w:pPr>
        <w:pStyle w:val="Bezmezer"/>
        <w:ind w:firstLine="708" w:left="2124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Anna Trajteľová</w:t>
      </w:r>
    </w:p>
    <w:p>
      <w:pPr>
        <w:pStyle w:val="Bezmezer"/>
        <w:ind w:firstLine="708" w:left="2124"/>
        <w:jc w:val="both"/>
        <w:rPr>
          <w:rFonts w:ascii="Times New Roman" w:hAnsi="Times New Roman"/>
          <w:color w:val="auto"/>
          <w:sz w:val="24"/>
          <w:szCs w:val="24"/>
          <w:lang w:val="sk-SK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Komisie:</w:t>
        <w:tab/>
        <w:tab/>
        <w:tab/>
        <w:t>komisia pre ochranu verejného záujmu</w:t>
      </w:r>
    </w:p>
    <w:p>
      <w:pPr>
        <w:pStyle w:val="Bezmezer"/>
        <w:jc w:val="both"/>
        <w:rPr>
          <w:rFonts w:ascii="Times New Roman" w:hAnsi="Times New Roman"/>
          <w:color w:val="auto"/>
          <w:sz w:val="24"/>
          <w:szCs w:val="24"/>
          <w:lang w:val="sk-SK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Obecný úrad:</w:t>
        <w:tab/>
        <w:tab/>
        <w:tab/>
        <w:t>Andrea Hrušovská – referentka obecného úradu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ab/>
        <w:tab/>
        <w:tab/>
        <w:tab/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b/>
          <w:color w:val="auto"/>
          <w:sz w:val="24"/>
          <w:szCs w:val="24"/>
          <w:lang w:val="sk-SK"/>
        </w:rPr>
        <w:t>4. Poslanie, vízie, ciele</w:t>
      </w:r>
    </w:p>
    <w:p>
      <w:pPr>
        <w:pStyle w:val="Bezmezer"/>
        <w:jc w:val="both"/>
        <w:rPr>
          <w:rFonts w:ascii="Times New Roman" w:hAnsi="Times New Roman"/>
          <w:color w:val="auto"/>
          <w:sz w:val="24"/>
          <w:szCs w:val="24"/>
          <w:lang w:val="sk-SK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Poslanie obce: Starostlivosť o všestranný rozvoj obce a  obyvateľov žijúcich na jej území.</w:t>
      </w:r>
    </w:p>
    <w:p>
      <w:pPr>
        <w:pStyle w:val="Bezmezer"/>
        <w:jc w:val="both"/>
        <w:rPr>
          <w:rFonts w:ascii="Times New Roman" w:hAnsi="Times New Roman"/>
          <w:color w:val="auto"/>
          <w:sz w:val="24"/>
          <w:szCs w:val="24"/>
          <w:lang w:val="sk-SK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 xml:space="preserve">Vízie obce: </w:t>
      </w:r>
    </w:p>
    <w:p>
      <w:pPr>
        <w:pStyle w:val="Bezmezer"/>
        <w:numPr>
          <w:ilvl w:val="0"/>
          <w:numId w:val="2"/>
        </w:numPr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dobudovanie infraštruktúry v obci</w:t>
      </w:r>
    </w:p>
    <w:p>
      <w:pPr>
        <w:pStyle w:val="Bezmezer"/>
        <w:numPr>
          <w:ilvl w:val="0"/>
          <w:numId w:val="2"/>
        </w:numPr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zvýšená kvalita života s využitím prírodného, geografického potenciálu</w:t>
      </w:r>
    </w:p>
    <w:p>
      <w:pPr>
        <w:pStyle w:val="Bezmezer"/>
        <w:numPr>
          <w:ilvl w:val="0"/>
          <w:numId w:val="2"/>
        </w:numPr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rozvoj rekreácie a cestovného ruchu.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Ciele obce:</w:t>
      </w:r>
    </w:p>
    <w:p>
      <w:pPr>
        <w:pStyle w:val="Bezmezer"/>
        <w:numPr>
          <w:ilvl w:val="0"/>
          <w:numId w:val="2"/>
        </w:numPr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podporiť rozvoj obce, vytvárať priaznivé životné podmienky pre obyvateľov</w:t>
      </w:r>
    </w:p>
    <w:p>
      <w:pPr>
        <w:pStyle w:val="Bezmezer"/>
        <w:numPr>
          <w:ilvl w:val="0"/>
          <w:numId w:val="2"/>
        </w:numPr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zlepšiť kvalitu života jej obyvateľov.</w:t>
      </w:r>
    </w:p>
    <w:p>
      <w:pPr>
        <w:pStyle w:val="Bezmezer"/>
        <w:jc w:val="both"/>
        <w:rPr>
          <w:rFonts w:ascii="Times New Roman" w:hAnsi="Times New Roman"/>
          <w:color w:val="auto"/>
          <w:sz w:val="24"/>
          <w:szCs w:val="24"/>
          <w:lang w:val="sk-SK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b/>
          <w:color w:val="auto"/>
          <w:sz w:val="24"/>
          <w:szCs w:val="24"/>
          <w:lang w:val="sk-SK"/>
        </w:rPr>
        <w:t>5. Základná charakteristika obce</w:t>
      </w:r>
    </w:p>
    <w:p>
      <w:pPr>
        <w:pStyle w:val="Normal"/>
        <w:widowControl w:val="false"/>
        <w:jc w:val="both"/>
        <w:rPr>
          <w:color w:val="auto"/>
        </w:rPr>
      </w:pPr>
      <w:r>
        <w:rPr>
          <w:color w:val="auto"/>
        </w:rPr>
      </w:r>
    </w:p>
    <w:p>
      <w:pPr>
        <w:pStyle w:val="Normal"/>
        <w:widowControl w:val="false"/>
        <w:jc w:val="both"/>
        <w:rPr>
          <w:color w:val="auto"/>
        </w:rPr>
      </w:pPr>
      <w:r>
        <w:rPr>
          <w:color w:val="auto"/>
        </w:rPr>
        <w:t xml:space="preserve">Obec je samostatný územný samosprávny a správny celok Slovenskej republiky. Obec je právnickou osobou, ktorá za podmienok ustanovených zákonom samostatne hospodári s vlastným majetkom a s vlastnými príjmami. Základnou úlohou obce pri výkone samosprávy je starostlivosť o všestranný rozvoj jej územia a o potreby jej obyvateľov. </w:t>
      </w:r>
    </w:p>
    <w:p>
      <w:pPr>
        <w:pStyle w:val="Bezmezer"/>
        <w:jc w:val="both"/>
        <w:rPr>
          <w:rFonts w:ascii="Times New Roman" w:hAnsi="Times New Roman"/>
          <w:color w:val="CE181E"/>
          <w:sz w:val="24"/>
          <w:szCs w:val="24"/>
          <w:lang w:val="sk-SK"/>
        </w:rPr>
      </w:pPr>
      <w:r>
        <w:rPr>
          <w:rFonts w:ascii="Times New Roman" w:hAnsi="Times New Roman"/>
          <w:color w:val="CE181E"/>
          <w:sz w:val="24"/>
          <w:szCs w:val="24"/>
          <w:lang w:val="sk-SK"/>
        </w:rPr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b/>
          <w:i/>
          <w:color w:val="auto"/>
          <w:sz w:val="24"/>
          <w:szCs w:val="24"/>
          <w:lang w:val="sk-SK"/>
        </w:rPr>
        <w:t>5.1. Geografické údaje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Geografická poloha obce: Obec Nižná Boca sa rozprestiera po obidvoch brehoch potoka Bocianka. Obklopujú ju svahy blízkych vrchov Oleškovej, Špíglovô, Solisko, Fišiarka, Pálenica, Plešina, Črchle, Chopec a  Rovná hoľa. Jej chotár sa rozprestiera v chránenej oblasti, v Národnom parku Nízke Tatry.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Susedné mestá a obce:</w:t>
        <w:tab/>
        <w:t>Obec Malužiná, Obec Vyšná Boca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Celková rozloha obce:</w:t>
        <w:tab/>
        <w:t>24,99 km</w:t>
      </w:r>
      <w:r>
        <w:rPr>
          <w:rFonts w:ascii="Times New Roman" w:hAnsi="Times New Roman"/>
          <w:color w:val="auto"/>
          <w:sz w:val="24"/>
          <w:szCs w:val="24"/>
          <w:vertAlign w:val="superscript"/>
          <w:lang w:val="sk-SK"/>
        </w:rPr>
        <w:t>2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Nadmorská výška:</w:t>
        <w:tab/>
        <w:tab/>
        <w:t>851 mnm</w:t>
      </w:r>
    </w:p>
    <w:p>
      <w:pPr>
        <w:pStyle w:val="Bezmezer"/>
        <w:jc w:val="both"/>
        <w:rPr>
          <w:rFonts w:ascii="Times New Roman" w:hAnsi="Times New Roman"/>
          <w:color w:val="auto"/>
          <w:sz w:val="24"/>
          <w:szCs w:val="24"/>
          <w:lang w:val="sk-SK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b/>
          <w:i/>
          <w:color w:val="auto"/>
          <w:sz w:val="24"/>
          <w:szCs w:val="24"/>
          <w:lang w:val="sk-SK"/>
        </w:rPr>
        <w:t xml:space="preserve">5.2. Demografické údaje 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 xml:space="preserve">Hustota a počet obyvateľov: 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Počet obyvateľov k 31.12.202</w:t>
      </w:r>
      <w:r>
        <w:rPr>
          <w:rFonts w:ascii="Times New Roman" w:hAnsi="Times New Roman"/>
          <w:color w:val="auto"/>
          <w:sz w:val="24"/>
          <w:szCs w:val="24"/>
          <w:lang w:val="sk-SK"/>
        </w:rPr>
        <w:t>3</w:t>
      </w:r>
      <w:r>
        <w:rPr>
          <w:rFonts w:ascii="Times New Roman" w:hAnsi="Times New Roman"/>
          <w:color w:val="auto"/>
          <w:sz w:val="24"/>
          <w:szCs w:val="24"/>
          <w:lang w:val="sk-SK"/>
        </w:rPr>
        <w:t>:</w:t>
        <w:tab/>
        <w:t>153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Národnostná štruktúra: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Slovenská národnosť</w:t>
        <w:tab/>
        <w:tab/>
        <w:tab/>
        <w:t>151 občanov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Česká národnosť</w:t>
        <w:tab/>
        <w:tab/>
        <w:tab/>
        <w:t>1 občan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Poľská národnosť</w:t>
        <w:tab/>
        <w:tab/>
        <w:tab/>
        <w:t>1 občan</w:t>
      </w:r>
    </w:p>
    <w:p>
      <w:pPr>
        <w:pStyle w:val="Bezmezer"/>
        <w:jc w:val="both"/>
        <w:rPr>
          <w:rFonts w:ascii="Times New Roman" w:hAnsi="Times New Roman"/>
          <w:color w:val="CE181E"/>
          <w:sz w:val="24"/>
          <w:szCs w:val="24"/>
          <w:lang w:val="sk-SK"/>
        </w:rPr>
      </w:pPr>
      <w:r>
        <w:rPr>
          <w:rFonts w:ascii="Times New Roman" w:hAnsi="Times New Roman"/>
          <w:color w:val="CE181E"/>
          <w:sz w:val="24"/>
          <w:szCs w:val="24"/>
          <w:lang w:val="sk-SK"/>
        </w:rPr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Štruktúra obyvateľstva podľa náboženského významu: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Väčšina obyvateľov Nižnej Boce je členmi evanjelickej cirkvi augsburského  vyznania,  druhou najpočetnejšou skupina je rímskokatolícka cirkev.</w:t>
      </w:r>
    </w:p>
    <w:p>
      <w:pPr>
        <w:pStyle w:val="Bezmezer"/>
        <w:jc w:val="both"/>
        <w:rPr>
          <w:rFonts w:ascii="Times New Roman" w:hAnsi="Times New Roman"/>
          <w:color w:val="auto"/>
          <w:sz w:val="24"/>
          <w:szCs w:val="24"/>
          <w:lang w:val="sk-SK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</w:r>
    </w:p>
    <w:p>
      <w:pPr>
        <w:pStyle w:val="Bezmezer"/>
        <w:jc w:val="both"/>
        <w:rPr>
          <w:rFonts w:ascii="Times New Roman" w:hAnsi="Times New Roman"/>
          <w:color w:val="auto"/>
          <w:sz w:val="24"/>
          <w:szCs w:val="24"/>
          <w:lang w:val="sk-SK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b/>
          <w:i/>
          <w:color w:val="auto"/>
          <w:sz w:val="24"/>
          <w:szCs w:val="24"/>
          <w:lang w:val="sk-SK"/>
        </w:rPr>
        <w:t xml:space="preserve">5.3. Ekonomické údaje 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Nezamestnanosť v obci :</w:t>
        <w:tab/>
        <w:t>nezamestnanosť v obci sa pohybuje v r. 2021 na úrovni  0,5</w:t>
        <w:tab/>
        <w:tab/>
        <w:t xml:space="preserve">                       - 1,0 % z celkového počtu obyvateľov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Nezamestnanosť v okrese:</w:t>
        <w:tab/>
        <w:t xml:space="preserve">nezamestnanosť v okrese Liptovský Mikuláš sa pohybuje na 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ab/>
        <w:tab/>
        <w:tab/>
        <w:tab/>
        <w:t>úrovni 5,10 – 5,32 %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 xml:space="preserve">Vývoj nezamestnanosti : </w:t>
        <w:tab/>
        <w:t>priemerný počet dlhodobo nezamestnaných v kalendárnom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ab/>
        <w:tab/>
        <w:tab/>
        <w:tab/>
        <w:t>mesiaci - 1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ab/>
        <w:tab/>
        <w:tab/>
        <w:tab/>
        <w:t>percento nezamestnaných sa znížilo oproti  roku 202</w:t>
      </w:r>
      <w:r>
        <w:rPr>
          <w:rFonts w:ascii="Times New Roman" w:hAnsi="Times New Roman"/>
          <w:color w:val="auto"/>
          <w:sz w:val="24"/>
          <w:szCs w:val="24"/>
          <w:lang w:val="sk-SK"/>
        </w:rPr>
        <w:t>2</w:t>
      </w:r>
    </w:p>
    <w:p>
      <w:pPr>
        <w:pStyle w:val="Bezmezer"/>
        <w:jc w:val="both"/>
        <w:rPr>
          <w:rFonts w:ascii="Times New Roman" w:hAnsi="Times New Roman"/>
          <w:b/>
          <w:i/>
          <w:i/>
          <w:color w:val="CE181E"/>
          <w:sz w:val="24"/>
          <w:szCs w:val="24"/>
          <w:lang w:val="sk-SK"/>
        </w:rPr>
      </w:pPr>
      <w:r>
        <w:rPr>
          <w:rFonts w:ascii="Times New Roman" w:hAnsi="Times New Roman"/>
          <w:b/>
          <w:i/>
          <w:color w:val="CE181E"/>
          <w:sz w:val="24"/>
          <w:szCs w:val="24"/>
          <w:lang w:val="sk-SK"/>
        </w:rPr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b/>
          <w:i/>
          <w:color w:val="auto"/>
          <w:sz w:val="24"/>
          <w:szCs w:val="24"/>
          <w:lang w:val="sk-SK"/>
        </w:rPr>
        <w:t>5.4. Symboly obce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b/>
          <w:color w:val="auto"/>
          <w:sz w:val="24"/>
          <w:szCs w:val="24"/>
          <w:lang w:val="sk-SK"/>
        </w:rPr>
        <w:t>Erb obce:</w:t>
      </w:r>
      <w:r>
        <w:rPr>
          <w:rFonts w:ascii="Times New Roman" w:hAnsi="Times New Roman"/>
          <w:color w:val="auto"/>
          <w:sz w:val="24"/>
          <w:szCs w:val="24"/>
          <w:lang w:val="sk-SK"/>
        </w:rPr>
        <w:tab/>
        <w:t xml:space="preserve">V červenom štíte skrížené strieborné banícke kladivká, rozpájacie a bicie, na 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ab/>
        <w:tab/>
        <w:t xml:space="preserve">dvoch dlhých zlatých rukovätiach sprevádzané hore zlatým slnkom s tvárou, no 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ab/>
        <w:tab/>
        <w:t>bez lúčov, po bokoch striebornými položenými hviezdami  konvexných cípov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ab/>
        <w:tab/>
        <w:t>a dolu obráteným strieborným polmesiacom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b/>
          <w:color w:val="auto"/>
          <w:sz w:val="24"/>
          <w:szCs w:val="24"/>
          <w:lang w:val="sk-SK"/>
        </w:rPr>
        <w:t>Vlajka obce</w:t>
      </w:r>
      <w:r>
        <w:rPr>
          <w:rFonts w:ascii="Times New Roman" w:hAnsi="Times New Roman"/>
          <w:color w:val="auto"/>
          <w:sz w:val="24"/>
          <w:szCs w:val="24"/>
          <w:lang w:val="sk-SK"/>
        </w:rPr>
        <w:t>:</w:t>
        <w:tab/>
        <w:t xml:space="preserve">Vlajku obce tvorí šesť pozdĺžnych pruhov vo farbách žltá 2/8, červená 1/8, 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ab/>
        <w:tab/>
        <w:t>žltá 1/8, biela 1/8, červená 1/8  a biela 2/8. Vlajka má pomer strán 2:3,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ab/>
        <w:tab/>
        <w:t>ukončená troma cípmi.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b/>
          <w:i/>
          <w:color w:val="auto"/>
          <w:sz w:val="24"/>
          <w:szCs w:val="24"/>
          <w:lang w:val="sk-SK"/>
        </w:rPr>
        <w:t>5.5. Logo obce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Obec nemá vytvorené svoje logo.</w:t>
      </w:r>
    </w:p>
    <w:p>
      <w:pPr>
        <w:pStyle w:val="Bezmezer"/>
        <w:jc w:val="both"/>
        <w:rPr>
          <w:rFonts w:ascii="Times New Roman" w:hAnsi="Times New Roman"/>
          <w:color w:val="auto"/>
          <w:sz w:val="24"/>
          <w:szCs w:val="24"/>
          <w:lang w:val="sk-SK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b/>
          <w:i/>
          <w:color w:val="auto"/>
          <w:sz w:val="24"/>
          <w:szCs w:val="24"/>
          <w:lang w:val="sk-SK"/>
        </w:rPr>
        <w:t xml:space="preserve">5.6. História obce 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Prvá zmienka o obci je z roku 1285. V tomto období bola dolina osídľovaná nemeckými prisťahovalcami zo Saska, ktorí sa venovali hlavne ťažbe zlata, striebra, železa a medi. Postupne ťažba klesala až do roku 1860, keď bola úplne zastavená.  V čase valašskej kolonizácie, keď zanikla banícka činnosť, obyvatelia obce sa preorientovali na chov dobytka, oviec, súkenníctvo a prácu v lesoch. Obyvatelia sa tiež venovali spracovaniu ovčej vlny.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 xml:space="preserve">Už v roku 1540 tu existoval evanjelický zbor. V roku 1844 bol v obci postavený evanjelický kostol bez veže, ktorá bola dostavaná až v roku 1939. V roku 1632 bola zriadená ľudová evanjelická škola a nepretržite fungovala až do roku  1972. 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V roku 1926 vznikla z dolnej časti Kráľovskej a Svätojánskej Boce Nižná Boca a z horných častí obidvoch obcí Vyšná Boca. V tomto období sa obyvateľstvo zaoberalo hlavne chovom dobytka a oviec. Zvláštnosťou, až raritou je skutočnosť, že obyvatelia mali dobytok ustajnený a zazimovaný priamo na lúkach, a nie pri svojich obydliach. Dodnes môžeme vidieť v celej doline roztrúsených niekoľko lúčnych maštalí.</w:t>
      </w:r>
    </w:p>
    <w:p>
      <w:pPr>
        <w:pStyle w:val="Bezmezer"/>
        <w:jc w:val="both"/>
        <w:rPr>
          <w:rFonts w:ascii="Times New Roman" w:hAnsi="Times New Roman"/>
          <w:color w:val="CE181E"/>
          <w:sz w:val="24"/>
          <w:szCs w:val="24"/>
          <w:lang w:val="sk-SK"/>
        </w:rPr>
      </w:pPr>
      <w:r>
        <w:rPr>
          <w:rFonts w:ascii="Times New Roman" w:hAnsi="Times New Roman"/>
          <w:color w:val="CE181E"/>
          <w:sz w:val="24"/>
          <w:szCs w:val="24"/>
          <w:lang w:val="sk-SK"/>
        </w:rPr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b/>
          <w:i/>
          <w:color w:val="auto"/>
          <w:sz w:val="24"/>
          <w:szCs w:val="24"/>
          <w:lang w:val="sk-SK"/>
        </w:rPr>
        <w:t xml:space="preserve">5.7. Pamiatky 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Časť Nižnej Boce je vyhlásená za Chránenú pamiatkovú zónu ľudovej architektúry. Najstarší zachovaný dom je z roku 1710 s popisným číslom 130 a miestnym názvom Od Jakobusky.</w:t>
      </w:r>
    </w:p>
    <w:p>
      <w:pPr>
        <w:pStyle w:val="Bezmezer"/>
        <w:jc w:val="both"/>
        <w:rPr>
          <w:rFonts w:ascii="Times New Roman" w:hAnsi="Times New Roman"/>
          <w:b/>
          <w:i/>
          <w:i/>
          <w:color w:val="auto"/>
          <w:sz w:val="24"/>
          <w:szCs w:val="24"/>
          <w:lang w:val="sk-SK"/>
        </w:rPr>
      </w:pPr>
      <w:r>
        <w:rPr>
          <w:rFonts w:ascii="Times New Roman" w:hAnsi="Times New Roman"/>
          <w:b/>
          <w:i/>
          <w:color w:val="auto"/>
          <w:sz w:val="24"/>
          <w:szCs w:val="24"/>
          <w:lang w:val="sk-SK"/>
        </w:rPr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b/>
          <w:color w:val="auto"/>
          <w:sz w:val="24"/>
          <w:szCs w:val="24"/>
          <w:lang w:val="sk-SK"/>
        </w:rPr>
        <w:t>6. Plnenie úloh obce (prenesené kompetencie, originálne kompetencie)</w:t>
      </w:r>
    </w:p>
    <w:p>
      <w:pPr>
        <w:pStyle w:val="Bezmezer"/>
        <w:jc w:val="both"/>
        <w:rPr>
          <w:rFonts w:ascii="Times New Roman" w:hAnsi="Times New Roman"/>
          <w:color w:val="auto"/>
          <w:lang w:val="sk-SK"/>
        </w:rPr>
      </w:pPr>
      <w:r>
        <w:rPr>
          <w:rFonts w:ascii="Times New Roman" w:hAnsi="Times New Roman"/>
          <w:color w:val="auto"/>
          <w:lang w:val="sk-SK"/>
        </w:rPr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b/>
          <w:i/>
          <w:color w:val="auto"/>
          <w:sz w:val="24"/>
          <w:szCs w:val="24"/>
          <w:lang w:val="sk-SK"/>
        </w:rPr>
        <w:t>6.1. Výchova a vzdelávanie, športové aktivity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Obec nie je zriaďovateľom žiadnej školy ani školského zariadenia.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V súčasnosti  výchovu a vzdelávanie detí poskytujú: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Predškolskú výchovu:</w:t>
      </w:r>
    </w:p>
    <w:p>
      <w:pPr>
        <w:pStyle w:val="Bezmezer"/>
        <w:numPr>
          <w:ilvl w:val="0"/>
          <w:numId w:val="1"/>
        </w:numPr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Materská škola Kráľova Lehota</w:t>
      </w:r>
    </w:p>
    <w:p>
      <w:pPr>
        <w:pStyle w:val="Bezmezer"/>
        <w:numPr>
          <w:ilvl w:val="0"/>
          <w:numId w:val="1"/>
        </w:numPr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Materská škola v Liptovskom Hrádku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Povinnú školskú dochádzku a mimoškolské aktivity si žiaci plnia v:</w:t>
      </w:r>
    </w:p>
    <w:p>
      <w:pPr>
        <w:pStyle w:val="Bezmezer"/>
        <w:numPr>
          <w:ilvl w:val="0"/>
          <w:numId w:val="1"/>
        </w:numPr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Základnej škole v Hybiach</w:t>
      </w:r>
    </w:p>
    <w:p>
      <w:pPr>
        <w:pStyle w:val="Bezmezer"/>
        <w:numPr>
          <w:ilvl w:val="0"/>
          <w:numId w:val="1"/>
        </w:numPr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Základných školách, ktorých zriaďovateľom je mesto Liptovský Hrádok</w:t>
      </w:r>
    </w:p>
    <w:p>
      <w:pPr>
        <w:pStyle w:val="Bezmezer"/>
        <w:numPr>
          <w:ilvl w:val="0"/>
          <w:numId w:val="1"/>
        </w:numPr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Centrum voľného času v Liptovskom Hrádku</w:t>
      </w:r>
    </w:p>
    <w:p>
      <w:pPr>
        <w:pStyle w:val="Bezmezer"/>
        <w:jc w:val="both"/>
        <w:rPr>
          <w:rFonts w:ascii="Times New Roman" w:hAnsi="Times New Roman"/>
          <w:color w:val="auto"/>
          <w:lang w:val="sk-SK"/>
        </w:rPr>
      </w:pPr>
      <w:r>
        <w:rPr>
          <w:rFonts w:ascii="Times New Roman" w:hAnsi="Times New Roman"/>
          <w:color w:val="auto"/>
          <w:lang w:val="sk-SK"/>
        </w:rPr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b/>
          <w:i/>
          <w:color w:val="auto"/>
          <w:sz w:val="24"/>
          <w:szCs w:val="24"/>
          <w:lang w:val="sk-SK"/>
        </w:rPr>
        <w:t>6.2. Zdravotníctvo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Zdravotnú starostlivosť občanom poskytuje:</w:t>
      </w:r>
    </w:p>
    <w:p>
      <w:pPr>
        <w:pStyle w:val="Bezmezer"/>
        <w:numPr>
          <w:ilvl w:val="0"/>
          <w:numId w:val="1"/>
        </w:numPr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 xml:space="preserve">Poliklinika n.o. Liptovský Hrádok v pôsobnosti ŽSK </w:t>
      </w:r>
    </w:p>
    <w:p>
      <w:pPr>
        <w:pStyle w:val="Bezmezer"/>
        <w:numPr>
          <w:ilvl w:val="0"/>
          <w:numId w:val="1"/>
        </w:numPr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Nemocnica s poliklinikou v Liptovskom Mikuláši</w:t>
      </w:r>
    </w:p>
    <w:p>
      <w:pPr>
        <w:pStyle w:val="Bezmezer"/>
        <w:numPr>
          <w:ilvl w:val="0"/>
          <w:numId w:val="1"/>
        </w:numPr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Ústredná vojenská nemocnica SNP Ružomberok</w:t>
      </w:r>
    </w:p>
    <w:p>
      <w:pPr>
        <w:pStyle w:val="Bezmezer"/>
        <w:jc w:val="both"/>
        <w:rPr>
          <w:rFonts w:ascii="Times New Roman" w:hAnsi="Times New Roman"/>
          <w:color w:val="CE181E"/>
          <w:lang w:val="sk-SK"/>
        </w:rPr>
      </w:pPr>
      <w:r>
        <w:rPr>
          <w:rFonts w:ascii="Times New Roman" w:hAnsi="Times New Roman"/>
          <w:color w:val="CE181E"/>
          <w:lang w:val="sk-SK"/>
        </w:rPr>
      </w:r>
    </w:p>
    <w:p>
      <w:pPr>
        <w:pStyle w:val="Bezmezer"/>
        <w:jc w:val="both"/>
        <w:rPr>
          <w:rFonts w:ascii="Times New Roman" w:hAnsi="Times New Roman"/>
          <w:color w:val="CE181E"/>
          <w:lang w:val="sk-SK"/>
        </w:rPr>
      </w:pPr>
      <w:r>
        <w:rPr>
          <w:rFonts w:ascii="Times New Roman" w:hAnsi="Times New Roman"/>
          <w:color w:val="CE181E"/>
          <w:lang w:val="sk-SK"/>
        </w:rPr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b/>
          <w:i/>
          <w:color w:val="auto"/>
          <w:sz w:val="24"/>
          <w:szCs w:val="24"/>
          <w:lang w:val="sk-SK"/>
        </w:rPr>
        <w:t>6.3. Sociálne zabezpečenie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Sociálne služby pre občanov obce sa vybavujú individuálne. Administratívnu časť obec zabezpečuje dodávateľsky.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Najbližšie zariadenia sociálnych služieb sú v Liptovskom Hrádku a Liptovskom Mikuláši.</w:t>
      </w:r>
    </w:p>
    <w:p>
      <w:pPr>
        <w:pStyle w:val="Bezmezer"/>
        <w:jc w:val="both"/>
        <w:rPr>
          <w:rFonts w:ascii="Times New Roman" w:hAnsi="Times New Roman"/>
          <w:color w:val="auto"/>
          <w:lang w:val="sk-SK"/>
        </w:rPr>
      </w:pPr>
      <w:r>
        <w:rPr>
          <w:rFonts w:ascii="Times New Roman" w:hAnsi="Times New Roman"/>
          <w:color w:val="auto"/>
          <w:lang w:val="sk-SK"/>
        </w:rPr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b/>
          <w:i/>
          <w:color w:val="auto"/>
          <w:sz w:val="24"/>
          <w:szCs w:val="24"/>
          <w:lang w:val="sk-SK"/>
        </w:rPr>
        <w:t xml:space="preserve">6.4. Kultúra 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Knižnica :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Obec má vlastnú knižnicu, ktorá sídli v Obecnom dome Nižná Boca č. 74 – je otvorená každý druhý štvrtok od 16.00 – 18.00 hod. Knižný fond je každý rok dopĺňaný. V roku 2022 z dôvodu rekonštrukcie vykurovania kultúrneho domu bola činnosť obecnej knižnice obmedzená.</w:t>
      </w:r>
    </w:p>
    <w:p>
      <w:pPr>
        <w:pStyle w:val="Bezmezer"/>
        <w:jc w:val="both"/>
        <w:rPr>
          <w:rFonts w:ascii="Times New Roman" w:hAnsi="Times New Roman"/>
          <w:color w:val="auto"/>
          <w:sz w:val="24"/>
          <w:szCs w:val="24"/>
          <w:lang w:val="sk-SK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b/>
          <w:i/>
          <w:color w:val="auto"/>
          <w:sz w:val="24"/>
          <w:szCs w:val="24"/>
          <w:lang w:val="sk-SK"/>
        </w:rPr>
        <w:t>6.5. Doprava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bCs/>
          <w:iCs/>
          <w:color w:val="auto"/>
          <w:sz w:val="24"/>
          <w:szCs w:val="24"/>
          <w:lang w:val="sk-SK"/>
        </w:rPr>
        <w:t>Riešenie dopravy v obci.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bCs/>
          <w:iCs/>
          <w:color w:val="auto"/>
          <w:sz w:val="24"/>
          <w:szCs w:val="24"/>
          <w:lang w:val="sk-SK"/>
        </w:rPr>
        <w:t>V k.ú. Nižnej Boce prechádza cesta I. triedy, ktorú spravuje Žilinský samosprávny kraj. V obci sú miestne komunikácie v dĺžke 3 km a sedem mostov. Asfaltové komunikácie sú v dĺžke 2.6 km a 0,40 km sú štrkové. Mosty sú železobetónové. Zimnú údržbu obec zabezpečuje dodávateľským spôsobom.</w:t>
      </w:r>
    </w:p>
    <w:p>
      <w:pPr>
        <w:pStyle w:val="Bezmezer"/>
        <w:jc w:val="both"/>
        <w:rPr>
          <w:rFonts w:ascii="Times New Roman" w:hAnsi="Times New Roman"/>
          <w:bCs/>
          <w:iCs/>
          <w:color w:val="auto"/>
          <w:sz w:val="24"/>
          <w:szCs w:val="24"/>
          <w:lang w:val="sk-SK"/>
        </w:rPr>
      </w:pPr>
      <w:r>
        <w:rPr>
          <w:rFonts w:ascii="Times New Roman" w:hAnsi="Times New Roman"/>
          <w:bCs/>
          <w:iCs/>
          <w:color w:val="auto"/>
          <w:sz w:val="24"/>
          <w:szCs w:val="24"/>
          <w:lang w:val="sk-SK"/>
        </w:rPr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b/>
          <w:i/>
          <w:color w:val="auto"/>
          <w:sz w:val="24"/>
          <w:szCs w:val="24"/>
          <w:lang w:val="sk-SK"/>
        </w:rPr>
        <w:t>6.6. Územné plánovanie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bCs/>
          <w:iCs/>
          <w:color w:val="auto"/>
          <w:sz w:val="24"/>
          <w:szCs w:val="24"/>
          <w:lang w:val="sk-SK"/>
        </w:rPr>
        <w:t>Riešenie územného plánovania v obci.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bCs/>
          <w:iCs/>
          <w:color w:val="auto"/>
          <w:sz w:val="24"/>
          <w:szCs w:val="24"/>
          <w:lang w:val="sk-SK"/>
        </w:rPr>
        <w:t xml:space="preserve">Územný plán bol schválený </w:t>
      </w:r>
      <w:r>
        <w:rPr>
          <w:rFonts w:ascii="Times New Roman" w:hAnsi="Times New Roman"/>
          <w:color w:val="auto"/>
          <w:sz w:val="24"/>
          <w:szCs w:val="24"/>
          <w:lang w:val="sk-SK"/>
        </w:rPr>
        <w:t xml:space="preserve">obecným zastupiteľstvom uznesením č. 4/2003 A ll. zo dňa 29.04.2003. Zmeny a doplnky č.1 Územného plánu obceNižná Boca boli schválené uznesením č. 39/2008 zo dňa 28.02.2008 a týkali sa lokality Horné Lúky. V roku 2022 plánujeme zahájiť Zmeny a doplnky č.2 Územného plánu v lokalite Dolné Salášky a Dolné Lúky.   </w:t>
      </w:r>
    </w:p>
    <w:p>
      <w:pPr>
        <w:pStyle w:val="Bezmezer"/>
        <w:jc w:val="both"/>
        <w:rPr>
          <w:rFonts w:ascii="Times New Roman" w:hAnsi="Times New Roman"/>
          <w:bCs/>
          <w:iCs/>
          <w:color w:val="CE181E"/>
          <w:sz w:val="24"/>
          <w:szCs w:val="24"/>
          <w:lang w:val="sk-SK"/>
        </w:rPr>
      </w:pPr>
      <w:r>
        <w:rPr>
          <w:rFonts w:ascii="Times New Roman" w:hAnsi="Times New Roman"/>
          <w:bCs/>
          <w:iCs/>
          <w:color w:val="CE181E"/>
          <w:sz w:val="24"/>
          <w:szCs w:val="24"/>
          <w:lang w:val="sk-SK"/>
        </w:rPr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b/>
          <w:i/>
          <w:color w:val="auto"/>
          <w:sz w:val="24"/>
          <w:szCs w:val="24"/>
          <w:lang w:val="sk-SK"/>
        </w:rPr>
        <w:t>6.7. Hospodárstvo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Najvýznamnejší poskytovatelia služieb v obci :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COOP Jednota SD Liptovský. Mikuláš – predajňa potraviny-mix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Penzión „Bocorka“ – reštauračné a ubytovacie služby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Reštaurácia „Stará zvonica“ – od júla 2021 – reštauračné a ubytovacie služby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Najvýznamnejšie právnické osoby, ktoré platia daň znehnuteľností :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 xml:space="preserve">        </w:t>
      </w:r>
      <w:r>
        <w:rPr>
          <w:rFonts w:ascii="Times New Roman" w:hAnsi="Times New Roman"/>
          <w:color w:val="auto"/>
          <w:sz w:val="24"/>
          <w:szCs w:val="24"/>
          <w:lang w:val="sk-SK"/>
        </w:rPr>
        <w:t xml:space="preserve">Lesy SR,  š.p. , OZ Liptovský Hrádok 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 xml:space="preserve">        </w:t>
      </w:r>
      <w:r>
        <w:rPr>
          <w:rFonts w:ascii="Times New Roman" w:hAnsi="Times New Roman"/>
          <w:color w:val="auto"/>
          <w:sz w:val="24"/>
          <w:szCs w:val="24"/>
          <w:lang w:val="sk-SK"/>
        </w:rPr>
        <w:t>Urbársky spolok obce Nižná Boca pozemkové spoločenstvo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 xml:space="preserve">        </w:t>
      </w:r>
      <w:r>
        <w:rPr>
          <w:rFonts w:ascii="Times New Roman" w:hAnsi="Times New Roman"/>
          <w:color w:val="auto"/>
          <w:sz w:val="24"/>
          <w:szCs w:val="24"/>
          <w:lang w:val="sk-SK"/>
        </w:rPr>
        <w:t>Agria Liptovský Ondrej a.s., Liptovský Ondrej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 xml:space="preserve">        </w:t>
      </w:r>
      <w:r>
        <w:rPr>
          <w:rFonts w:ascii="Times New Roman" w:hAnsi="Times New Roman"/>
          <w:color w:val="auto"/>
          <w:sz w:val="24"/>
          <w:szCs w:val="24"/>
          <w:lang w:val="sk-SK"/>
        </w:rPr>
        <w:t>Jihomoravský kraj, Brno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 xml:space="preserve">        </w:t>
      </w:r>
      <w:r>
        <w:rPr>
          <w:rFonts w:ascii="Times New Roman" w:hAnsi="Times New Roman"/>
          <w:color w:val="auto"/>
          <w:sz w:val="24"/>
          <w:szCs w:val="24"/>
          <w:lang w:val="sk-SK"/>
        </w:rPr>
        <w:t>STU v Bratislave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 xml:space="preserve">        </w:t>
      </w:r>
      <w:r>
        <w:rPr>
          <w:rFonts w:ascii="Times New Roman" w:hAnsi="Times New Roman"/>
          <w:color w:val="auto"/>
          <w:sz w:val="24"/>
          <w:szCs w:val="24"/>
          <w:lang w:val="sk-SK"/>
        </w:rPr>
        <w:t>COOP Jednota SD, Liptovský Mikuláš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 xml:space="preserve">        </w:t>
      </w:r>
      <w:r>
        <w:rPr>
          <w:rFonts w:ascii="Times New Roman" w:hAnsi="Times New Roman"/>
          <w:color w:val="auto"/>
          <w:sz w:val="24"/>
          <w:szCs w:val="24"/>
          <w:lang w:val="sk-SK"/>
        </w:rPr>
        <w:t>NVB Invest a.s., Nižná Boca 651</w:t>
      </w:r>
    </w:p>
    <w:p>
      <w:pPr>
        <w:pStyle w:val="Bezmezer"/>
        <w:jc w:val="both"/>
        <w:rPr>
          <w:rFonts w:ascii="Times New Roman" w:hAnsi="Times New Roman"/>
          <w:color w:val="CE181E"/>
          <w:lang w:val="sk-SK"/>
        </w:rPr>
      </w:pPr>
      <w:r>
        <w:rPr>
          <w:rFonts w:ascii="Times New Roman" w:hAnsi="Times New Roman"/>
          <w:color w:val="CE181E"/>
          <w:lang w:val="sk-SK"/>
        </w:rPr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b/>
          <w:color w:val="auto"/>
          <w:sz w:val="24"/>
          <w:szCs w:val="24"/>
          <w:lang w:val="sk-SK"/>
        </w:rPr>
        <w:t>7. Rozpočet obce na rok 202</w:t>
      </w:r>
      <w:r>
        <w:rPr>
          <w:rFonts w:ascii="Times New Roman" w:hAnsi="Times New Roman"/>
          <w:b/>
          <w:color w:val="auto"/>
          <w:sz w:val="24"/>
          <w:szCs w:val="24"/>
          <w:lang w:val="sk-SK"/>
        </w:rPr>
        <w:t>3</w:t>
      </w:r>
      <w:r>
        <w:rPr>
          <w:rFonts w:ascii="Times New Roman" w:hAnsi="Times New Roman"/>
          <w:b/>
          <w:color w:val="auto"/>
          <w:sz w:val="24"/>
          <w:szCs w:val="24"/>
          <w:lang w:val="sk-SK"/>
        </w:rPr>
        <w:t xml:space="preserve"> a jeho plnenie</w:t>
      </w:r>
    </w:p>
    <w:p>
      <w:pPr>
        <w:pStyle w:val="Normal"/>
        <w:tabs>
          <w:tab w:val="clear" w:pos="708"/>
          <w:tab w:val="left" w:pos="165" w:leader="none"/>
        </w:tabs>
        <w:jc w:val="both"/>
        <w:rPr>
          <w:color w:val="auto"/>
        </w:rPr>
      </w:pPr>
      <w:r>
        <w:rPr>
          <w:color w:val="auto"/>
        </w:rPr>
        <w:t>Základným   nástrojom  finančného  hospodárenia  obce  bol   rozpočet   obce   na  rok   2023.</w:t>
      </w:r>
    </w:p>
    <w:p>
      <w:pPr>
        <w:pStyle w:val="Normal"/>
        <w:tabs>
          <w:tab w:val="clear" w:pos="708"/>
          <w:tab w:val="left" w:pos="165" w:leader="none"/>
        </w:tabs>
        <w:jc w:val="both"/>
        <w:rPr>
          <w:color w:val="auto"/>
        </w:rPr>
      </w:pPr>
      <w:r>
        <w:rPr>
          <w:color w:val="auto"/>
        </w:rPr>
        <w:tab/>
        <w:t xml:space="preserve">Obec v roku 2023 zostavila rozpočet podľa ustanovenia § 10 odsek 7) zákona č.583/2004 Z. z. </w:t>
        <w:tab/>
        <w:t xml:space="preserve">o rozpočtových pravidlách územnej samosprávy a o zmene a doplnení niektorých zákonov v znení </w:t>
        <w:tab/>
        <w:t xml:space="preserve">neskorších predpisov. Rozpočet obce na rok 2023 bol zostavený ako vyrovnaný. Bežný rozpočet bol </w:t>
        <w:tab/>
        <w:t xml:space="preserve">zostavený ako prebytkový a kapitálový rozpočet ako schodkový. </w:t>
      </w:r>
    </w:p>
    <w:p>
      <w:pPr>
        <w:pStyle w:val="Normal"/>
        <w:tabs>
          <w:tab w:val="clear" w:pos="708"/>
          <w:tab w:val="left" w:pos="165" w:leader="none"/>
        </w:tabs>
        <w:jc w:val="both"/>
        <w:rPr>
          <w:color w:val="auto"/>
        </w:rPr>
      </w:pPr>
      <w:r>
        <w:rPr>
          <w:color w:val="auto"/>
        </w:rPr>
        <w:tab/>
        <w:t xml:space="preserve">Hospodárenie obce sa riadilo podľa schváleného rozpočtu na rok 2023. </w:t>
      </w:r>
    </w:p>
    <w:p>
      <w:pPr>
        <w:pStyle w:val="Normal"/>
        <w:tabs>
          <w:tab w:val="clear" w:pos="708"/>
          <w:tab w:val="left" w:pos="165" w:leader="none"/>
        </w:tabs>
        <w:jc w:val="both"/>
        <w:rPr/>
      </w:pPr>
      <w:r>
        <w:rPr>
          <w:color w:val="C9211E"/>
        </w:rPr>
        <w:tab/>
      </w:r>
      <w:r>
        <w:rPr>
          <w:color w:val="auto"/>
          <w:sz w:val="24"/>
          <w:szCs w:val="24"/>
        </w:rPr>
        <w:t>Rozpočet obce bol schválený obecným zastupiteľstvom dňa 14.12.2022  uznesením OZ</w:t>
      </w:r>
      <w:r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č. 61/2022.</w:t>
      </w:r>
    </w:p>
    <w:p>
      <w:pPr>
        <w:pStyle w:val="Normal"/>
        <w:tabs>
          <w:tab w:val="clear" w:pos="708"/>
          <w:tab w:val="left" w:pos="165" w:leader="none"/>
        </w:tabs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  <w:t xml:space="preserve">Zmeny rozpočtu: </w:t>
      </w:r>
    </w:p>
    <w:p>
      <w:pPr>
        <w:pStyle w:val="Normal"/>
        <w:numPr>
          <w:ilvl w:val="0"/>
          <w:numId w:val="4"/>
        </w:numPr>
        <w:suppressAutoHyphens w:val="false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01. zmena schválená dňa 19.01.2023 starosta obce zobral na vedomie</w:t>
      </w:r>
    </w:p>
    <w:p>
      <w:pPr>
        <w:pStyle w:val="Normal"/>
        <w:numPr>
          <w:ilvl w:val="0"/>
          <w:numId w:val="4"/>
        </w:numPr>
        <w:suppressAutoHyphens w:val="false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02. zmena schválená dňa 05.02.2023 v kompetencii starostu obce</w:t>
      </w:r>
    </w:p>
    <w:p>
      <w:pPr>
        <w:pStyle w:val="Normal"/>
        <w:numPr>
          <w:ilvl w:val="0"/>
          <w:numId w:val="4"/>
        </w:numPr>
        <w:suppressAutoHyphens w:val="false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03. zmena schválená dňa 03.03.2023 starosta obce zobral na vedomie</w:t>
      </w:r>
    </w:p>
    <w:p>
      <w:pPr>
        <w:pStyle w:val="Normal"/>
        <w:numPr>
          <w:ilvl w:val="0"/>
          <w:numId w:val="4"/>
        </w:numPr>
        <w:suppressAutoHyphens w:val="false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04. zmena schválená dňa 10.03.2023 v kompetencii starostu obce</w:t>
      </w:r>
    </w:p>
    <w:p>
      <w:pPr>
        <w:pStyle w:val="Normal"/>
        <w:numPr>
          <w:ilvl w:val="0"/>
          <w:numId w:val="4"/>
        </w:numPr>
        <w:suppressAutoHyphens w:val="false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05. zmena schválená dňa 15.04.2023 v kompetencii starostu obce</w:t>
      </w:r>
    </w:p>
    <w:p>
      <w:pPr>
        <w:pStyle w:val="Normal"/>
        <w:numPr>
          <w:ilvl w:val="0"/>
          <w:numId w:val="4"/>
        </w:numPr>
        <w:suppressAutoHyphens w:val="false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06. zmena schválená dňa 01.06.2023 starosta obce zobral na vedomie</w:t>
      </w:r>
    </w:p>
    <w:p>
      <w:pPr>
        <w:pStyle w:val="Normal"/>
        <w:numPr>
          <w:ilvl w:val="0"/>
          <w:numId w:val="4"/>
        </w:numPr>
        <w:suppressAutoHyphens w:val="false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07. zmena schválená dňa 01.06.2023 v kompetencii starostu obce </w:t>
      </w:r>
    </w:p>
    <w:p>
      <w:pPr>
        <w:pStyle w:val="Normal"/>
        <w:numPr>
          <w:ilvl w:val="0"/>
          <w:numId w:val="4"/>
        </w:numPr>
        <w:suppressAutoHyphens w:val="false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08. zmena schválená dňa 23.08.2023 OZ </w:t>
      </w:r>
    </w:p>
    <w:p>
      <w:pPr>
        <w:pStyle w:val="Normal"/>
        <w:numPr>
          <w:ilvl w:val="0"/>
          <w:numId w:val="4"/>
        </w:numPr>
        <w:suppressAutoHyphens w:val="false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09. zmena schválená dňa 25.08.2023 starosta obce zobral na vedomie</w:t>
      </w:r>
    </w:p>
    <w:p>
      <w:pPr>
        <w:pStyle w:val="Normal"/>
        <w:numPr>
          <w:ilvl w:val="0"/>
          <w:numId w:val="4"/>
        </w:numPr>
        <w:suppressAutoHyphens w:val="false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10. zmena schválená dňa 28.08.2023 v kompetencii starostu obce</w:t>
      </w:r>
    </w:p>
    <w:p>
      <w:pPr>
        <w:pStyle w:val="Normal"/>
        <w:numPr>
          <w:ilvl w:val="0"/>
          <w:numId w:val="4"/>
        </w:numPr>
        <w:suppressAutoHyphens w:val="false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11. zmena schválená dňa 04.09.2023 v kompetencii starostu obce</w:t>
      </w:r>
    </w:p>
    <w:p>
      <w:pPr>
        <w:pStyle w:val="Normal"/>
        <w:numPr>
          <w:ilvl w:val="0"/>
          <w:numId w:val="4"/>
        </w:numPr>
        <w:suppressAutoHyphens w:val="false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12. zmena schválená dňa 10.09.2023 v kompetencii starostu obce </w:t>
      </w:r>
    </w:p>
    <w:p>
      <w:pPr>
        <w:pStyle w:val="Normal"/>
        <w:numPr>
          <w:ilvl w:val="0"/>
          <w:numId w:val="4"/>
        </w:numPr>
        <w:suppressAutoHyphens w:val="false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13. zmena schválená dňa 13.10.2023 OZ</w:t>
      </w:r>
    </w:p>
    <w:p>
      <w:pPr>
        <w:pStyle w:val="Normal"/>
        <w:numPr>
          <w:ilvl w:val="0"/>
          <w:numId w:val="4"/>
        </w:numPr>
        <w:suppressAutoHyphens w:val="false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14. zmena schválená dňa 15.12.2023 starosta obce zobral na vedomie</w:t>
      </w:r>
    </w:p>
    <w:p>
      <w:pPr>
        <w:pStyle w:val="Normal"/>
        <w:numPr>
          <w:ilvl w:val="0"/>
          <w:numId w:val="4"/>
        </w:numPr>
        <w:suppressAutoHyphens w:val="false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15. zmena schválená dňa 15.12.2023 OZ</w:t>
      </w:r>
    </w:p>
    <w:p>
      <w:pPr>
        <w:pStyle w:val="Normal"/>
        <w:numPr>
          <w:ilvl w:val="0"/>
          <w:numId w:val="4"/>
        </w:numPr>
        <w:suppressAutoHyphens w:val="false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16. zmena schválená dňa 16.12.2023 starosta obce zobral na vedomie</w:t>
      </w:r>
    </w:p>
    <w:p>
      <w:pPr>
        <w:pStyle w:val="Normal"/>
        <w:numPr>
          <w:ilvl w:val="0"/>
          <w:numId w:val="4"/>
        </w:numPr>
        <w:suppressAutoHyphens w:val="false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lang w:val="sk-SK"/>
        </w:rPr>
        <w:t>17. zmena schválená dňa 20.12.2023 v kompetencii starostu obce</w:t>
      </w:r>
    </w:p>
    <w:p>
      <w:pPr>
        <w:pStyle w:val="Bezmezer"/>
        <w:jc w:val="both"/>
        <w:rPr>
          <w:rFonts w:ascii="Times New Roman" w:hAnsi="Times New Roman"/>
          <w:b/>
          <w:i/>
          <w:i/>
          <w:color w:val="CE181E"/>
          <w:lang w:val="sk-SK"/>
        </w:rPr>
      </w:pPr>
      <w:r>
        <w:rPr>
          <w:rFonts w:ascii="Times New Roman" w:hAnsi="Times New Roman"/>
          <w:b/>
          <w:i/>
          <w:color w:val="CE181E"/>
          <w:lang w:val="sk-SK"/>
        </w:rPr>
      </w:r>
    </w:p>
    <w:p>
      <w:pPr>
        <w:pStyle w:val="Bezmezer"/>
        <w:jc w:val="both"/>
        <w:rPr>
          <w:rFonts w:ascii="Times New Roman" w:hAnsi="Times New Roman"/>
          <w:b/>
          <w:i/>
          <w:i/>
          <w:color w:val="CE181E"/>
          <w:lang w:val="sk-SK"/>
        </w:rPr>
      </w:pPr>
      <w:r>
        <w:rPr>
          <w:rFonts w:ascii="Times New Roman" w:hAnsi="Times New Roman"/>
          <w:b/>
          <w:i/>
          <w:color w:val="CE181E"/>
          <w:lang w:val="sk-SK"/>
        </w:rPr>
      </w:r>
    </w:p>
    <w:p>
      <w:pPr>
        <w:pStyle w:val="Bezmezer"/>
        <w:jc w:val="both"/>
        <w:rPr>
          <w:rFonts w:ascii="Times New Roman" w:hAnsi="Times New Roman"/>
          <w:b/>
          <w:i/>
          <w:i/>
          <w:color w:val="CE181E"/>
          <w:lang w:val="sk-SK"/>
        </w:rPr>
      </w:pPr>
      <w:r>
        <w:rPr>
          <w:rFonts w:ascii="Times New Roman" w:hAnsi="Times New Roman"/>
          <w:b/>
          <w:i/>
          <w:color w:val="CE181E"/>
          <w:lang w:val="sk-SK"/>
        </w:rPr>
      </w:r>
    </w:p>
    <w:p>
      <w:pPr>
        <w:pStyle w:val="Bezmezer"/>
        <w:jc w:val="both"/>
        <w:rPr>
          <w:rFonts w:ascii="Times New Roman" w:hAnsi="Times New Roman"/>
          <w:b/>
          <w:i/>
          <w:i/>
          <w:color w:val="CE181E"/>
          <w:lang w:val="sk-SK"/>
        </w:rPr>
      </w:pPr>
      <w:r>
        <w:rPr>
          <w:rFonts w:ascii="Times New Roman" w:hAnsi="Times New Roman"/>
          <w:b/>
          <w:i/>
          <w:color w:val="CE181E"/>
          <w:lang w:val="sk-SK"/>
        </w:rPr>
      </w:r>
    </w:p>
    <w:p>
      <w:pPr>
        <w:pStyle w:val="Bezmezer"/>
        <w:jc w:val="both"/>
        <w:rPr>
          <w:rFonts w:ascii="Times New Roman" w:hAnsi="Times New Roman"/>
          <w:b/>
          <w:i/>
          <w:i/>
          <w:color w:val="CE181E"/>
          <w:lang w:val="sk-SK"/>
        </w:rPr>
      </w:pPr>
      <w:r>
        <w:rPr>
          <w:rFonts w:ascii="Times New Roman" w:hAnsi="Times New Roman"/>
          <w:b/>
          <w:i/>
          <w:color w:val="CE181E"/>
          <w:lang w:val="sk-SK"/>
        </w:rPr>
      </w:r>
    </w:p>
    <w:p>
      <w:pPr>
        <w:pStyle w:val="Bezmezer"/>
        <w:jc w:val="both"/>
        <w:rPr>
          <w:rFonts w:ascii="Times New Roman" w:hAnsi="Times New Roman"/>
          <w:b/>
          <w:i/>
          <w:i/>
          <w:color w:val="CE181E"/>
          <w:lang w:val="sk-SK"/>
        </w:rPr>
      </w:pPr>
      <w:r>
        <w:rPr>
          <w:rFonts w:ascii="Times New Roman" w:hAnsi="Times New Roman"/>
          <w:b/>
          <w:i/>
          <w:color w:val="CE181E"/>
          <w:lang w:val="sk-SK"/>
        </w:rPr>
      </w:r>
    </w:p>
    <w:p>
      <w:pPr>
        <w:pStyle w:val="Bezmezer"/>
        <w:jc w:val="both"/>
        <w:rPr>
          <w:rFonts w:ascii="Times New Roman" w:hAnsi="Times New Roman"/>
          <w:b/>
          <w:i/>
          <w:i/>
          <w:color w:val="CE181E"/>
          <w:lang w:val="sk-SK"/>
        </w:rPr>
      </w:pPr>
      <w:r>
        <w:rPr>
          <w:rFonts w:ascii="Times New Roman" w:hAnsi="Times New Roman"/>
          <w:b/>
          <w:i/>
          <w:color w:val="CE181E"/>
          <w:lang w:val="sk-SK"/>
        </w:rPr>
      </w:r>
    </w:p>
    <w:p>
      <w:pPr>
        <w:pStyle w:val="BodyText"/>
        <w:suppressAutoHyphens w:val="false"/>
        <w:spacing w:before="0" w:after="63"/>
        <w:jc w:val="both"/>
        <w:rPr>
          <w:rFonts w:ascii="Times New          Roman;Times New Roman" w:hAnsi="Times New          Roman;Times New Roman" w:cs="Times New          Roman;Times New Roman"/>
          <w:b w:val="false"/>
          <w:bCs w:val="false"/>
          <w:color w:val="C9211E"/>
          <w:sz w:val="22"/>
          <w:szCs w:val="22"/>
        </w:rPr>
      </w:pPr>
      <w:r>
        <w:rPr>
          <w:rFonts w:cs="Times New          Roman;Times New Roman" w:ascii="Times New          Roman;Times New Roman" w:hAnsi="Times New          Roman;Times New Roman"/>
          <w:b w:val="false"/>
          <w:bCs w:val="false"/>
          <w:color w:val="C9211E"/>
          <w:sz w:val="22"/>
          <w:szCs w:val="22"/>
        </w:rPr>
      </w:r>
    </w:p>
    <w:p>
      <w:pPr>
        <w:pStyle w:val="Normal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Rozpočet obce k  31.12.2023</w:t>
      </w:r>
    </w:p>
    <w:p>
      <w:pPr>
        <w:pStyle w:val="Normal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</w:r>
    </w:p>
    <w:p>
      <w:pPr>
        <w:pStyle w:val="Normal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</w:r>
    </w:p>
    <w:tbl>
      <w:tblPr>
        <w:tblW w:w="811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93"/>
        <w:gridCol w:w="1843"/>
        <w:gridCol w:w="2382"/>
      </w:tblGrid>
      <w:tr>
        <w:trPr/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snapToGrid w:val="false"/>
              <w:rPr>
                <w:color w:val="auto"/>
              </w:rPr>
            </w:pPr>
            <w:r>
              <w:rPr>
                <w:color w:val="auto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rPr>
                <w:b/>
                <w:color w:val="auto"/>
              </w:rPr>
            </w:pPr>
            <w:r>
              <w:rPr>
                <w:b/>
                <w:color w:val="auto"/>
              </w:rPr>
              <w:t>Schválený</w:t>
            </w:r>
          </w:p>
          <w:p>
            <w:pPr>
              <w:pStyle w:val="Normal"/>
              <w:tabs>
                <w:tab w:val="clear" w:pos="708"/>
                <w:tab w:val="right" w:pos="8460" w:leader="none"/>
              </w:tabs>
              <w:rPr>
                <w:b/>
                <w:color w:val="auto"/>
              </w:rPr>
            </w:pPr>
            <w:r>
              <w:rPr>
                <w:b/>
                <w:color w:val="auto"/>
              </w:rPr>
              <w:t>Rozpočet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"/>
              <w:tabs>
                <w:tab w:val="clear" w:pos="708"/>
                <w:tab w:val="right" w:pos="8820" w:leader="none"/>
              </w:tabs>
              <w:rPr>
                <w:b/>
                <w:color w:val="auto"/>
              </w:rPr>
            </w:pPr>
            <w:r>
              <w:rPr>
                <w:b/>
                <w:color w:val="auto"/>
              </w:rPr>
              <w:t xml:space="preserve">Rozpočet </w:t>
            </w:r>
          </w:p>
          <w:p>
            <w:pPr>
              <w:pStyle w:val="Normal"/>
              <w:tabs>
                <w:tab w:val="clear" w:pos="708"/>
                <w:tab w:val="right" w:pos="8820" w:leader="none"/>
              </w:tabs>
              <w:rPr>
                <w:b/>
                <w:color w:val="auto"/>
              </w:rPr>
            </w:pPr>
            <w:r>
              <w:rPr>
                <w:b/>
                <w:color w:val="auto"/>
              </w:rPr>
              <w:t xml:space="preserve">po zmenách </w:t>
            </w:r>
          </w:p>
        </w:tc>
      </w:tr>
      <w:tr>
        <w:trPr/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C4BC96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rPr>
                <w:b/>
                <w:color w:val="auto"/>
              </w:rPr>
            </w:pPr>
            <w:r>
              <w:rPr>
                <w:b/>
                <w:color w:val="auto"/>
              </w:rPr>
              <w:t>Príjmy celkom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C4BC96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right"/>
              <w:rPr>
                <w:b/>
                <w:color w:val="auto"/>
              </w:rPr>
            </w:pPr>
            <w:r>
              <w:rPr>
                <w:b/>
                <w:color w:val="auto"/>
              </w:rPr>
              <w:t>166.780,00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4BC96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right"/>
              <w:rPr>
                <w:b/>
                <w:color w:val="auto"/>
              </w:rPr>
            </w:pPr>
            <w:r>
              <w:rPr>
                <w:b/>
                <w:color w:val="auto"/>
              </w:rPr>
              <w:t>411.295,00</w:t>
            </w:r>
          </w:p>
        </w:tc>
      </w:tr>
      <w:tr>
        <w:trPr/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rPr>
                <w:color w:val="auto"/>
              </w:rPr>
            </w:pPr>
            <w:r>
              <w:rPr>
                <w:color w:val="auto"/>
              </w:rPr>
              <w:t>z toho 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snapToGrid w:val="false"/>
              <w:jc w:val="right"/>
              <w:rPr>
                <w:b/>
                <w:color w:val="auto"/>
              </w:rPr>
            </w:pPr>
            <w:r>
              <w:rPr>
                <w:b/>
                <w:color w:val="auto"/>
              </w:rPr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snapToGrid w:val="false"/>
              <w:jc w:val="right"/>
              <w:rPr>
                <w:b/>
                <w:color w:val="auto"/>
              </w:rPr>
            </w:pPr>
            <w:r>
              <w:rPr>
                <w:b/>
                <w:color w:val="auto"/>
              </w:rPr>
            </w:r>
          </w:p>
        </w:tc>
      </w:tr>
      <w:tr>
        <w:trPr/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rPr>
                <w:color w:val="auto"/>
              </w:rPr>
            </w:pPr>
            <w:r>
              <w:rPr>
                <w:color w:val="auto"/>
              </w:rPr>
              <w:t>Bežné príjmy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right"/>
              <w:rPr>
                <w:color w:val="auto"/>
              </w:rPr>
            </w:pPr>
            <w:r>
              <w:rPr>
                <w:color w:val="auto"/>
              </w:rPr>
              <w:t>127.880,00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right"/>
              <w:rPr>
                <w:color w:val="auto"/>
              </w:rPr>
            </w:pPr>
            <w:r>
              <w:rPr>
                <w:color w:val="auto"/>
              </w:rPr>
              <w:t>140.284,00</w:t>
            </w:r>
          </w:p>
        </w:tc>
      </w:tr>
      <w:tr>
        <w:trPr/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rPr>
                <w:color w:val="auto"/>
              </w:rPr>
            </w:pPr>
            <w:r>
              <w:rPr>
                <w:color w:val="auto"/>
              </w:rPr>
              <w:t>Kapitálové príjmy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right"/>
              <w:rPr>
                <w:color w:val="auto"/>
              </w:rPr>
            </w:pPr>
            <w:r>
              <w:rPr>
                <w:color w:val="auto"/>
              </w:rPr>
              <w:t>0,00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color w:val="auto"/>
              </w:rPr>
            </w:pPr>
            <w:r>
              <w:rPr>
                <w:color w:val="auto"/>
              </w:rPr>
              <w:t>194.446,00</w:t>
            </w:r>
          </w:p>
        </w:tc>
      </w:tr>
      <w:tr>
        <w:trPr/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rPr>
                <w:color w:val="auto"/>
              </w:rPr>
            </w:pPr>
            <w:r>
              <w:rPr>
                <w:color w:val="auto"/>
              </w:rPr>
              <w:t>Finančné príjmy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right"/>
              <w:rPr>
                <w:color w:val="auto"/>
              </w:rPr>
            </w:pPr>
            <w:r>
              <w:rPr>
                <w:color w:val="auto"/>
              </w:rPr>
              <w:t>38.900,00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right"/>
              <w:rPr>
                <w:color w:val="auto"/>
              </w:rPr>
            </w:pPr>
            <w:r>
              <w:rPr>
                <w:color w:val="auto"/>
              </w:rPr>
              <w:t>76.565,00</w:t>
            </w:r>
          </w:p>
        </w:tc>
      </w:tr>
      <w:tr>
        <w:trPr/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C4BC96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rPr>
                <w:b/>
                <w:color w:val="auto"/>
              </w:rPr>
            </w:pPr>
            <w:r>
              <w:rPr>
                <w:b/>
                <w:color w:val="auto"/>
              </w:rPr>
              <w:t>Výdavky celkom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C4BC96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right"/>
              <w:rPr>
                <w:b/>
                <w:color w:val="auto"/>
              </w:rPr>
            </w:pPr>
            <w:r>
              <w:rPr>
                <w:b/>
                <w:color w:val="auto"/>
              </w:rPr>
              <w:t>166.780,00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4BC96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right"/>
              <w:rPr>
                <w:b/>
                <w:color w:val="auto"/>
              </w:rPr>
            </w:pPr>
            <w:r>
              <w:rPr>
                <w:b/>
                <w:color w:val="auto"/>
              </w:rPr>
              <w:t>411.295,00</w:t>
            </w:r>
          </w:p>
        </w:tc>
      </w:tr>
      <w:tr>
        <w:trPr/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rPr>
                <w:color w:val="auto"/>
              </w:rPr>
            </w:pPr>
            <w:r>
              <w:rPr>
                <w:color w:val="auto"/>
              </w:rPr>
              <w:t>z toho 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snapToGrid w:val="false"/>
              <w:jc w:val="right"/>
              <w:rPr>
                <w:b/>
                <w:color w:val="auto"/>
              </w:rPr>
            </w:pPr>
            <w:r>
              <w:rPr>
                <w:b/>
                <w:color w:val="auto"/>
              </w:rPr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snapToGrid w:val="false"/>
              <w:jc w:val="right"/>
              <w:rPr>
                <w:b/>
                <w:color w:val="auto"/>
              </w:rPr>
            </w:pPr>
            <w:r>
              <w:rPr>
                <w:b/>
                <w:color w:val="auto"/>
              </w:rPr>
            </w:r>
          </w:p>
        </w:tc>
      </w:tr>
      <w:tr>
        <w:trPr/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rPr>
                <w:color w:val="auto"/>
              </w:rPr>
            </w:pPr>
            <w:r>
              <w:rPr>
                <w:color w:val="auto"/>
              </w:rPr>
              <w:t>Bežné výdavky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right"/>
              <w:rPr>
                <w:color w:val="auto"/>
              </w:rPr>
            </w:pPr>
            <w:r>
              <w:rPr>
                <w:color w:val="auto"/>
              </w:rPr>
              <w:t>127.880,00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right"/>
              <w:rPr>
                <w:color w:val="auto"/>
              </w:rPr>
            </w:pPr>
            <w:r>
              <w:rPr>
                <w:color w:val="auto"/>
              </w:rPr>
              <w:t>139.159,00</w:t>
            </w:r>
          </w:p>
        </w:tc>
      </w:tr>
      <w:tr>
        <w:trPr/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rPr>
                <w:color w:val="auto"/>
              </w:rPr>
            </w:pPr>
            <w:r>
              <w:rPr>
                <w:color w:val="auto"/>
              </w:rPr>
              <w:t>Kapitálové výdavky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right"/>
              <w:rPr>
                <w:color w:val="auto"/>
              </w:rPr>
            </w:pPr>
            <w:r>
              <w:rPr>
                <w:color w:val="auto"/>
              </w:rPr>
              <w:t>38.900,00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right"/>
              <w:rPr>
                <w:color w:val="auto"/>
              </w:rPr>
            </w:pPr>
            <w:r>
              <w:rPr>
                <w:color w:val="auto"/>
              </w:rPr>
              <w:t>78.800,00</w:t>
            </w:r>
          </w:p>
        </w:tc>
      </w:tr>
      <w:tr>
        <w:trPr/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rPr>
                <w:color w:val="auto"/>
              </w:rPr>
            </w:pPr>
            <w:r>
              <w:rPr>
                <w:color w:val="auto"/>
              </w:rPr>
              <w:t>Finančné výdavky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right"/>
              <w:rPr>
                <w:color w:val="auto"/>
              </w:rPr>
            </w:pPr>
            <w:r>
              <w:rPr>
                <w:color w:val="auto"/>
              </w:rPr>
              <w:t>0,00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right"/>
              <w:rPr>
                <w:color w:val="auto"/>
              </w:rPr>
            </w:pPr>
            <w:r>
              <w:rPr>
                <w:color w:val="auto"/>
              </w:rPr>
              <w:t>193.336,00</w:t>
            </w:r>
          </w:p>
        </w:tc>
      </w:tr>
      <w:tr>
        <w:trPr>
          <w:trHeight w:val="313" w:hRule="atLeast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C4BC96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rPr>
                <w:b/>
                <w:color w:val="auto"/>
              </w:rPr>
            </w:pPr>
            <w:r>
              <w:rPr>
                <w:b/>
                <w:color w:val="auto"/>
              </w:rPr>
              <w:t>Rozpočet obce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C4BC96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snapToGrid w:val="false"/>
              <w:jc w:val="right"/>
              <w:rPr>
                <w:b/>
                <w:color w:val="auto"/>
              </w:rPr>
            </w:pPr>
            <w:r>
              <w:rPr>
                <w:b/>
                <w:color w:val="auto"/>
              </w:rPr>
              <w:t>0,00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4BC96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snapToGrid w:val="false"/>
              <w:jc w:val="right"/>
              <w:rPr>
                <w:b/>
                <w:color w:val="auto"/>
              </w:rPr>
            </w:pPr>
            <w:r>
              <w:rPr>
                <w:b/>
                <w:color w:val="auto"/>
              </w:rPr>
              <w:t>0,00</w:t>
            </w:r>
          </w:p>
        </w:tc>
      </w:tr>
    </w:tbl>
    <w:p>
      <w:pPr>
        <w:pStyle w:val="Normal"/>
        <w:jc w:val="both"/>
        <w:rPr>
          <w:b/>
          <w:color w:val="auto"/>
        </w:rPr>
      </w:pPr>
      <w:r>
        <w:rPr>
          <w:b/>
          <w:color w:val="auto"/>
        </w:rPr>
      </w:r>
    </w:p>
    <w:p>
      <w:pPr>
        <w:pStyle w:val="Bezmezer"/>
        <w:jc w:val="both"/>
        <w:rPr>
          <w:rFonts w:ascii="Times New Roman" w:hAnsi="Times New Roman"/>
          <w:b/>
          <w:i/>
          <w:i/>
          <w:color w:val="CE181E"/>
          <w:lang w:val="sk-SK"/>
        </w:rPr>
      </w:pPr>
      <w:r>
        <w:rPr>
          <w:rFonts w:ascii="Times New Roman" w:hAnsi="Times New Roman"/>
          <w:b/>
          <w:i/>
          <w:color w:val="CE181E"/>
          <w:lang w:val="sk-SK"/>
        </w:rPr>
      </w:r>
    </w:p>
    <w:p>
      <w:pPr>
        <w:pStyle w:val="Bezmezer"/>
        <w:jc w:val="both"/>
        <w:rPr>
          <w:rFonts w:ascii="Times New Roman" w:hAnsi="Times New Roman"/>
          <w:b/>
          <w:i/>
          <w:i/>
          <w:color w:val="CE181E"/>
          <w:lang w:val="sk-SK"/>
        </w:rPr>
      </w:pPr>
      <w:r>
        <w:rPr>
          <w:rFonts w:ascii="Times New Roman" w:hAnsi="Times New Roman"/>
          <w:b/>
          <w:i/>
          <w:color w:val="CE181E"/>
          <w:lang w:val="sk-SK"/>
        </w:rPr>
      </w:r>
    </w:p>
    <w:p>
      <w:pPr>
        <w:pStyle w:val="Bezmezer"/>
        <w:jc w:val="both"/>
        <w:rPr>
          <w:rFonts w:ascii="Times New Roman" w:hAnsi="Times New Roman"/>
          <w:b/>
          <w:i/>
          <w:i/>
          <w:color w:val="CE181E"/>
          <w:lang w:val="sk-SK"/>
        </w:rPr>
      </w:pPr>
      <w:r>
        <w:rPr>
          <w:rFonts w:ascii="Times New Roman" w:hAnsi="Times New Roman"/>
          <w:b/>
          <w:i/>
          <w:color w:val="CE181E"/>
          <w:lang w:val="sk-SK"/>
        </w:rPr>
      </w:r>
    </w:p>
    <w:p>
      <w:pPr>
        <w:pStyle w:val="Bezmezer"/>
        <w:jc w:val="both"/>
        <w:rPr>
          <w:rFonts w:ascii="Times New Roman" w:hAnsi="Times New Roman"/>
          <w:b/>
          <w:i/>
          <w:i/>
          <w:color w:val="CE181E"/>
          <w:lang w:val="sk-SK"/>
        </w:rPr>
      </w:pPr>
      <w:r>
        <w:rPr>
          <w:rFonts w:ascii="Times New Roman" w:hAnsi="Times New Roman"/>
          <w:b/>
          <w:i/>
          <w:color w:val="CE181E"/>
          <w:lang w:val="sk-SK"/>
        </w:rPr>
      </w:r>
    </w:p>
    <w:p>
      <w:pPr>
        <w:pStyle w:val="Bezmezer"/>
        <w:jc w:val="both"/>
        <w:rPr>
          <w:rFonts w:ascii="Times New Roman" w:hAnsi="Times New Roman"/>
          <w:b/>
          <w:i/>
          <w:i/>
          <w:color w:val="CE181E"/>
          <w:lang w:val="sk-SK"/>
        </w:rPr>
      </w:pPr>
      <w:r>
        <w:rPr>
          <w:rFonts w:ascii="Times New Roman" w:hAnsi="Times New Roman"/>
          <w:b/>
          <w:i/>
          <w:color w:val="CE181E"/>
          <w:lang w:val="sk-SK"/>
        </w:rPr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b/>
          <w:i/>
          <w:color w:val="auto"/>
          <w:sz w:val="24"/>
          <w:szCs w:val="24"/>
          <w:lang w:val="sk-SK"/>
        </w:rPr>
        <w:t>7.1. Plnenie príjmov a čerpanie výdavkov k 31. 12. 202</w:t>
      </w:r>
      <w:r>
        <w:rPr>
          <w:rFonts w:ascii="Times New Roman" w:hAnsi="Times New Roman"/>
          <w:b/>
          <w:i/>
          <w:color w:val="auto"/>
          <w:sz w:val="24"/>
          <w:szCs w:val="24"/>
          <w:lang w:val="sk-SK"/>
        </w:rPr>
        <w:t>3</w:t>
      </w:r>
      <w:r>
        <w:rPr>
          <w:rFonts w:ascii="Times New Roman" w:hAnsi="Times New Roman"/>
          <w:b/>
          <w:i/>
          <w:color w:val="auto"/>
          <w:sz w:val="24"/>
          <w:szCs w:val="24"/>
          <w:lang w:val="sk-SK"/>
        </w:rPr>
        <w:t xml:space="preserve"> v  eurách:</w:t>
      </w:r>
    </w:p>
    <w:p>
      <w:pPr>
        <w:pStyle w:val="Bezmezer"/>
        <w:jc w:val="both"/>
        <w:rPr>
          <w:color w:val="CE181E"/>
        </w:rPr>
      </w:pPr>
      <w:r>
        <w:rPr/>
      </w:r>
    </w:p>
    <w:p>
      <w:pPr>
        <w:pStyle w:val="Normal"/>
        <w:jc w:val="both"/>
        <w:rPr>
          <w:color w:val="auto"/>
        </w:rPr>
      </w:pPr>
      <w:r>
        <w:rPr>
          <w:color w:val="auto"/>
        </w:rPr>
      </w:r>
    </w:p>
    <w:tbl>
      <w:tblPr>
        <w:tblW w:w="942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59"/>
        <w:gridCol w:w="3812"/>
        <w:gridCol w:w="2151"/>
      </w:tblGrid>
      <w:tr>
        <w:trPr>
          <w:trHeight w:val="120" w:hRule="atLeast"/>
        </w:trPr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Rozpočet upravený na rok 2023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Skutočnosť k  31.12.2023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% plnenia</w:t>
            </w:r>
          </w:p>
        </w:tc>
      </w:tr>
      <w:tr>
        <w:trPr>
          <w:trHeight w:val="224" w:hRule="atLeast"/>
        </w:trPr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411.295,00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402.434,99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97,85</w:t>
            </w:r>
          </w:p>
        </w:tc>
      </w:tr>
    </w:tbl>
    <w:p>
      <w:pPr>
        <w:pStyle w:val="Normal"/>
        <w:rPr>
          <w:color w:val="auto"/>
        </w:rPr>
      </w:pPr>
      <w:r>
        <w:rPr>
          <w:color w:val="auto"/>
        </w:rPr>
      </w:r>
    </w:p>
    <w:p>
      <w:pPr>
        <w:pStyle w:val="Normal"/>
        <w:rPr/>
      </w:pPr>
      <w:r>
        <w:rPr>
          <w:color w:val="auto"/>
        </w:rPr>
        <w:tab/>
      </w:r>
      <w:bookmarkStart w:id="0" w:name="OLE_LINK61"/>
      <w:bookmarkStart w:id="1" w:name="OLE_LINK71"/>
      <w:bookmarkStart w:id="2" w:name="OLE_LINK81"/>
      <w:bookmarkStart w:id="3" w:name="OLE_LINK6"/>
      <w:bookmarkStart w:id="4" w:name="OLE_LINK7"/>
      <w:bookmarkStart w:id="5" w:name="OLE_LINK8"/>
      <w:r>
        <w:rPr>
          <w:color w:val="auto"/>
        </w:rPr>
        <w:t xml:space="preserve">Z rozpočtovaných celkových príjmov 411.295,00 EUR bol skutočný príjem k 31.12.2023 vo </w:t>
        <w:tab/>
        <w:t>výške 402.434,99 EUR, čo predstavuje plnenie na 97,85%.</w:t>
      </w:r>
      <w:bookmarkEnd w:id="0"/>
      <w:bookmarkEnd w:id="1"/>
      <w:bookmarkEnd w:id="2"/>
      <w:bookmarkEnd w:id="3"/>
      <w:bookmarkEnd w:id="4"/>
      <w:bookmarkEnd w:id="5"/>
    </w:p>
    <w:p>
      <w:pPr>
        <w:pStyle w:val="Normal"/>
        <w:rPr>
          <w:color w:val="C9211E"/>
        </w:rPr>
      </w:pPr>
      <w:r>
        <w:rPr>
          <w:color w:val="C9211E"/>
        </w:rPr>
      </w:r>
    </w:p>
    <w:p>
      <w:pPr>
        <w:pStyle w:val="Normal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2.1.  Bežné príjmy</w:t>
      </w:r>
    </w:p>
    <w:p>
      <w:pPr>
        <w:pStyle w:val="Normal"/>
        <w:rPr>
          <w:color w:val="auto"/>
        </w:rPr>
      </w:pPr>
      <w:r>
        <w:rPr>
          <w:color w:val="auto"/>
        </w:rPr>
      </w:r>
    </w:p>
    <w:tbl>
      <w:tblPr>
        <w:tblW w:w="942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59"/>
        <w:gridCol w:w="3812"/>
        <w:gridCol w:w="2151"/>
      </w:tblGrid>
      <w:tr>
        <w:trPr/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Rozpočet upravený na rok 2023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Skutočnosť k  31.12.2023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% plnenia</w:t>
            </w:r>
          </w:p>
        </w:tc>
      </w:tr>
      <w:tr>
        <w:trPr/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140.284,00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144.639,29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103,10</w:t>
            </w:r>
          </w:p>
        </w:tc>
      </w:tr>
    </w:tbl>
    <w:p>
      <w:pPr>
        <w:pStyle w:val="Normal"/>
        <w:rPr>
          <w:b/>
          <w:bCs/>
          <w:color w:val="C9211E"/>
          <w:sz w:val="28"/>
        </w:rPr>
      </w:pPr>
      <w:r>
        <w:rPr>
          <w:b/>
          <w:bCs/>
          <w:color w:val="C9211E"/>
          <w:sz w:val="28"/>
        </w:rPr>
        <w:t xml:space="preserve">       </w:t>
      </w:r>
    </w:p>
    <w:p>
      <w:pPr>
        <w:pStyle w:val="Normal"/>
        <w:rPr/>
      </w:pPr>
      <w:r>
        <w:rPr>
          <w:b/>
          <w:bCs/>
          <w:color w:val="C9211E"/>
          <w:sz w:val="28"/>
        </w:rPr>
        <w:t xml:space="preserve">   </w:t>
      </w:r>
      <w:r>
        <w:rPr>
          <w:b/>
          <w:bCs/>
          <w:color w:val="C9211E"/>
          <w:sz w:val="28"/>
        </w:rPr>
        <w:tab/>
      </w:r>
      <w:r>
        <w:rPr>
          <w:b/>
          <w:bCs/>
          <w:color w:val="auto"/>
          <w:sz w:val="28"/>
        </w:rPr>
        <w:t>Bežné príjmy – daňové</w:t>
      </w:r>
    </w:p>
    <w:tbl>
      <w:tblPr>
        <w:tblW w:w="9450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512"/>
        <w:gridCol w:w="3829"/>
        <w:gridCol w:w="2109"/>
      </w:tblGrid>
      <w:tr>
        <w:trPr/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Rozpočet upravený na rok 2023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Skutočnosť k 31.12.2023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% plnenia</w:t>
            </w:r>
          </w:p>
        </w:tc>
      </w:tr>
      <w:tr>
        <w:trPr/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128.310,00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134.311,32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104,68</w:t>
            </w:r>
          </w:p>
        </w:tc>
      </w:tr>
    </w:tbl>
    <w:p>
      <w:pPr>
        <w:pStyle w:val="Normal"/>
        <w:rPr>
          <w:color w:val="C9211E"/>
        </w:rPr>
      </w:pPr>
      <w:r>
        <w:rPr>
          <w:color w:val="C9211E"/>
        </w:rPr>
        <w:tab/>
      </w:r>
    </w:p>
    <w:p>
      <w:pPr>
        <w:pStyle w:val="Normal"/>
        <w:rPr/>
      </w:pPr>
      <w:r>
        <w:rPr>
          <w:b/>
          <w:bCs/>
          <w:color w:val="C9211E"/>
        </w:rPr>
        <w:tab/>
      </w:r>
      <w:r>
        <w:rPr>
          <w:b/>
          <w:bCs/>
          <w:color w:val="auto"/>
        </w:rPr>
        <w:t>1. Výnos dane z príjmov poukázaný územnej samospráve</w:t>
      </w:r>
    </w:p>
    <w:p>
      <w:pPr>
        <w:pStyle w:val="Normal"/>
        <w:ind w:firstLine="360" w:right="0"/>
        <w:jc w:val="both"/>
        <w:rPr>
          <w:color w:val="auto"/>
        </w:rPr>
      </w:pPr>
      <w:r>
        <w:rPr>
          <w:color w:val="auto"/>
        </w:rPr>
        <w:tab/>
        <w:t xml:space="preserve">Z predpokladanej finančnej čiastky 52.314,00 EUR  z výnosu dane z príjmov  k 31.12.2023 boli </w:t>
        <w:tab/>
        <w:t xml:space="preserve">poukázané prostriedky zo ŠR vo výške 52.064,25 EUR, čo predstavuje plnenie na 99,52 %. </w:t>
      </w:r>
    </w:p>
    <w:p>
      <w:pPr>
        <w:pStyle w:val="Normal"/>
        <w:rPr>
          <w:color w:val="auto"/>
        </w:rPr>
      </w:pPr>
      <w:r>
        <w:rPr>
          <w:color w:val="auto"/>
        </w:rPr>
      </w:r>
    </w:p>
    <w:p>
      <w:pPr>
        <w:pStyle w:val="Normal"/>
        <w:rPr/>
      </w:pPr>
      <w:r>
        <w:rPr>
          <w:b/>
          <w:bCs/>
          <w:color w:val="C9211E"/>
        </w:rPr>
        <w:tab/>
      </w:r>
      <w:r>
        <w:rPr>
          <w:b/>
          <w:bCs/>
          <w:color w:val="auto"/>
        </w:rPr>
        <w:t>2. Daň z nehnuteľností</w:t>
      </w:r>
    </w:p>
    <w:p>
      <w:pPr>
        <w:pStyle w:val="Normal"/>
        <w:jc w:val="both"/>
        <w:rPr>
          <w:color w:val="auto"/>
        </w:rPr>
      </w:pPr>
      <w:r>
        <w:rPr>
          <w:color w:val="auto"/>
        </w:rPr>
        <w:tab/>
        <w:t xml:space="preserve">Z rozpočtovaných 58.726,00 EUR bol skutočný príjem k 31.12.2023 vo výške 62.341,75 EUR, čo </w:t>
        <w:tab/>
        <w:t xml:space="preserve">je 106,16 % plnenia. Z toho príjem dane z pozemkov vo výške 38.683,21 EUR a dane zo stavieb </w:t>
        <w:tab/>
        <w:t>vo výške 22.658,74 EUR.</w:t>
      </w:r>
    </w:p>
    <w:p>
      <w:pPr>
        <w:pStyle w:val="Normal"/>
        <w:rPr>
          <w:color w:val="C9211E"/>
        </w:rPr>
      </w:pPr>
      <w:r>
        <w:rPr>
          <w:color w:val="C9211E"/>
        </w:rPr>
      </w:r>
    </w:p>
    <w:p>
      <w:pPr>
        <w:pStyle w:val="Normal"/>
        <w:rPr/>
      </w:pPr>
      <w:r>
        <w:rPr>
          <w:b/>
          <w:bCs/>
          <w:color w:val="C9211E"/>
        </w:rPr>
        <w:tab/>
      </w:r>
      <w:r>
        <w:rPr>
          <w:b/>
          <w:bCs/>
          <w:color w:val="auto"/>
        </w:rPr>
        <w:t>3.ostatné miestne dane</w:t>
      </w:r>
    </w:p>
    <w:tbl>
      <w:tblPr>
        <w:tblW w:w="9425" w:type="dxa"/>
        <w:jc w:val="left"/>
        <w:tblInd w:w="395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00"/>
        <w:gridCol w:w="2265"/>
        <w:gridCol w:w="2265"/>
        <w:gridCol w:w="2195"/>
      </w:tblGrid>
      <w:tr>
        <w:trPr>
          <w:trHeight w:val="630" w:hRule="atLeast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color w:val="auto"/>
              </w:rPr>
            </w:pPr>
            <w:r>
              <w:rPr>
                <w:color w:val="auto"/>
              </w:rPr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color w:val="auto"/>
              </w:rPr>
              <w:t xml:space="preserve">           </w:t>
            </w:r>
            <w:r>
              <w:rPr>
                <w:color w:val="auto"/>
              </w:rPr>
              <w:t xml:space="preserve">Rozpočet upravený na rok 2023         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Skutočnosť k 31.12.2023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color w:val="auto"/>
              </w:rPr>
              <w:t xml:space="preserve">              </w:t>
            </w:r>
            <w:r>
              <w:rPr>
                <w:color w:val="auto"/>
              </w:rPr>
              <w:t>% plnenia</w:t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color w:val="auto"/>
              </w:rPr>
            </w:pPr>
            <w:r>
              <w:rPr>
                <w:color w:val="auto"/>
              </w:rPr>
              <w:t>Daň za psa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right"/>
              <w:rPr>
                <w:color w:val="auto"/>
              </w:rPr>
            </w:pPr>
            <w:r>
              <w:rPr>
                <w:color w:val="auto"/>
              </w:rPr>
              <w:t>250,00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right"/>
              <w:rPr>
                <w:color w:val="auto"/>
              </w:rPr>
            </w:pPr>
            <w:r>
              <w:rPr>
                <w:color w:val="auto"/>
              </w:rPr>
              <w:t>233,98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color w:val="auto"/>
              </w:rPr>
            </w:pPr>
            <w:r>
              <w:rPr>
                <w:color w:val="auto"/>
              </w:rPr>
              <w:t>93,59</w:t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color w:val="auto"/>
              </w:rPr>
            </w:pPr>
            <w:r>
              <w:rPr>
                <w:color w:val="auto"/>
              </w:rPr>
              <w:t>Poplatok za TKO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right"/>
              <w:rPr>
                <w:color w:val="auto"/>
              </w:rPr>
            </w:pPr>
            <w:r>
              <w:rPr>
                <w:color w:val="auto"/>
              </w:rPr>
              <w:t>12.100,00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right"/>
              <w:rPr>
                <w:color w:val="auto"/>
              </w:rPr>
            </w:pPr>
            <w:r>
              <w:rPr>
                <w:color w:val="auto"/>
              </w:rPr>
              <w:t>12.441,82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color w:val="auto"/>
              </w:rPr>
            </w:pPr>
            <w:r>
              <w:rPr>
                <w:color w:val="auto"/>
              </w:rPr>
              <w:t>102,82</w:t>
            </w:r>
          </w:p>
        </w:tc>
      </w:tr>
      <w:tr>
        <w:trPr/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left"/>
              <w:rPr>
                <w:color w:val="auto"/>
              </w:rPr>
            </w:pPr>
            <w:r>
              <w:rPr>
                <w:color w:val="auto"/>
              </w:rPr>
              <w:t>Daň za ubytovanie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right"/>
              <w:rPr>
                <w:color w:val="auto"/>
              </w:rPr>
            </w:pPr>
            <w:r>
              <w:rPr>
                <w:color w:val="auto"/>
              </w:rPr>
              <w:t>7.000,00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right"/>
              <w:rPr>
                <w:color w:val="auto"/>
              </w:rPr>
            </w:pPr>
            <w:r>
              <w:rPr>
                <w:color w:val="auto"/>
              </w:rPr>
              <w:t>8.881,50</w:t>
            </w:r>
          </w:p>
        </w:tc>
        <w:tc>
          <w:tcPr>
            <w:tcW w:w="21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color w:val="auto"/>
              </w:rPr>
            </w:pPr>
            <w:r>
              <w:rPr>
                <w:color w:val="auto"/>
              </w:rPr>
              <w:t>126,88</w:t>
            </w:r>
          </w:p>
        </w:tc>
      </w:tr>
    </w:tbl>
    <w:p>
      <w:pPr>
        <w:pStyle w:val="Normal"/>
        <w:rPr>
          <w:bCs/>
          <w:color w:val="000000"/>
          <w:shd w:fill="C0C0C0" w:val="clear"/>
        </w:rPr>
      </w:pPr>
      <w:r>
        <w:rPr>
          <w:bCs/>
          <w:color w:val="000000"/>
          <w:shd w:fill="C0C0C0" w:val="clear"/>
        </w:rPr>
      </w:r>
    </w:p>
    <w:p>
      <w:pPr>
        <w:pStyle w:val="Normal"/>
        <w:rPr/>
      </w:pPr>
      <w:r>
        <w:rPr>
          <w:bCs/>
          <w:color w:val="C9211E"/>
        </w:rPr>
        <w:t xml:space="preserve">        </w:t>
      </w:r>
      <w:r>
        <w:rPr>
          <w:bCs/>
          <w:color w:val="auto"/>
        </w:rPr>
        <w:t xml:space="preserve"> </w:t>
      </w:r>
      <w:r>
        <w:rPr>
          <w:b/>
          <w:bCs/>
          <w:color w:val="auto"/>
          <w:sz w:val="28"/>
          <w:szCs w:val="28"/>
        </w:rPr>
        <w:t xml:space="preserve"> </w:t>
      </w:r>
      <w:r>
        <w:rPr>
          <w:b/>
          <w:bCs/>
          <w:color w:val="auto"/>
          <w:sz w:val="28"/>
          <w:szCs w:val="28"/>
        </w:rPr>
        <w:t>Bežné príjmy – nedaňové</w:t>
      </w:r>
    </w:p>
    <w:tbl>
      <w:tblPr>
        <w:tblW w:w="9441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59"/>
        <w:gridCol w:w="3741"/>
        <w:gridCol w:w="2241"/>
      </w:tblGrid>
      <w:tr>
        <w:trPr>
          <w:trHeight w:val="247" w:hRule="atLeast"/>
        </w:trPr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Rozpočet upravený na rok 2023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Skutočnosť k  31.12.2023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% plnenia</w:t>
            </w:r>
          </w:p>
        </w:tc>
      </w:tr>
      <w:tr>
        <w:trPr>
          <w:trHeight w:val="344" w:hRule="atLeast"/>
        </w:trPr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6.971,00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5.337,01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76,56</w:t>
            </w:r>
          </w:p>
        </w:tc>
      </w:tr>
    </w:tbl>
    <w:p>
      <w:pPr>
        <w:pStyle w:val="Normal"/>
        <w:rPr>
          <w:color w:val="auto"/>
        </w:rPr>
      </w:pPr>
      <w:r>
        <w:rPr>
          <w:color w:val="auto"/>
        </w:rPr>
      </w:r>
    </w:p>
    <w:p>
      <w:pPr>
        <w:pStyle w:val="Normal"/>
        <w:rPr/>
      </w:pPr>
      <w:r>
        <w:rPr>
          <w:b/>
          <w:bCs/>
          <w:color w:val="C9211E"/>
        </w:rPr>
        <w:tab/>
      </w:r>
      <w:r>
        <w:rPr>
          <w:b/>
          <w:bCs/>
          <w:color w:val="auto"/>
        </w:rPr>
        <w:t>1. Príjmy z podnikania a z vlastníckeho majetku</w:t>
      </w:r>
    </w:p>
    <w:p>
      <w:pPr>
        <w:pStyle w:val="Normal"/>
        <w:tabs>
          <w:tab w:val="clear" w:pos="708"/>
          <w:tab w:val="left" w:pos="382" w:leader="none"/>
        </w:tabs>
        <w:ind w:firstLine="360" w:right="0"/>
        <w:jc w:val="both"/>
        <w:rPr/>
      </w:pPr>
      <w:r>
        <w:rPr>
          <w:b/>
          <w:bCs/>
          <w:color w:val="auto"/>
        </w:rPr>
        <w:tab/>
        <w:tab/>
      </w:r>
      <w:r>
        <w:rPr>
          <w:color w:val="auto"/>
        </w:rPr>
        <w:t xml:space="preserve">Z rozpočtovaných 2.830,000 EUR bol skutočný príjem k 31.12.2023 vo výške 1.729,30 EUR, čo </w:t>
        <w:tab/>
        <w:tab/>
        <w:t xml:space="preserve">predstavuje plnenie na 61,11 %. V uvedených príjmoch sú zahrnuté príjmy z prenájmu budov, </w:t>
        <w:tab/>
        <w:tab/>
        <w:tab/>
        <w:t>priestorov a objektov vo výške 939,30 EUR.</w:t>
      </w:r>
    </w:p>
    <w:p>
      <w:pPr>
        <w:pStyle w:val="Normal"/>
        <w:rPr/>
      </w:pPr>
      <w:r>
        <w:rPr>
          <w:b/>
          <w:bCs/>
          <w:color w:val="C9211E"/>
        </w:rPr>
        <w:tab/>
      </w:r>
      <w:r>
        <w:rPr>
          <w:b/>
          <w:bCs/>
          <w:color w:val="auto"/>
        </w:rPr>
        <w:t>2. Administratívne - správne poplatky a iné  poplatky:</w:t>
      </w:r>
    </w:p>
    <w:p>
      <w:pPr>
        <w:pStyle w:val="Normal"/>
        <w:tabs>
          <w:tab w:val="clear" w:pos="708"/>
          <w:tab w:val="left" w:pos="382" w:leader="none"/>
        </w:tabs>
        <w:ind w:firstLine="360" w:right="0"/>
        <w:jc w:val="both"/>
        <w:rPr>
          <w:color w:val="auto"/>
        </w:rPr>
      </w:pPr>
      <w:r>
        <w:rPr>
          <w:color w:val="auto"/>
        </w:rPr>
        <w:tab/>
        <w:tab/>
        <w:t xml:space="preserve">Z rozpočtovaných 2.770,00 EUR bol skutočný príjem k 31.12.2023 vo výške 1.934,20 EUR, čo </w:t>
        <w:tab/>
        <w:tab/>
        <w:tab/>
        <w:t>predstavuje plnenie na 69,83%.</w:t>
      </w:r>
    </w:p>
    <w:p>
      <w:pPr>
        <w:pStyle w:val="Normal"/>
        <w:jc w:val="both"/>
        <w:rPr/>
      </w:pPr>
      <w:r>
        <w:rPr>
          <w:b/>
          <w:bCs/>
          <w:color w:val="C9211E"/>
        </w:rPr>
        <w:tab/>
      </w:r>
    </w:p>
    <w:p>
      <w:pPr>
        <w:pStyle w:val="Normal"/>
        <w:jc w:val="both"/>
        <w:rPr>
          <w:b/>
          <w:bCs/>
          <w:color w:val="C9211E"/>
        </w:rPr>
      </w:pPr>
      <w:r>
        <w:rPr/>
      </w:r>
    </w:p>
    <w:p>
      <w:pPr>
        <w:pStyle w:val="Normal"/>
        <w:jc w:val="both"/>
        <w:rPr/>
      </w:pPr>
      <w:r>
        <w:rPr>
          <w:b/>
          <w:bCs/>
          <w:color w:val="C9211E"/>
        </w:rPr>
        <w:tab/>
      </w:r>
      <w:r>
        <w:rPr>
          <w:b/>
          <w:bCs/>
          <w:color w:val="auto"/>
        </w:rPr>
        <w:t>3. Príjmy z dobropisov a vratiek</w:t>
      </w:r>
    </w:p>
    <w:p>
      <w:pPr>
        <w:pStyle w:val="Normal"/>
        <w:ind w:firstLine="360" w:right="0"/>
        <w:jc w:val="both"/>
        <w:rPr/>
      </w:pPr>
      <w:r>
        <w:rPr>
          <w:color w:val="auto"/>
        </w:rPr>
        <w:t xml:space="preserve">  </w:t>
      </w:r>
      <w:r>
        <w:rPr>
          <w:color w:val="auto"/>
        </w:rPr>
        <w:tab/>
        <w:t xml:space="preserve">Z rozpočtovaných 1.371,00 EUR bol skutočný príjem k 31.12.2023 vo výške 1.673,51 EUR, čo </w:t>
        <w:tab/>
        <w:t>predstavuje plnenie na 122,06 %</w:t>
      </w:r>
    </w:p>
    <w:p>
      <w:pPr>
        <w:pStyle w:val="Normal"/>
        <w:jc w:val="both"/>
        <w:rPr>
          <w:color w:val="C9211E"/>
        </w:rPr>
      </w:pPr>
      <w:r>
        <w:rPr>
          <w:color w:val="C9211E"/>
        </w:rPr>
      </w:r>
    </w:p>
    <w:p>
      <w:pPr>
        <w:pStyle w:val="Normal"/>
        <w:ind w:firstLine="360" w:right="0"/>
        <w:jc w:val="both"/>
        <w:rPr/>
      </w:pPr>
      <w:r>
        <w:rPr>
          <w:b/>
          <w:bCs/>
          <w:color w:val="C9211E"/>
          <w:sz w:val="28"/>
          <w:szCs w:val="28"/>
        </w:rPr>
        <w:t xml:space="preserve">     </w:t>
      </w:r>
      <w:r>
        <w:rPr>
          <w:b/>
          <w:bCs/>
          <w:color w:val="auto"/>
          <w:sz w:val="28"/>
          <w:szCs w:val="28"/>
        </w:rPr>
        <w:t>Granty a transfery</w:t>
      </w:r>
    </w:p>
    <w:tbl>
      <w:tblPr>
        <w:tblW w:w="9415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59"/>
        <w:gridCol w:w="3847"/>
        <w:gridCol w:w="2109"/>
      </w:tblGrid>
      <w:tr>
        <w:trPr/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Rozpočet upravený na rok 2023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Skutočnosť k  31.12.2023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% plnenia</w:t>
            </w:r>
          </w:p>
        </w:tc>
      </w:tr>
      <w:tr>
        <w:trPr>
          <w:trHeight w:val="310" w:hRule="atLeast"/>
        </w:trPr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5.003,00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4.990,96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99,76</w:t>
            </w:r>
          </w:p>
        </w:tc>
      </w:tr>
    </w:tbl>
    <w:p>
      <w:pPr>
        <w:pStyle w:val="Normal"/>
        <w:jc w:val="both"/>
        <w:rPr>
          <w:color w:val="auto"/>
        </w:rPr>
      </w:pPr>
      <w:r>
        <w:rPr>
          <w:color w:val="auto"/>
        </w:rPr>
      </w:r>
    </w:p>
    <w:p>
      <w:pPr>
        <w:pStyle w:val="Normal"/>
        <w:rPr>
          <w:b/>
          <w:bCs/>
          <w:color w:val="C9211E"/>
        </w:rPr>
      </w:pPr>
      <w:r>
        <w:rPr>
          <w:b/>
          <w:bCs/>
          <w:color w:val="C9211E"/>
        </w:rPr>
        <w:t xml:space="preserve">   </w:t>
      </w:r>
    </w:p>
    <w:p>
      <w:pPr>
        <w:pStyle w:val="Normal"/>
        <w:rPr>
          <w:color w:val="C9211E"/>
        </w:rPr>
      </w:pPr>
      <w:r>
        <w:rPr>
          <w:color w:val="C9211E"/>
        </w:rPr>
      </w:r>
    </w:p>
    <w:p>
      <w:pPr>
        <w:pStyle w:val="Normal"/>
        <w:rPr/>
      </w:pPr>
      <w:r>
        <w:rPr>
          <w:b/>
          <w:bCs/>
          <w:color w:val="C9211E"/>
        </w:rPr>
        <w:t xml:space="preserve"> </w:t>
      </w:r>
      <w:r>
        <w:rPr>
          <w:b/>
          <w:bCs/>
          <w:color w:val="auto"/>
        </w:rPr>
        <w:t xml:space="preserve"> </w:t>
      </w:r>
      <w:r>
        <w:rPr>
          <w:b/>
          <w:bCs/>
          <w:color w:val="auto"/>
        </w:rPr>
        <w:t>Obec prijala nasledovné transfery a granty:</w:t>
      </w:r>
    </w:p>
    <w:p>
      <w:pPr>
        <w:pStyle w:val="Normal"/>
        <w:rPr>
          <w:color w:val="auto"/>
        </w:rPr>
      </w:pPr>
      <w:r>
        <w:rPr>
          <w:color w:val="auto"/>
        </w:rPr>
      </w:r>
    </w:p>
    <w:tbl>
      <w:tblPr>
        <w:tblW w:w="9630" w:type="dxa"/>
        <w:jc w:val="left"/>
        <w:tblInd w:w="8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0"/>
        <w:gridCol w:w="4502"/>
        <w:gridCol w:w="1573"/>
        <w:gridCol w:w="2973"/>
        <w:gridCol w:w="132"/>
      </w:tblGrid>
      <w:tr>
        <w:trPr/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   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color w:val="auto"/>
              </w:rPr>
              <w:t xml:space="preserve">         </w:t>
            </w:r>
            <w:r>
              <w:rPr>
                <w:color w:val="auto"/>
              </w:rPr>
              <w:t xml:space="preserve">Poskytovateľ 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color w:val="auto"/>
              </w:rPr>
              <w:t xml:space="preserve"> </w:t>
            </w:r>
            <w:r>
              <w:rPr>
                <w:color w:val="auto"/>
              </w:rPr>
              <w:t>Suma  v EUR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color w:val="auto"/>
              </w:rPr>
              <w:t xml:space="preserve">      </w:t>
            </w:r>
            <w:r>
              <w:rPr>
                <w:color w:val="auto"/>
              </w:rPr>
              <w:t xml:space="preserve">Účel    </w:t>
            </w:r>
          </w:p>
        </w:tc>
        <w:tc>
          <w:tcPr>
            <w:tcW w:w="132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color w:val="auto"/>
              </w:rPr>
            </w:pPr>
            <w:r>
              <w:rPr>
                <w:color w:val="auto"/>
              </w:rPr>
            </w:r>
          </w:p>
        </w:tc>
      </w:tr>
      <w:tr>
        <w:trPr/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color w:val="auto"/>
              </w:rPr>
            </w:pPr>
            <w:r>
              <w:rPr>
                <w:color w:val="auto"/>
              </w:rPr>
              <w:t>Ministerstvo vnútra SR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right"/>
              <w:rPr>
                <w:color w:val="auto"/>
              </w:rPr>
            </w:pPr>
            <w:r>
              <w:rPr>
                <w:color w:val="auto"/>
              </w:rPr>
              <w:t>76,49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color w:val="auto"/>
              </w:rPr>
            </w:pPr>
            <w:r>
              <w:rPr>
                <w:color w:val="auto"/>
              </w:rPr>
              <w:t>Register obyvateľov a adries</w:t>
            </w:r>
          </w:p>
        </w:tc>
        <w:tc>
          <w:tcPr>
            <w:tcW w:w="132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color w:val="auto"/>
              </w:rPr>
            </w:pPr>
            <w:r>
              <w:rPr>
                <w:color w:val="auto"/>
              </w:rPr>
            </w:r>
          </w:p>
        </w:tc>
      </w:tr>
      <w:tr>
        <w:trPr/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color w:val="auto"/>
              </w:rPr>
            </w:pPr>
            <w:r>
              <w:rPr>
                <w:color w:val="auto"/>
              </w:rPr>
              <w:t>Ministerstvo vnútra SR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1.210,81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left"/>
              <w:rPr>
                <w:color w:val="auto"/>
              </w:rPr>
            </w:pPr>
            <w:r>
              <w:rPr>
                <w:color w:val="auto"/>
              </w:rPr>
              <w:t>Voľby</w:t>
            </w:r>
          </w:p>
        </w:tc>
        <w:tc>
          <w:tcPr>
            <w:tcW w:w="132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color w:val="auto"/>
              </w:rPr>
            </w:pPr>
            <w:r>
              <w:rPr>
                <w:color w:val="auto"/>
              </w:rPr>
            </w:r>
          </w:p>
        </w:tc>
      </w:tr>
      <w:tr>
        <w:trPr/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color w:val="auto"/>
              </w:rPr>
            </w:pPr>
            <w:r>
              <w:rPr>
                <w:color w:val="auto"/>
              </w:rPr>
              <w:t>Okresný úrad Žilina odbor starostlivosti o ŽP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right"/>
              <w:rPr>
                <w:color w:val="auto"/>
              </w:rPr>
            </w:pPr>
            <w:r>
              <w:rPr>
                <w:color w:val="auto"/>
              </w:rPr>
              <w:t>16,93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color w:val="auto"/>
              </w:rPr>
            </w:pPr>
            <w:r>
              <w:rPr>
                <w:color w:val="auto"/>
              </w:rPr>
              <w:t>Životné prostredie</w:t>
            </w:r>
          </w:p>
        </w:tc>
        <w:tc>
          <w:tcPr>
            <w:tcW w:w="132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color w:val="auto"/>
              </w:rPr>
            </w:pPr>
            <w:r>
              <w:rPr>
                <w:color w:val="auto"/>
              </w:rPr>
            </w:r>
          </w:p>
        </w:tc>
      </w:tr>
      <w:tr>
        <w:trPr/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color w:val="auto"/>
              </w:rPr>
            </w:pPr>
            <w:r>
              <w:rPr>
                <w:color w:val="auto"/>
              </w:rPr>
              <w:t>Ostatné granty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color w:val="auto"/>
              </w:rPr>
            </w:pPr>
            <w:r>
              <w:rPr>
                <w:color w:val="auto"/>
              </w:rPr>
              <w:t>500,00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knižnica        </w:t>
            </w:r>
          </w:p>
        </w:tc>
        <w:tc>
          <w:tcPr>
            <w:tcW w:w="132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color w:val="auto"/>
              </w:rPr>
            </w:pPr>
            <w:r>
              <w:rPr>
                <w:color w:val="auto"/>
              </w:rPr>
            </w:r>
          </w:p>
        </w:tc>
      </w:tr>
      <w:tr>
        <w:trPr/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</w:tc>
        <w:tc>
          <w:tcPr>
            <w:tcW w:w="450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color w:val="auto"/>
              </w:rPr>
            </w:pPr>
            <w:r>
              <w:rPr>
                <w:color w:val="auto"/>
              </w:rPr>
              <w:t>Okresný úrad Žilina odbor CD</w:t>
            </w: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color w:val="auto"/>
              </w:rPr>
            </w:pPr>
            <w:r>
              <w:rPr>
                <w:color w:val="auto"/>
              </w:rPr>
              <w:t>6,61</w:t>
            </w:r>
          </w:p>
        </w:tc>
        <w:tc>
          <w:tcPr>
            <w:tcW w:w="297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color w:val="auto"/>
              </w:rPr>
            </w:pPr>
            <w:r>
              <w:rPr>
                <w:color w:val="auto"/>
              </w:rPr>
              <w:t>Cestná doprava</w:t>
            </w:r>
          </w:p>
        </w:tc>
        <w:tc>
          <w:tcPr>
            <w:tcW w:w="132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color w:val="auto"/>
              </w:rPr>
            </w:pPr>
            <w:r>
              <w:rPr>
                <w:color w:val="auto"/>
              </w:rPr>
            </w:r>
          </w:p>
        </w:tc>
      </w:tr>
      <w:tr>
        <w:trPr/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6</w:t>
            </w:r>
          </w:p>
        </w:tc>
        <w:tc>
          <w:tcPr>
            <w:tcW w:w="450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color w:val="auto"/>
              </w:rPr>
            </w:pPr>
            <w:r>
              <w:rPr>
                <w:color w:val="auto"/>
              </w:rPr>
              <w:t>MF SR</w:t>
            </w: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color w:val="auto"/>
              </w:rPr>
            </w:pPr>
            <w:r>
              <w:rPr>
                <w:color w:val="auto"/>
              </w:rPr>
              <w:t>2.948,06</w:t>
            </w:r>
          </w:p>
        </w:tc>
        <w:tc>
          <w:tcPr>
            <w:tcW w:w="297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color w:val="auto"/>
              </w:rPr>
            </w:pPr>
            <w:r>
              <w:rPr>
                <w:color w:val="auto"/>
              </w:rPr>
              <w:t>inflácia</w:t>
            </w:r>
          </w:p>
        </w:tc>
        <w:tc>
          <w:tcPr>
            <w:tcW w:w="132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color w:val="auto"/>
              </w:rPr>
            </w:pPr>
            <w:r>
              <w:rPr>
                <w:color w:val="auto"/>
              </w:rPr>
            </w:r>
          </w:p>
        </w:tc>
      </w:tr>
      <w:tr>
        <w:trPr/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7</w:t>
            </w:r>
          </w:p>
        </w:tc>
        <w:tc>
          <w:tcPr>
            <w:tcW w:w="450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color w:val="auto"/>
              </w:rPr>
            </w:pPr>
            <w:r>
              <w:rPr>
                <w:color w:val="auto"/>
              </w:rPr>
              <w:t>Okresný úrad Žilina odbor stavebný</w:t>
            </w: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color w:val="auto"/>
              </w:rPr>
            </w:pPr>
            <w:r>
              <w:rPr>
                <w:color w:val="auto"/>
              </w:rPr>
              <w:t>232,06</w:t>
            </w:r>
          </w:p>
        </w:tc>
        <w:tc>
          <w:tcPr>
            <w:tcW w:w="297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color w:val="auto"/>
              </w:rPr>
            </w:pPr>
            <w:r>
              <w:rPr>
                <w:color w:val="auto"/>
              </w:rPr>
              <w:t>Stavebný úrad</w:t>
            </w:r>
          </w:p>
        </w:tc>
        <w:tc>
          <w:tcPr>
            <w:tcW w:w="132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color w:val="auto"/>
              </w:rPr>
            </w:pPr>
            <w:r>
              <w:rPr>
                <w:color w:val="auto"/>
              </w:rPr>
            </w:r>
          </w:p>
        </w:tc>
      </w:tr>
    </w:tbl>
    <w:p>
      <w:pPr>
        <w:pStyle w:val="Normal"/>
        <w:tabs>
          <w:tab w:val="clear" w:pos="708"/>
          <w:tab w:val="left" w:pos="450" w:leader="none"/>
        </w:tabs>
        <w:rPr>
          <w:color w:val="auto"/>
        </w:rPr>
      </w:pPr>
      <w:r>
        <w:rPr>
          <w:color w:val="auto"/>
        </w:rPr>
        <w:tab/>
      </w:r>
    </w:p>
    <w:p>
      <w:pPr>
        <w:pStyle w:val="Normal"/>
        <w:tabs>
          <w:tab w:val="clear" w:pos="708"/>
          <w:tab w:val="left" w:pos="450" w:leader="none"/>
        </w:tabs>
        <w:rPr>
          <w:color w:val="auto"/>
        </w:rPr>
      </w:pPr>
      <w:r>
        <w:rPr>
          <w:color w:val="auto"/>
        </w:rPr>
        <w:tab/>
        <w:t>Prijaté transfery boli účelovo viazané a boli  použité v súlade s ich účelom v plnej výške.</w:t>
      </w:r>
    </w:p>
    <w:p>
      <w:pPr>
        <w:pStyle w:val="Normal"/>
        <w:tabs>
          <w:tab w:val="clear" w:pos="708"/>
          <w:tab w:val="left" w:pos="450" w:leader="none"/>
        </w:tabs>
        <w:rPr>
          <w:color w:val="C9211E"/>
        </w:rPr>
      </w:pPr>
      <w:r>
        <w:rPr>
          <w:color w:val="C9211E"/>
        </w:rPr>
      </w:r>
    </w:p>
    <w:p>
      <w:pPr>
        <w:pStyle w:val="Normal"/>
        <w:rPr>
          <w:color w:val="C9211E"/>
          <w:shd w:fill="C0C0C0" w:val="clear"/>
        </w:rPr>
      </w:pPr>
      <w:r>
        <w:rPr>
          <w:color w:val="C9211E"/>
          <w:shd w:fill="C0C0C0" w:val="clear"/>
        </w:rPr>
      </w:r>
    </w:p>
    <w:p>
      <w:pPr>
        <w:pStyle w:val="Normal"/>
        <w:numPr>
          <w:ilvl w:val="1"/>
          <w:numId w:val="5"/>
        </w:numPr>
        <w:rPr>
          <w:color w:val="auto"/>
        </w:rPr>
      </w:pPr>
      <w:r>
        <w:rPr>
          <w:b/>
          <w:bCs/>
          <w:color w:val="auto"/>
          <w:sz w:val="32"/>
          <w:szCs w:val="32"/>
        </w:rPr>
        <w:t>Kapitálové príjmy</w:t>
      </w:r>
    </w:p>
    <w:tbl>
      <w:tblPr>
        <w:tblW w:w="9537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512"/>
        <w:gridCol w:w="3970"/>
        <w:gridCol w:w="2055"/>
      </w:tblGrid>
      <w:tr>
        <w:trPr/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Rozpočet upravený na rok 2023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Skutočnosť k 31.12.2023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% plnenia</w:t>
            </w:r>
          </w:p>
        </w:tc>
      </w:tr>
      <w:tr>
        <w:trPr/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194.446,00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200.035,44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102,87</w:t>
            </w:r>
          </w:p>
        </w:tc>
      </w:tr>
    </w:tbl>
    <w:p>
      <w:pPr>
        <w:pStyle w:val="Normal"/>
        <w:ind w:firstLine="708" w:right="0"/>
        <w:rPr>
          <w:color w:val="auto"/>
        </w:rPr>
      </w:pPr>
      <w:r>
        <w:rPr>
          <w:color w:val="auto"/>
        </w:rPr>
      </w:r>
    </w:p>
    <w:p>
      <w:pPr>
        <w:pStyle w:val="Normal"/>
        <w:tabs>
          <w:tab w:val="clear" w:pos="708"/>
          <w:tab w:val="left" w:pos="450" w:leader="none"/>
        </w:tabs>
        <w:rPr/>
      </w:pPr>
      <w:r>
        <w:rPr>
          <w:color w:val="auto"/>
        </w:rPr>
        <w:tab/>
      </w:r>
      <w:r>
        <w:rPr>
          <w:color w:val="auto"/>
          <w:szCs w:val="28"/>
        </w:rPr>
        <w:t xml:space="preserve">Z rozpočtovaných kapitálových príjmov vo výške 194.446,00 EUR bol skutočný príjem k </w:t>
        <w:tab/>
        <w:t>31.12.2023 v sume 200.035,44 EUR, čo predstavuje plnenie na 102,87%.</w:t>
      </w:r>
    </w:p>
    <w:p>
      <w:pPr>
        <w:pStyle w:val="Normal"/>
        <w:rPr/>
      </w:pPr>
      <w:r>
        <w:rPr>
          <w:b/>
          <w:color w:val="auto"/>
          <w:sz w:val="32"/>
          <w:szCs w:val="28"/>
        </w:rPr>
        <w:tab/>
      </w:r>
      <w:r>
        <w:rPr>
          <w:b w:val="false"/>
          <w:bCs w:val="false"/>
          <w:color w:val="auto"/>
          <w:sz w:val="24"/>
          <w:szCs w:val="24"/>
        </w:rPr>
        <w:t xml:space="preserve">Kapitálové </w:t>
      </w:r>
      <w:r>
        <w:rPr>
          <w:color w:val="auto"/>
        </w:rPr>
        <w:t>príjmy tvorili:</w:t>
      </w:r>
    </w:p>
    <w:p>
      <w:pPr>
        <w:pStyle w:val="Normal"/>
        <w:rPr>
          <w:b w:val="false"/>
          <w:bCs w:val="false"/>
          <w:color w:val="auto"/>
        </w:rPr>
      </w:pPr>
      <w:r>
        <w:rPr>
          <w:b w:val="false"/>
          <w:bCs w:val="false"/>
          <w:color w:val="auto"/>
        </w:rPr>
        <w:t>1. príjem z dotácie KD vykurovanie</w:t>
        <w:tab/>
        <w:tab/>
        <w:tab/>
        <w:tab/>
        <w:t xml:space="preserve">       86.163,56 EUR</w:t>
      </w:r>
    </w:p>
    <w:p>
      <w:pPr>
        <w:pStyle w:val="Normal"/>
        <w:rPr>
          <w:b w:val="false"/>
          <w:bCs w:val="false"/>
          <w:color w:val="auto"/>
        </w:rPr>
      </w:pPr>
      <w:r>
        <w:rPr>
          <w:b w:val="false"/>
          <w:bCs w:val="false"/>
          <w:color w:val="auto"/>
        </w:rPr>
        <w:t>2. príjem z dotácie zateplenie</w:t>
        <w:tab/>
        <w:tab/>
        <w:tab/>
        <w:tab/>
        <w:t xml:space="preserve">                   96.371,88 EUR</w:t>
      </w:r>
    </w:p>
    <w:p>
      <w:pPr>
        <w:pStyle w:val="Normal"/>
        <w:rPr>
          <w:b w:val="false"/>
          <w:bCs w:val="false"/>
          <w:color w:val="auto"/>
        </w:rPr>
      </w:pPr>
      <w:r>
        <w:rPr>
          <w:b w:val="false"/>
          <w:bCs w:val="false"/>
          <w:color w:val="auto"/>
        </w:rPr>
        <w:t>3. predaj V3S</w:t>
        <w:tab/>
        <w:tab/>
        <w:tab/>
        <w:tab/>
        <w:tab/>
        <w:tab/>
        <w:tab/>
        <w:t xml:space="preserve">         8.500,00 EUR</w:t>
      </w:r>
    </w:p>
    <w:p>
      <w:pPr>
        <w:pStyle w:val="Normal"/>
        <w:tabs>
          <w:tab w:val="clear" w:pos="708"/>
          <w:tab w:val="left" w:pos="450" w:leader="none"/>
        </w:tabs>
        <w:rPr>
          <w:b w:val="false"/>
          <w:bCs w:val="false"/>
          <w:color w:val="auto"/>
        </w:rPr>
      </w:pPr>
      <w:r>
        <w:rPr>
          <w:b w:val="false"/>
          <w:bCs w:val="false"/>
          <w:color w:val="auto"/>
        </w:rPr>
        <w:tab/>
        <w:tab/>
      </w:r>
    </w:p>
    <w:p>
      <w:pPr>
        <w:pStyle w:val="Normal"/>
        <w:rPr>
          <w:color w:val="C9211E"/>
        </w:rPr>
      </w:pPr>
      <w:r>
        <w:rPr>
          <w:color w:val="C9211E"/>
        </w:rPr>
      </w:r>
    </w:p>
    <w:p>
      <w:pPr>
        <w:pStyle w:val="Normal"/>
        <w:rPr>
          <w:b/>
          <w:color w:val="C9211E"/>
        </w:rPr>
      </w:pPr>
      <w:r>
        <w:rPr>
          <w:b/>
          <w:color w:val="C9211E"/>
        </w:rPr>
        <w:tab/>
      </w:r>
    </w:p>
    <w:p>
      <w:pPr>
        <w:pStyle w:val="Normal"/>
        <w:numPr>
          <w:ilvl w:val="1"/>
          <w:numId w:val="6"/>
        </w:numPr>
        <w:rPr>
          <w:color w:val="auto"/>
        </w:rPr>
      </w:pPr>
      <w:r>
        <w:rPr>
          <w:b/>
          <w:color w:val="auto"/>
          <w:sz w:val="32"/>
        </w:rPr>
        <w:t xml:space="preserve">  </w:t>
      </w:r>
      <w:r>
        <w:rPr>
          <w:b/>
          <w:color w:val="auto"/>
          <w:sz w:val="32"/>
        </w:rPr>
        <w:t>Príjmové finančné operácie</w:t>
      </w:r>
    </w:p>
    <w:tbl>
      <w:tblPr>
        <w:tblW w:w="9614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582"/>
        <w:gridCol w:w="3883"/>
        <w:gridCol w:w="2149"/>
      </w:tblGrid>
      <w:tr>
        <w:trPr>
          <w:trHeight w:val="212" w:hRule="atLeast"/>
        </w:trPr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Rozpočet upravený na rok 2023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Skutočnosť k  31.12.2023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% plnenia</w:t>
            </w:r>
          </w:p>
        </w:tc>
      </w:tr>
      <w:tr>
        <w:trPr/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76.565,00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57.760,26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75,44</w:t>
            </w:r>
          </w:p>
        </w:tc>
      </w:tr>
    </w:tbl>
    <w:p>
      <w:pPr>
        <w:pStyle w:val="Normal"/>
        <w:rPr>
          <w:b/>
          <w:color w:val="C9211E"/>
          <w:sz w:val="32"/>
          <w:szCs w:val="28"/>
        </w:rPr>
      </w:pPr>
      <w:r>
        <w:rPr>
          <w:b/>
          <w:color w:val="C9211E"/>
          <w:sz w:val="32"/>
          <w:szCs w:val="28"/>
        </w:rPr>
        <w:tab/>
      </w:r>
    </w:p>
    <w:p>
      <w:pPr>
        <w:pStyle w:val="Normal"/>
        <w:rPr/>
      </w:pPr>
      <w:r>
        <w:rPr>
          <w:color w:val="C9211E"/>
          <w:szCs w:val="28"/>
        </w:rPr>
        <w:tab/>
      </w:r>
      <w:r>
        <w:rPr>
          <w:color w:val="auto"/>
          <w:szCs w:val="28"/>
        </w:rPr>
        <w:t xml:space="preserve">Z rozpočtovaných finančných príjmov vo výške 76.565,00 EUR bol skutočný príjem k </w:t>
        <w:tab/>
        <w:t>31.12.2023 v sume 57.760,26 EUR, čo predstavuje plnenie na 75,44%.</w:t>
      </w:r>
    </w:p>
    <w:p>
      <w:pPr>
        <w:pStyle w:val="Normal"/>
        <w:rPr/>
      </w:pPr>
      <w:r>
        <w:rPr>
          <w:b/>
          <w:color w:val="auto"/>
          <w:sz w:val="32"/>
          <w:szCs w:val="28"/>
        </w:rPr>
        <w:tab/>
      </w:r>
      <w:r>
        <w:rPr>
          <w:color w:val="auto"/>
        </w:rPr>
        <w:t>Finančné príjmy tvorili:</w:t>
      </w:r>
    </w:p>
    <w:p>
      <w:pPr>
        <w:pStyle w:val="Normal"/>
        <w:rPr/>
      </w:pPr>
      <w:r>
        <w:rPr>
          <w:b/>
          <w:bCs/>
          <w:color w:val="auto"/>
        </w:rPr>
        <w:tab/>
      </w:r>
      <w:r>
        <w:rPr>
          <w:b w:val="false"/>
          <w:bCs w:val="false"/>
          <w:color w:val="auto"/>
        </w:rPr>
        <w:t>1. príjem z rezervného fondu</w:t>
        <w:tab/>
        <w:tab/>
        <w:tab/>
        <w:tab/>
        <w:t xml:space="preserve">      44.942,64  EUR </w:t>
      </w:r>
    </w:p>
    <w:p>
      <w:pPr>
        <w:pStyle w:val="Normal"/>
        <w:rPr>
          <w:b w:val="false"/>
          <w:bCs w:val="false"/>
          <w:color w:val="auto"/>
        </w:rPr>
      </w:pPr>
      <w:r>
        <w:rPr>
          <w:b w:val="false"/>
          <w:bCs w:val="false"/>
          <w:color w:val="auto"/>
        </w:rPr>
        <w:tab/>
        <w:t>2. zostatok prostriedkov Referendum 2022</w:t>
        <w:tab/>
        <w:tab/>
        <w:t xml:space="preserve">           674,57  EUR</w:t>
      </w:r>
    </w:p>
    <w:p>
      <w:pPr>
        <w:pStyle w:val="Normal"/>
        <w:rPr>
          <w:b w:val="false"/>
          <w:bCs w:val="false"/>
          <w:color w:val="auto"/>
        </w:rPr>
      </w:pPr>
      <w:r>
        <w:rPr>
          <w:b w:val="false"/>
          <w:bCs w:val="false"/>
          <w:color w:val="auto"/>
        </w:rPr>
        <w:tab/>
        <w:t xml:space="preserve">3. zostatok prostriedkov UPD             </w:t>
        <w:tab/>
        <w:tab/>
        <w:t xml:space="preserve">      12.000,00  EUR</w:t>
      </w:r>
    </w:p>
    <w:p>
      <w:pPr>
        <w:pStyle w:val="Normal"/>
        <w:rPr>
          <w:b w:val="false"/>
          <w:bCs w:val="false"/>
          <w:color w:val="auto"/>
        </w:rPr>
      </w:pPr>
      <w:r>
        <w:rPr>
          <w:b w:val="false"/>
          <w:bCs w:val="false"/>
          <w:color w:val="auto"/>
        </w:rPr>
        <w:tab/>
        <w:t>4. zostatok prostriedkov zabudnutá minulosť</w:t>
        <w:tab/>
        <w:tab/>
        <w:t xml:space="preserve">           143,05  EUR</w:t>
      </w:r>
    </w:p>
    <w:p>
      <w:pPr>
        <w:pStyle w:val="Normal"/>
        <w:rPr/>
      </w:pPr>
      <w:r>
        <w:rPr>
          <w:b w:val="false"/>
          <w:bCs w:val="false"/>
          <w:color w:val="auto"/>
        </w:rPr>
        <w:tab/>
      </w:r>
      <w:r>
        <w:rPr>
          <w:b/>
          <w:color w:val="C9211E"/>
          <w:sz w:val="32"/>
          <w:szCs w:val="28"/>
        </w:rPr>
        <w:tab/>
      </w:r>
      <w:r>
        <w:rPr>
          <w:b/>
          <w:color w:val="auto"/>
          <w:sz w:val="32"/>
          <w:szCs w:val="28"/>
        </w:rPr>
        <w:t>3. Rozbor čerpania výdavkov za rok 20</w:t>
      </w:r>
      <w:r>
        <w:rPr>
          <w:b/>
          <w:bCs/>
          <w:color w:val="auto"/>
          <w:sz w:val="32"/>
          <w:szCs w:val="28"/>
        </w:rPr>
        <w:t>23</w:t>
      </w:r>
    </w:p>
    <w:p>
      <w:pPr>
        <w:pStyle w:val="Normal"/>
        <w:rPr>
          <w:color w:val="auto"/>
        </w:rPr>
      </w:pPr>
      <w:r>
        <w:rPr>
          <w:color w:val="auto"/>
        </w:rPr>
      </w:r>
    </w:p>
    <w:tbl>
      <w:tblPr>
        <w:tblW w:w="9750" w:type="dxa"/>
        <w:jc w:val="left"/>
        <w:tblInd w:w="22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00"/>
        <w:gridCol w:w="3055"/>
        <w:gridCol w:w="3095"/>
      </w:tblGrid>
      <w:tr>
        <w:trPr/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</w:tcPr>
          <w:p>
            <w:pPr>
              <w:pStyle w:val="Normal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Rozpočet upravený na rok 2023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</w:tcPr>
          <w:p>
            <w:pPr>
              <w:pStyle w:val="Normal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Skutočnosť k  31.12.2023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% plnenia</w:t>
            </w:r>
          </w:p>
        </w:tc>
      </w:tr>
      <w:tr>
        <w:trPr/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411.295,00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354.014,36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86,07</w:t>
            </w:r>
          </w:p>
        </w:tc>
      </w:tr>
    </w:tbl>
    <w:p>
      <w:pPr>
        <w:pStyle w:val="Normal"/>
        <w:ind w:left="360" w:right="0"/>
        <w:jc w:val="both"/>
        <w:rPr>
          <w:color w:val="auto"/>
        </w:rPr>
      </w:pPr>
      <w:r>
        <w:rPr>
          <w:color w:val="auto"/>
        </w:rPr>
      </w:r>
    </w:p>
    <w:p>
      <w:pPr>
        <w:pStyle w:val="Normal"/>
        <w:ind w:left="360" w:right="0"/>
        <w:jc w:val="both"/>
        <w:rPr>
          <w:color w:val="auto"/>
        </w:rPr>
      </w:pPr>
      <w:r>
        <w:rPr>
          <w:color w:val="auto"/>
        </w:rPr>
        <w:tab/>
        <w:t>Z rozpočtovaných celkových výdavkov 411.295,00 EUR bol skutočný príjem k 31.12.2023</w:t>
      </w:r>
    </w:p>
    <w:p>
      <w:pPr>
        <w:pStyle w:val="Normal"/>
        <w:ind w:left="360" w:right="0"/>
        <w:jc w:val="both"/>
        <w:rPr>
          <w:color w:val="auto"/>
        </w:rPr>
      </w:pPr>
      <w:r>
        <w:rPr>
          <w:color w:val="auto"/>
        </w:rPr>
        <w:tab/>
        <w:t xml:space="preserve"> vo výške 354.014,36 EUR, čo predstavuje plnenie na 86,07%.</w:t>
      </w:r>
    </w:p>
    <w:p>
      <w:pPr>
        <w:pStyle w:val="Normal"/>
        <w:ind w:left="360" w:right="0"/>
        <w:jc w:val="both"/>
        <w:rPr>
          <w:color w:val="C9211E"/>
        </w:rPr>
      </w:pPr>
      <w:r>
        <w:rPr>
          <w:color w:val="C9211E"/>
        </w:rPr>
      </w:r>
    </w:p>
    <w:p>
      <w:pPr>
        <w:pStyle w:val="Normal"/>
        <w:rPr/>
      </w:pPr>
      <w:r>
        <w:rPr>
          <w:b/>
          <w:color w:val="C9211E"/>
          <w:sz w:val="28"/>
          <w:szCs w:val="28"/>
        </w:rPr>
        <w:tab/>
      </w:r>
      <w:r>
        <w:rPr>
          <w:b/>
          <w:color w:val="auto"/>
          <w:sz w:val="28"/>
          <w:szCs w:val="28"/>
        </w:rPr>
        <w:t xml:space="preserve">3.1 Bežné výdavky </w:t>
      </w:r>
    </w:p>
    <w:p>
      <w:pPr>
        <w:pStyle w:val="Normal"/>
        <w:rPr>
          <w:b/>
          <w:color w:val="auto"/>
        </w:rPr>
      </w:pPr>
      <w:r>
        <w:rPr>
          <w:b/>
          <w:color w:val="auto"/>
        </w:rPr>
        <w:t xml:space="preserve"> </w:t>
      </w:r>
    </w:p>
    <w:tbl>
      <w:tblPr>
        <w:tblW w:w="9750" w:type="dxa"/>
        <w:jc w:val="left"/>
        <w:tblInd w:w="22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86"/>
        <w:gridCol w:w="3069"/>
        <w:gridCol w:w="3095"/>
      </w:tblGrid>
      <w:tr>
        <w:trPr/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</w:tcPr>
          <w:p>
            <w:pPr>
              <w:pStyle w:val="Normal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Rozpočet upravený  na rok 2023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</w:tcPr>
          <w:p>
            <w:pPr>
              <w:pStyle w:val="Normal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Skutočnosť k  31.12.2023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% plnenia</w:t>
            </w:r>
          </w:p>
        </w:tc>
      </w:tr>
      <w:tr>
        <w:trPr>
          <w:trHeight w:val="344" w:hRule="atLeast"/>
        </w:trPr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139.880,00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111.792,99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80,33</w:t>
            </w:r>
          </w:p>
        </w:tc>
      </w:tr>
    </w:tbl>
    <w:p>
      <w:pPr>
        <w:pStyle w:val="Normal"/>
        <w:rPr>
          <w:color w:val="auto"/>
        </w:rPr>
      </w:pPr>
      <w:r>
        <w:rPr>
          <w:color w:val="auto"/>
        </w:rPr>
      </w:r>
    </w:p>
    <w:p>
      <w:pPr>
        <w:pStyle w:val="Normal"/>
        <w:rPr/>
      </w:pPr>
      <w:r>
        <w:rPr>
          <w:color w:val="C9211E"/>
        </w:rPr>
        <w:tab/>
      </w:r>
      <w:r>
        <w:rPr>
          <w:color w:val="auto"/>
        </w:rPr>
        <w:t xml:space="preserve">V tom </w:t>
      </w:r>
      <w:r>
        <w:rPr>
          <w:b/>
          <w:color w:val="auto"/>
        </w:rPr>
        <w:t>:</w:t>
      </w:r>
    </w:p>
    <w:tbl>
      <w:tblPr>
        <w:tblW w:w="10323" w:type="dxa"/>
        <w:jc w:val="left"/>
        <w:tblInd w:w="-62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68"/>
        <w:gridCol w:w="1837"/>
        <w:gridCol w:w="1995"/>
        <w:gridCol w:w="2823"/>
      </w:tblGrid>
      <w:tr>
        <w:trPr/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b/>
                <w:color w:val="auto"/>
              </w:rPr>
            </w:pPr>
            <w:r>
              <w:rPr>
                <w:b/>
                <w:color w:val="auto"/>
              </w:rPr>
              <w:t>Funkčná klasifikácia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Rozpočet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Skutočnosť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% plnenia</w:t>
            </w:r>
          </w:p>
        </w:tc>
      </w:tr>
      <w:tr>
        <w:trPr/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eastAsia="Arial"/>
                <w:color w:val="auto"/>
              </w:rPr>
            </w:pPr>
            <w:r>
              <w:rPr>
                <w:rFonts w:eastAsia="Arial"/>
                <w:color w:val="auto"/>
              </w:rPr>
              <w:t>Výkonné a zákonodarné orgány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right"/>
              <w:rPr>
                <w:color w:val="auto"/>
              </w:rPr>
            </w:pPr>
            <w:r>
              <w:rPr>
                <w:color w:val="auto"/>
              </w:rPr>
              <w:t>81.312,10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right"/>
              <w:rPr>
                <w:color w:val="auto"/>
              </w:rPr>
            </w:pPr>
            <w:r>
              <w:rPr>
                <w:color w:val="auto"/>
              </w:rPr>
              <w:t>76.254,11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93,78</w:t>
            </w:r>
          </w:p>
        </w:tc>
      </w:tr>
      <w:tr>
        <w:trPr>
          <w:trHeight w:val="328" w:hRule="atLeast"/>
        </w:trPr>
        <w:tc>
          <w:tcPr>
            <w:tcW w:w="366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color w:val="auto"/>
              </w:rPr>
            </w:pPr>
            <w:r>
              <w:rPr>
                <w:color w:val="auto"/>
              </w:rPr>
              <w:t>Finančné a rozpočtové záležitosti</w:t>
            </w:r>
          </w:p>
        </w:tc>
        <w:tc>
          <w:tcPr>
            <w:tcW w:w="18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right"/>
              <w:rPr>
                <w:color w:val="auto"/>
              </w:rPr>
            </w:pPr>
            <w:r>
              <w:rPr>
                <w:color w:val="auto"/>
              </w:rPr>
              <w:t>1.450,00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right"/>
              <w:rPr>
                <w:color w:val="auto"/>
              </w:rPr>
            </w:pPr>
            <w:r>
              <w:rPr>
                <w:color w:val="auto"/>
              </w:rPr>
              <w:t>1.102,60</w:t>
            </w:r>
          </w:p>
        </w:tc>
        <w:tc>
          <w:tcPr>
            <w:tcW w:w="2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76,04</w:t>
            </w:r>
          </w:p>
        </w:tc>
      </w:tr>
      <w:tr>
        <w:trPr/>
        <w:tc>
          <w:tcPr>
            <w:tcW w:w="366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eastAsia="Arial"/>
                <w:color w:val="auto"/>
              </w:rPr>
            </w:pPr>
            <w:r>
              <w:rPr>
                <w:rFonts w:eastAsia="Arial"/>
                <w:color w:val="auto"/>
              </w:rPr>
              <w:t>Všeobecné verejné služby</w:t>
            </w:r>
          </w:p>
        </w:tc>
        <w:tc>
          <w:tcPr>
            <w:tcW w:w="18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right"/>
              <w:rPr>
                <w:color w:val="auto"/>
              </w:rPr>
            </w:pPr>
            <w:r>
              <w:rPr>
                <w:color w:val="auto"/>
              </w:rPr>
              <w:t>1.892,90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right"/>
              <w:rPr>
                <w:color w:val="auto"/>
              </w:rPr>
            </w:pPr>
            <w:r>
              <w:rPr>
                <w:color w:val="auto"/>
              </w:rPr>
              <w:t>1.885,38</w:t>
            </w:r>
          </w:p>
        </w:tc>
        <w:tc>
          <w:tcPr>
            <w:tcW w:w="2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99,60</w:t>
            </w:r>
          </w:p>
        </w:tc>
      </w:tr>
      <w:tr>
        <w:trPr/>
        <w:tc>
          <w:tcPr>
            <w:tcW w:w="366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eastAsia="Arial"/>
                <w:color w:val="auto"/>
              </w:rPr>
            </w:pPr>
            <w:r>
              <w:rPr>
                <w:rFonts w:eastAsia="Arial"/>
                <w:color w:val="auto"/>
              </w:rPr>
              <w:t>Transakcie verejného dlhu</w:t>
            </w:r>
          </w:p>
        </w:tc>
        <w:tc>
          <w:tcPr>
            <w:tcW w:w="18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right"/>
              <w:rPr>
                <w:color w:val="auto"/>
              </w:rPr>
            </w:pPr>
            <w:r>
              <w:rPr>
                <w:color w:val="auto"/>
              </w:rPr>
              <w:t>6.482,00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right"/>
              <w:rPr>
                <w:color w:val="auto"/>
              </w:rPr>
            </w:pPr>
            <w:r>
              <w:rPr>
                <w:color w:val="auto"/>
              </w:rPr>
              <w:t>6.479,45</w:t>
            </w:r>
          </w:p>
        </w:tc>
        <w:tc>
          <w:tcPr>
            <w:tcW w:w="2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99,95</w:t>
            </w:r>
          </w:p>
        </w:tc>
      </w:tr>
      <w:tr>
        <w:trPr/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color w:val="auto"/>
              </w:rPr>
            </w:pPr>
            <w:r>
              <w:rPr>
                <w:color w:val="auto"/>
              </w:rPr>
              <w:t xml:space="preserve">Cestná doprava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right"/>
              <w:rPr>
                <w:color w:val="auto"/>
              </w:rPr>
            </w:pPr>
            <w:r>
              <w:rPr>
                <w:color w:val="auto"/>
              </w:rPr>
              <w:t>6.654,00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right"/>
              <w:rPr>
                <w:color w:val="auto"/>
              </w:rPr>
            </w:pPr>
            <w:r>
              <w:rPr>
                <w:color w:val="auto"/>
              </w:rPr>
              <w:t>5.301,25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79,67</w:t>
            </w:r>
          </w:p>
        </w:tc>
      </w:tr>
      <w:tr>
        <w:trPr/>
        <w:tc>
          <w:tcPr>
            <w:tcW w:w="366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color w:val="auto"/>
              </w:rPr>
            </w:pPr>
            <w:r>
              <w:rPr>
                <w:color w:val="auto"/>
              </w:rPr>
              <w:t>Nakladanie s odpadmi a ochrana ŽP</w:t>
            </w:r>
          </w:p>
        </w:tc>
        <w:tc>
          <w:tcPr>
            <w:tcW w:w="18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right"/>
              <w:rPr>
                <w:color w:val="auto"/>
              </w:rPr>
            </w:pPr>
            <w:r>
              <w:rPr>
                <w:color w:val="auto"/>
              </w:rPr>
              <w:t>10.900,00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right"/>
              <w:rPr>
                <w:color w:val="auto"/>
              </w:rPr>
            </w:pPr>
            <w:r>
              <w:rPr>
                <w:color w:val="auto"/>
              </w:rPr>
              <w:t>8.202,28</w:t>
            </w:r>
          </w:p>
        </w:tc>
        <w:tc>
          <w:tcPr>
            <w:tcW w:w="2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75,25</w:t>
            </w:r>
          </w:p>
        </w:tc>
      </w:tr>
      <w:tr>
        <w:trPr/>
        <w:tc>
          <w:tcPr>
            <w:tcW w:w="366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color w:val="auto"/>
              </w:rPr>
            </w:pPr>
            <w:r>
              <w:rPr>
                <w:color w:val="auto"/>
              </w:rPr>
              <w:t>Cestovný ruch</w:t>
            </w:r>
          </w:p>
        </w:tc>
        <w:tc>
          <w:tcPr>
            <w:tcW w:w="18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right"/>
              <w:rPr>
                <w:color w:val="auto"/>
              </w:rPr>
            </w:pPr>
            <w:r>
              <w:rPr>
                <w:color w:val="auto"/>
              </w:rPr>
              <w:t>800,00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right"/>
              <w:rPr>
                <w:color w:val="auto"/>
              </w:rPr>
            </w:pPr>
            <w:r>
              <w:rPr>
                <w:color w:val="auto"/>
              </w:rPr>
              <w:t>13,20</w:t>
            </w:r>
          </w:p>
        </w:tc>
        <w:tc>
          <w:tcPr>
            <w:tcW w:w="2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1,65</w:t>
            </w:r>
          </w:p>
        </w:tc>
      </w:tr>
      <w:tr>
        <w:trPr/>
        <w:tc>
          <w:tcPr>
            <w:tcW w:w="366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color w:val="auto"/>
              </w:rPr>
            </w:pPr>
            <w:r>
              <w:rPr>
                <w:color w:val="auto"/>
              </w:rPr>
              <w:t>Rozvoj obcí</w:t>
            </w:r>
          </w:p>
        </w:tc>
        <w:tc>
          <w:tcPr>
            <w:tcW w:w="18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right"/>
              <w:rPr>
                <w:color w:val="auto"/>
              </w:rPr>
            </w:pPr>
            <w:r>
              <w:rPr>
                <w:color w:val="auto"/>
              </w:rPr>
              <w:t>3.543,00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right"/>
              <w:rPr>
                <w:color w:val="auto"/>
              </w:rPr>
            </w:pPr>
            <w:r>
              <w:rPr>
                <w:color w:val="auto"/>
              </w:rPr>
              <w:t>2.837,02</w:t>
            </w:r>
          </w:p>
        </w:tc>
        <w:tc>
          <w:tcPr>
            <w:tcW w:w="2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80,07</w:t>
            </w:r>
          </w:p>
        </w:tc>
      </w:tr>
      <w:tr>
        <w:trPr/>
        <w:tc>
          <w:tcPr>
            <w:tcW w:w="366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color w:val="auto"/>
              </w:rPr>
            </w:pPr>
            <w:r>
              <w:rPr>
                <w:color w:val="auto"/>
              </w:rPr>
              <w:t>Zásobovanie vodou</w:t>
            </w:r>
          </w:p>
        </w:tc>
        <w:tc>
          <w:tcPr>
            <w:tcW w:w="18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right"/>
              <w:rPr>
                <w:color w:val="auto"/>
              </w:rPr>
            </w:pPr>
            <w:r>
              <w:rPr>
                <w:color w:val="auto"/>
              </w:rPr>
              <w:t>800,00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right"/>
              <w:rPr>
                <w:color w:val="auto"/>
              </w:rPr>
            </w:pPr>
            <w:r>
              <w:rPr>
                <w:color w:val="auto"/>
              </w:rPr>
              <w:t>261,60</w:t>
            </w:r>
          </w:p>
        </w:tc>
        <w:tc>
          <w:tcPr>
            <w:tcW w:w="2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32,70</w:t>
            </w:r>
          </w:p>
        </w:tc>
      </w:tr>
      <w:tr>
        <w:trPr/>
        <w:tc>
          <w:tcPr>
            <w:tcW w:w="366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color w:val="auto"/>
              </w:rPr>
            </w:pPr>
            <w:r>
              <w:rPr>
                <w:color w:val="auto"/>
              </w:rPr>
              <w:t>Verejné osvetlenie</w:t>
            </w:r>
          </w:p>
        </w:tc>
        <w:tc>
          <w:tcPr>
            <w:tcW w:w="18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right"/>
              <w:rPr>
                <w:color w:val="auto"/>
              </w:rPr>
            </w:pPr>
            <w:r>
              <w:rPr>
                <w:color w:val="auto"/>
              </w:rPr>
              <w:t>3.950,00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right"/>
              <w:rPr>
                <w:color w:val="auto"/>
              </w:rPr>
            </w:pPr>
            <w:r>
              <w:rPr>
                <w:color w:val="auto"/>
              </w:rPr>
              <w:t>1.670,51</w:t>
            </w:r>
          </w:p>
        </w:tc>
        <w:tc>
          <w:tcPr>
            <w:tcW w:w="2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42,29</w:t>
            </w:r>
          </w:p>
        </w:tc>
      </w:tr>
      <w:tr>
        <w:trPr/>
        <w:tc>
          <w:tcPr>
            <w:tcW w:w="366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color w:val="auto"/>
              </w:rPr>
            </w:pPr>
            <w:r>
              <w:rPr>
                <w:color w:val="auto"/>
              </w:rPr>
              <w:t>Rekreačné a športové služby</w:t>
            </w:r>
          </w:p>
        </w:tc>
        <w:tc>
          <w:tcPr>
            <w:tcW w:w="18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right"/>
              <w:rPr>
                <w:color w:val="auto"/>
              </w:rPr>
            </w:pPr>
            <w:r>
              <w:rPr>
                <w:color w:val="auto"/>
              </w:rPr>
              <w:t>1.001,00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right"/>
              <w:rPr>
                <w:color w:val="auto"/>
              </w:rPr>
            </w:pPr>
            <w:r>
              <w:rPr>
                <w:color w:val="auto"/>
              </w:rPr>
              <w:t>288,33</w:t>
            </w:r>
          </w:p>
        </w:tc>
        <w:tc>
          <w:tcPr>
            <w:tcW w:w="2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28,80</w:t>
            </w:r>
          </w:p>
        </w:tc>
      </w:tr>
      <w:tr>
        <w:trPr/>
        <w:tc>
          <w:tcPr>
            <w:tcW w:w="366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color w:val="auto"/>
              </w:rPr>
            </w:pPr>
            <w:r>
              <w:rPr>
                <w:color w:val="auto"/>
              </w:rPr>
              <w:t>Kultúrne služby</w:t>
            </w:r>
          </w:p>
        </w:tc>
        <w:tc>
          <w:tcPr>
            <w:tcW w:w="18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right"/>
              <w:rPr>
                <w:color w:val="auto"/>
              </w:rPr>
            </w:pPr>
            <w:r>
              <w:rPr>
                <w:color w:val="auto"/>
              </w:rPr>
              <w:t>15.031,00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right"/>
              <w:rPr>
                <w:color w:val="auto"/>
              </w:rPr>
            </w:pPr>
            <w:r>
              <w:rPr>
                <w:color w:val="auto"/>
              </w:rPr>
              <w:t>3.743,84</w:t>
            </w:r>
          </w:p>
        </w:tc>
        <w:tc>
          <w:tcPr>
            <w:tcW w:w="2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24,91</w:t>
            </w:r>
          </w:p>
        </w:tc>
      </w:tr>
      <w:tr>
        <w:trPr>
          <w:trHeight w:val="319" w:hRule="atLeast"/>
        </w:trPr>
        <w:tc>
          <w:tcPr>
            <w:tcW w:w="366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color w:val="auto"/>
              </w:rPr>
            </w:pPr>
            <w:r>
              <w:rPr>
                <w:color w:val="auto"/>
              </w:rPr>
              <w:t>Vysielacie a vydavateľské služby</w:t>
            </w:r>
          </w:p>
        </w:tc>
        <w:tc>
          <w:tcPr>
            <w:tcW w:w="18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right"/>
              <w:rPr>
                <w:color w:val="auto"/>
              </w:rPr>
            </w:pPr>
            <w:r>
              <w:rPr>
                <w:color w:val="auto"/>
              </w:rPr>
              <w:t>300,00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right"/>
              <w:rPr>
                <w:color w:val="auto"/>
              </w:rPr>
            </w:pPr>
            <w:r>
              <w:rPr>
                <w:color w:val="auto"/>
              </w:rPr>
              <w:t>75,15</w:t>
            </w:r>
          </w:p>
        </w:tc>
        <w:tc>
          <w:tcPr>
            <w:tcW w:w="2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25,05</w:t>
            </w:r>
          </w:p>
        </w:tc>
      </w:tr>
      <w:tr>
        <w:trPr/>
        <w:tc>
          <w:tcPr>
            <w:tcW w:w="366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color w:val="auto"/>
              </w:rPr>
            </w:pPr>
            <w:r>
              <w:rPr>
                <w:color w:val="auto"/>
              </w:rPr>
              <w:t>Náboženské služby</w:t>
            </w:r>
          </w:p>
        </w:tc>
        <w:tc>
          <w:tcPr>
            <w:tcW w:w="18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right"/>
              <w:rPr>
                <w:color w:val="auto"/>
              </w:rPr>
            </w:pPr>
            <w:r>
              <w:rPr>
                <w:color w:val="auto"/>
              </w:rPr>
              <w:t>1.778,00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right"/>
              <w:rPr>
                <w:color w:val="auto"/>
              </w:rPr>
            </w:pPr>
            <w:r>
              <w:rPr>
                <w:color w:val="auto"/>
              </w:rPr>
              <w:t>1.363,31</w:t>
            </w:r>
          </w:p>
        </w:tc>
        <w:tc>
          <w:tcPr>
            <w:tcW w:w="2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76,68</w:t>
            </w:r>
          </w:p>
        </w:tc>
      </w:tr>
      <w:tr>
        <w:trPr/>
        <w:tc>
          <w:tcPr>
            <w:tcW w:w="366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color w:val="auto"/>
              </w:rPr>
            </w:pPr>
            <w:r>
              <w:rPr>
                <w:color w:val="auto"/>
              </w:rPr>
              <w:t>Vzdelávanie</w:t>
            </w:r>
          </w:p>
        </w:tc>
        <w:tc>
          <w:tcPr>
            <w:tcW w:w="18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right"/>
              <w:rPr>
                <w:color w:val="auto"/>
              </w:rPr>
            </w:pPr>
            <w:r>
              <w:rPr>
                <w:color w:val="auto"/>
              </w:rPr>
              <w:t>1.815,00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right"/>
              <w:rPr>
                <w:color w:val="auto"/>
              </w:rPr>
            </w:pPr>
            <w:r>
              <w:rPr>
                <w:color w:val="auto"/>
              </w:rPr>
              <w:t>1.096,56</w:t>
            </w:r>
          </w:p>
        </w:tc>
        <w:tc>
          <w:tcPr>
            <w:tcW w:w="2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60,42</w:t>
            </w:r>
          </w:p>
        </w:tc>
      </w:tr>
      <w:tr>
        <w:trPr/>
        <w:tc>
          <w:tcPr>
            <w:tcW w:w="366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color w:val="auto"/>
              </w:rPr>
            </w:pPr>
            <w:r>
              <w:rPr>
                <w:color w:val="auto"/>
              </w:rPr>
              <w:t>Staroba</w:t>
            </w:r>
          </w:p>
        </w:tc>
        <w:tc>
          <w:tcPr>
            <w:tcW w:w="18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right"/>
              <w:rPr>
                <w:color w:val="auto"/>
              </w:rPr>
            </w:pPr>
            <w:r>
              <w:rPr>
                <w:color w:val="auto"/>
              </w:rPr>
              <w:t>950,00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right"/>
              <w:rPr>
                <w:color w:val="auto"/>
              </w:rPr>
            </w:pPr>
            <w:r>
              <w:rPr>
                <w:color w:val="auto"/>
              </w:rPr>
              <w:t>718,40</w:t>
            </w:r>
          </w:p>
        </w:tc>
        <w:tc>
          <w:tcPr>
            <w:tcW w:w="2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75,62</w:t>
            </w:r>
          </w:p>
        </w:tc>
      </w:tr>
      <w:tr>
        <w:trPr/>
        <w:tc>
          <w:tcPr>
            <w:tcW w:w="366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b w:val="false"/>
                <w:bCs w:val="false"/>
                <w:color w:val="auto"/>
              </w:rPr>
            </w:pPr>
            <w:r>
              <w:rPr>
                <w:b w:val="false"/>
                <w:bCs w:val="false"/>
                <w:color w:val="auto"/>
              </w:rPr>
              <w:t>Sociálna pomoc</w:t>
            </w:r>
          </w:p>
        </w:tc>
        <w:tc>
          <w:tcPr>
            <w:tcW w:w="18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right"/>
              <w:rPr>
                <w:b w:val="false"/>
                <w:bCs w:val="false"/>
                <w:color w:val="auto"/>
              </w:rPr>
            </w:pPr>
            <w:r>
              <w:rPr>
                <w:b w:val="false"/>
                <w:bCs w:val="false"/>
                <w:color w:val="auto"/>
              </w:rPr>
              <w:t>500,00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right"/>
              <w:rPr>
                <w:b w:val="false"/>
                <w:bCs w:val="false"/>
                <w:color w:val="auto"/>
              </w:rPr>
            </w:pPr>
            <w:r>
              <w:rPr>
                <w:b w:val="false"/>
                <w:bCs w:val="false"/>
                <w:color w:val="auto"/>
              </w:rPr>
              <w:t>500,00</w:t>
            </w:r>
          </w:p>
        </w:tc>
        <w:tc>
          <w:tcPr>
            <w:tcW w:w="2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 w:val="false"/>
                <w:bCs w:val="false"/>
                <w:color w:val="auto"/>
              </w:rPr>
            </w:pPr>
            <w:r>
              <w:rPr>
                <w:b w:val="false"/>
                <w:bCs w:val="false"/>
                <w:color w:val="auto"/>
              </w:rPr>
              <w:t>100,00</w:t>
            </w:r>
          </w:p>
        </w:tc>
      </w:tr>
      <w:tr>
        <w:trPr/>
        <w:tc>
          <w:tcPr>
            <w:tcW w:w="366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SPOLU:</w:t>
            </w:r>
          </w:p>
        </w:tc>
        <w:tc>
          <w:tcPr>
            <w:tcW w:w="18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right"/>
              <w:rPr>
                <w:color w:val="auto"/>
              </w:rPr>
            </w:pPr>
            <w:r>
              <w:rPr>
                <w:color w:val="auto"/>
              </w:rPr>
              <w:t>139.880,00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right"/>
              <w:rPr>
                <w:color w:val="auto"/>
              </w:rPr>
            </w:pPr>
            <w:r>
              <w:rPr>
                <w:color w:val="auto"/>
              </w:rPr>
              <w:t>111.792,99</w:t>
            </w:r>
          </w:p>
        </w:tc>
        <w:tc>
          <w:tcPr>
            <w:tcW w:w="2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80,33</w:t>
            </w:r>
          </w:p>
        </w:tc>
      </w:tr>
    </w:tbl>
    <w:p>
      <w:pPr>
        <w:pStyle w:val="Normal"/>
        <w:jc w:val="both"/>
        <w:rPr>
          <w:b/>
          <w:color w:val="auto"/>
          <w:sz w:val="28"/>
        </w:rPr>
      </w:pPr>
      <w:r>
        <w:rPr>
          <w:b/>
          <w:color w:val="auto"/>
          <w:sz w:val="28"/>
        </w:rPr>
      </w:r>
    </w:p>
    <w:p>
      <w:pPr>
        <w:pStyle w:val="Normal"/>
        <w:tabs>
          <w:tab w:val="clear" w:pos="708"/>
          <w:tab w:val="right" w:pos="284" w:leader="none"/>
        </w:tabs>
        <w:ind w:hanging="284" w:left="284" w:right="0"/>
        <w:jc w:val="both"/>
        <w:rPr>
          <w:b/>
          <w:color w:val="auto"/>
        </w:rPr>
      </w:pPr>
      <w:r>
        <w:rPr>
          <w:b/>
          <w:color w:val="auto"/>
        </w:rPr>
        <w:t>a) Mzdy, platy, služobné príjmy a ostatné osobné vyrovnania</w:t>
      </w:r>
    </w:p>
    <w:p>
      <w:pPr>
        <w:pStyle w:val="Normal"/>
        <w:tabs>
          <w:tab w:val="clear" w:pos="708"/>
          <w:tab w:val="left" w:pos="286" w:leader="none"/>
        </w:tabs>
        <w:jc w:val="both"/>
        <w:rPr>
          <w:color w:val="auto"/>
        </w:rPr>
      </w:pPr>
      <w:r>
        <w:rPr>
          <w:color w:val="auto"/>
        </w:rPr>
        <w:tab/>
        <w:t xml:space="preserve">Z rozpočtovaných 41.125,20 EUR bolo skutočné čerpanie k 31.12.2023 v sume 39.363,17 EUR, </w:t>
      </w:r>
    </w:p>
    <w:p>
      <w:pPr>
        <w:pStyle w:val="Normal"/>
        <w:tabs>
          <w:tab w:val="clear" w:pos="708"/>
          <w:tab w:val="left" w:pos="286" w:leader="none"/>
        </w:tabs>
        <w:jc w:val="both"/>
        <w:rPr>
          <w:color w:val="auto"/>
        </w:rPr>
      </w:pPr>
      <w:r>
        <w:rPr>
          <w:color w:val="auto"/>
        </w:rPr>
        <w:tab/>
        <w:t>čo je 95,72 % čerpanie. Patria sem mzdové prostriedky všetkých pracovníkov OcÚ.</w:t>
      </w:r>
    </w:p>
    <w:p>
      <w:pPr>
        <w:pStyle w:val="Normal"/>
        <w:tabs>
          <w:tab w:val="clear" w:pos="708"/>
          <w:tab w:val="right" w:pos="284" w:leader="none"/>
        </w:tabs>
        <w:ind w:hanging="284" w:left="284" w:right="0"/>
        <w:jc w:val="both"/>
        <w:rPr>
          <w:b/>
          <w:color w:val="auto"/>
        </w:rPr>
      </w:pPr>
      <w:r>
        <w:rPr>
          <w:b/>
          <w:color w:val="auto"/>
        </w:rPr>
        <w:t>b) Poistné a príspevok do poisťovní</w:t>
      </w:r>
    </w:p>
    <w:p>
      <w:pPr>
        <w:pStyle w:val="Normal"/>
        <w:tabs>
          <w:tab w:val="clear" w:pos="708"/>
          <w:tab w:val="left" w:pos="327" w:leader="none"/>
        </w:tabs>
        <w:ind w:left="53" w:right="0"/>
        <w:jc w:val="both"/>
        <w:rPr>
          <w:color w:val="auto"/>
        </w:rPr>
      </w:pPr>
      <w:r>
        <w:rPr>
          <w:color w:val="auto"/>
        </w:rPr>
        <w:tab/>
        <w:t xml:space="preserve">Z rozpočtovaných  15.423,22 EUR bolo skutočne čerpané k 31.12.2023 v sume 14.193,71 EUR, </w:t>
      </w:r>
    </w:p>
    <w:p>
      <w:pPr>
        <w:pStyle w:val="Normal"/>
        <w:tabs>
          <w:tab w:val="clear" w:pos="708"/>
          <w:tab w:val="left" w:pos="341" w:leader="none"/>
        </w:tabs>
        <w:ind w:left="53" w:right="0"/>
        <w:jc w:val="both"/>
        <w:rPr>
          <w:color w:val="auto"/>
        </w:rPr>
      </w:pPr>
      <w:r>
        <w:rPr>
          <w:color w:val="auto"/>
        </w:rPr>
        <w:tab/>
        <w:t xml:space="preserve">čo je 92,03 % čerpanie. </w:t>
      </w:r>
    </w:p>
    <w:p>
      <w:pPr>
        <w:pStyle w:val="Normal"/>
        <w:tabs>
          <w:tab w:val="clear" w:pos="708"/>
          <w:tab w:val="right" w:pos="284" w:leader="none"/>
        </w:tabs>
        <w:ind w:hanging="284" w:left="284" w:right="0"/>
        <w:jc w:val="both"/>
        <w:rPr>
          <w:b/>
          <w:color w:val="auto"/>
        </w:rPr>
      </w:pPr>
      <w:r>
        <w:rPr>
          <w:b/>
          <w:color w:val="auto"/>
        </w:rPr>
        <w:t>c) Tovary a služby</w:t>
      </w:r>
    </w:p>
    <w:p>
      <w:pPr>
        <w:pStyle w:val="Normal"/>
        <w:tabs>
          <w:tab w:val="clear" w:pos="708"/>
          <w:tab w:val="left" w:pos="314" w:leader="none"/>
        </w:tabs>
        <w:jc w:val="both"/>
        <w:rPr>
          <w:color w:val="auto"/>
        </w:rPr>
      </w:pPr>
      <w:r>
        <w:rPr>
          <w:color w:val="auto"/>
        </w:rPr>
        <w:tab/>
        <w:t xml:space="preserve">Z rozpočtovaných 71.685,58 EUR bolo skutočne čerpané k 31.12.2023 v sume 48.089,71 EUR, </w:t>
      </w:r>
    </w:p>
    <w:p>
      <w:pPr>
        <w:pStyle w:val="Normal"/>
        <w:tabs>
          <w:tab w:val="clear" w:pos="708"/>
          <w:tab w:val="left" w:pos="314" w:leader="none"/>
        </w:tabs>
        <w:jc w:val="both"/>
        <w:rPr>
          <w:color w:val="auto"/>
        </w:rPr>
      </w:pPr>
      <w:r>
        <w:rPr>
          <w:color w:val="auto"/>
        </w:rPr>
        <w:tab/>
        <w:t xml:space="preserve">čo je 67,08 % čerpanie. Ide o prevádzkové výdavky všetkých stredísk OcÚ, ako sú cestovné náhrady, </w:t>
        <w:tab/>
        <w:t>energie, materiál, dopravné, rutinná a štandardná údržba, nájomné za nájom a ostatné tovary a služby.</w:t>
      </w:r>
    </w:p>
    <w:p>
      <w:pPr>
        <w:pStyle w:val="Normal"/>
        <w:tabs>
          <w:tab w:val="clear" w:pos="708"/>
          <w:tab w:val="right" w:pos="284" w:leader="none"/>
        </w:tabs>
        <w:ind w:hanging="284" w:left="284" w:right="0"/>
        <w:jc w:val="both"/>
        <w:rPr>
          <w:b/>
          <w:color w:val="auto"/>
        </w:rPr>
      </w:pPr>
      <w:r>
        <w:rPr>
          <w:b/>
          <w:color w:val="auto"/>
        </w:rPr>
        <w:t>d) Bežné transfery</w:t>
      </w:r>
    </w:p>
    <w:p>
      <w:pPr>
        <w:pStyle w:val="Normal"/>
        <w:tabs>
          <w:tab w:val="clear" w:pos="708"/>
          <w:tab w:val="left" w:pos="286" w:leader="none"/>
        </w:tabs>
        <w:jc w:val="both"/>
        <w:rPr/>
      </w:pPr>
      <w:r>
        <w:rPr>
          <w:color w:val="auto"/>
        </w:rPr>
        <w:tab/>
      </w:r>
      <w:bookmarkStart w:id="6" w:name="OLE_LINK4"/>
      <w:bookmarkStart w:id="7" w:name="OLE_LINK5"/>
      <w:r>
        <w:rPr>
          <w:color w:val="auto"/>
        </w:rPr>
        <w:t xml:space="preserve">Z rozpočtovaných 4.443,00 EUR bolo skutočne čerpané k 31.12.2023 v sume 3.666,95 EUR, </w:t>
      </w:r>
    </w:p>
    <w:p>
      <w:pPr>
        <w:pStyle w:val="Normal"/>
        <w:tabs>
          <w:tab w:val="clear" w:pos="708"/>
          <w:tab w:val="left" w:pos="286" w:leader="none"/>
        </w:tabs>
        <w:jc w:val="both"/>
        <w:rPr/>
      </w:pPr>
      <w:r>
        <w:rPr>
          <w:color w:val="auto"/>
        </w:rPr>
        <w:tab/>
        <w:t>čo predstavuje 82,53 % čerpanie</w:t>
      </w:r>
      <w:bookmarkEnd w:id="6"/>
      <w:bookmarkEnd w:id="7"/>
      <w:r>
        <w:rPr>
          <w:color w:val="auto"/>
        </w:rPr>
        <w:t>.</w:t>
      </w:r>
    </w:p>
    <w:p>
      <w:pPr>
        <w:pStyle w:val="Normal"/>
        <w:tabs>
          <w:tab w:val="clear" w:pos="708"/>
          <w:tab w:val="left" w:pos="286" w:leader="none"/>
        </w:tabs>
        <w:jc w:val="both"/>
        <w:rPr>
          <w:b/>
          <w:color w:val="auto"/>
        </w:rPr>
      </w:pPr>
      <w:r>
        <w:rPr>
          <w:b/>
          <w:color w:val="auto"/>
        </w:rPr>
        <w:t>e)  Splácanie úrokov z úverov</w:t>
      </w:r>
    </w:p>
    <w:p>
      <w:pPr>
        <w:pStyle w:val="Normal"/>
        <w:tabs>
          <w:tab w:val="clear" w:pos="708"/>
          <w:tab w:val="left" w:pos="286" w:leader="none"/>
        </w:tabs>
        <w:jc w:val="both"/>
        <w:rPr/>
      </w:pPr>
      <w:r>
        <w:rPr>
          <w:b/>
          <w:i/>
          <w:color w:val="auto"/>
        </w:rPr>
        <w:tab/>
      </w:r>
      <w:r>
        <w:rPr>
          <w:color w:val="auto"/>
        </w:rPr>
        <w:t xml:space="preserve">Z rozpočtovaných 6.482,00 EUR bolo skutočne čerpané k 31.12.2023 v sume 6.479,45 EUR, </w:t>
      </w:r>
    </w:p>
    <w:p>
      <w:pPr>
        <w:pStyle w:val="Normal"/>
        <w:tabs>
          <w:tab w:val="clear" w:pos="708"/>
          <w:tab w:val="left" w:pos="284" w:leader="none"/>
        </w:tabs>
        <w:rPr>
          <w:color w:val="auto"/>
        </w:rPr>
      </w:pPr>
      <w:r>
        <w:rPr>
          <w:color w:val="auto"/>
        </w:rPr>
        <w:tab/>
        <w:t>čo predstavuje 99,96% čerpanie</w:t>
      </w:r>
    </w:p>
    <w:p>
      <w:pPr>
        <w:pStyle w:val="Normal"/>
        <w:rPr>
          <w:b/>
          <w:color w:val="auto"/>
          <w:sz w:val="32"/>
        </w:rPr>
      </w:pPr>
      <w:r>
        <w:rPr>
          <w:b/>
          <w:color w:val="auto"/>
          <w:sz w:val="32"/>
        </w:rPr>
        <w:tab/>
      </w:r>
    </w:p>
    <w:p>
      <w:pPr>
        <w:pStyle w:val="Normal"/>
        <w:rPr>
          <w:color w:val="auto"/>
        </w:rPr>
      </w:pPr>
      <w:r>
        <w:rPr>
          <w:color w:val="auto"/>
        </w:rPr>
      </w:r>
    </w:p>
    <w:p>
      <w:pPr>
        <w:pStyle w:val="Normal"/>
        <w:rPr>
          <w:color w:val="C9211E"/>
        </w:rPr>
      </w:pPr>
      <w:r>
        <w:rPr>
          <w:color w:val="C9211E"/>
        </w:rPr>
      </w:r>
    </w:p>
    <w:p>
      <w:pPr>
        <w:pStyle w:val="Normal"/>
        <w:rPr>
          <w:b/>
          <w:color w:val="auto"/>
          <w:sz w:val="32"/>
        </w:rPr>
      </w:pPr>
      <w:r>
        <w:rPr>
          <w:b/>
          <w:color w:val="auto"/>
          <w:sz w:val="32"/>
        </w:rPr>
        <w:t>3.2 Kapitálové výdavky :</w:t>
      </w:r>
    </w:p>
    <w:p>
      <w:pPr>
        <w:pStyle w:val="Normal"/>
        <w:rPr>
          <w:b/>
          <w:color w:val="auto"/>
        </w:rPr>
      </w:pPr>
      <w:r>
        <w:rPr>
          <w:b/>
          <w:color w:val="auto"/>
        </w:rPr>
        <w:t xml:space="preserve"> </w:t>
      </w:r>
    </w:p>
    <w:tbl>
      <w:tblPr>
        <w:tblW w:w="9750" w:type="dxa"/>
        <w:jc w:val="left"/>
        <w:tblInd w:w="22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2"/>
        <w:gridCol w:w="2850"/>
        <w:gridCol w:w="3218"/>
      </w:tblGrid>
      <w:tr>
        <w:trPr/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</w:tcPr>
          <w:p>
            <w:pPr>
              <w:pStyle w:val="Normal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Rozpočet upravený na rok 2023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</w:tcPr>
          <w:p>
            <w:pPr>
              <w:pStyle w:val="Normal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Skutočnosť k  31.12.2023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% plnenia</w:t>
            </w:r>
          </w:p>
        </w:tc>
      </w:tr>
      <w:tr>
        <w:trPr>
          <w:trHeight w:val="164" w:hRule="atLeast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78.800,00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54.805,64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69,55</w:t>
            </w:r>
          </w:p>
        </w:tc>
      </w:tr>
    </w:tbl>
    <w:p>
      <w:pPr>
        <w:pStyle w:val="Normal"/>
        <w:tabs>
          <w:tab w:val="clear" w:pos="708"/>
          <w:tab w:val="left" w:pos="630" w:leader="none"/>
        </w:tabs>
        <w:jc w:val="both"/>
        <w:rPr>
          <w:color w:val="auto"/>
        </w:rPr>
      </w:pPr>
      <w:r>
        <w:rPr>
          <w:color w:val="auto"/>
        </w:rPr>
      </w:r>
    </w:p>
    <w:p>
      <w:pPr>
        <w:pStyle w:val="Normal"/>
        <w:tabs>
          <w:tab w:val="clear" w:pos="708"/>
          <w:tab w:val="left" w:pos="630" w:leader="none"/>
        </w:tabs>
        <w:jc w:val="both"/>
        <w:rPr>
          <w:color w:val="auto"/>
        </w:rPr>
      </w:pPr>
      <w:r>
        <w:rPr>
          <w:color w:val="auto"/>
        </w:rPr>
        <w:tab/>
        <w:t xml:space="preserve">Z rozpočtovaných výdavkových kapitálových operácií vo výške 78.800,00 EUR bolo skutočné </w:t>
        <w:tab/>
        <w:t>čerpanie k 31.12.2023 vo výške 54.805,64 EUR, čo predstavuje plnenie na 69,55%.</w:t>
      </w:r>
    </w:p>
    <w:p>
      <w:pPr>
        <w:pStyle w:val="Normal"/>
        <w:tabs>
          <w:tab w:val="clear" w:pos="708"/>
          <w:tab w:val="left" w:pos="630" w:leader="none"/>
        </w:tabs>
        <w:jc w:val="both"/>
        <w:rPr>
          <w:color w:val="C9211E"/>
        </w:rPr>
      </w:pPr>
      <w:r>
        <w:rPr>
          <w:color w:val="C9211E"/>
        </w:rPr>
      </w:r>
    </w:p>
    <w:p>
      <w:pPr>
        <w:pStyle w:val="Normal"/>
        <w:tabs>
          <w:tab w:val="clear" w:pos="708"/>
          <w:tab w:val="left" w:pos="630" w:leader="none"/>
        </w:tabs>
        <w:ind w:left="360" w:right="0"/>
        <w:jc w:val="both"/>
        <w:rPr/>
      </w:pPr>
      <w:r>
        <w:rPr>
          <w:b/>
          <w:color w:val="C9211E"/>
        </w:rPr>
        <w:tab/>
      </w:r>
      <w:r>
        <w:rPr>
          <w:b/>
          <w:color w:val="auto"/>
        </w:rPr>
        <w:t>Ide o nasledovné investičné akcie :</w:t>
      </w:r>
    </w:p>
    <w:p>
      <w:pPr>
        <w:pStyle w:val="Normal"/>
        <w:tabs>
          <w:tab w:val="clear" w:pos="708"/>
          <w:tab w:val="left" w:pos="630" w:leader="none"/>
          <w:tab w:val="left" w:pos="6240" w:leader="none"/>
        </w:tabs>
        <w:ind w:left="360" w:right="0"/>
        <w:jc w:val="both"/>
        <w:rPr>
          <w:b w:val="false"/>
          <w:bCs w:val="false"/>
          <w:color w:val="auto"/>
        </w:rPr>
      </w:pPr>
      <w:r>
        <w:rPr>
          <w:b w:val="false"/>
          <w:bCs w:val="false"/>
          <w:color w:val="auto"/>
        </w:rPr>
        <w:t>-  Nákup pozemkov</w:t>
        <w:tab/>
        <w:tab/>
        <w:tab/>
        <w:t xml:space="preserve">    500,00 EUR</w:t>
      </w:r>
    </w:p>
    <w:p>
      <w:pPr>
        <w:pStyle w:val="Normal"/>
        <w:tabs>
          <w:tab w:val="clear" w:pos="708"/>
          <w:tab w:val="left" w:pos="630" w:leader="none"/>
          <w:tab w:val="left" w:pos="6240" w:leader="none"/>
        </w:tabs>
        <w:ind w:left="360" w:right="0"/>
        <w:jc w:val="both"/>
        <w:rPr>
          <w:b w:val="false"/>
          <w:bCs w:val="false"/>
          <w:color w:val="auto"/>
        </w:rPr>
      </w:pPr>
      <w:r>
        <w:rPr>
          <w:b w:val="false"/>
          <w:bCs w:val="false"/>
          <w:color w:val="auto"/>
        </w:rPr>
        <w:t>-  Projektová dokumentácia MK</w:t>
        <w:tab/>
        <w:tab/>
        <w:t xml:space="preserve">             1.299,00 EUR</w:t>
      </w:r>
    </w:p>
    <w:p>
      <w:pPr>
        <w:pStyle w:val="Normal"/>
        <w:tabs>
          <w:tab w:val="clear" w:pos="708"/>
          <w:tab w:val="left" w:pos="630" w:leader="none"/>
          <w:tab w:val="left" w:pos="6240" w:leader="none"/>
        </w:tabs>
        <w:ind w:left="360" w:right="0"/>
        <w:jc w:val="both"/>
        <w:rPr>
          <w:b w:val="false"/>
          <w:bCs w:val="false"/>
          <w:color w:val="auto"/>
        </w:rPr>
      </w:pPr>
      <w:r>
        <w:rPr>
          <w:b w:val="false"/>
          <w:bCs w:val="false"/>
          <w:color w:val="auto"/>
        </w:rPr>
        <w:t>-  Projektová dokumentácia KD z RF                                                      3.100,00 EUR</w:t>
      </w:r>
    </w:p>
    <w:p>
      <w:pPr>
        <w:pStyle w:val="Normal"/>
        <w:tabs>
          <w:tab w:val="clear" w:pos="708"/>
          <w:tab w:val="left" w:pos="630" w:leader="none"/>
          <w:tab w:val="left" w:pos="6240" w:leader="none"/>
        </w:tabs>
        <w:ind w:left="360" w:right="0"/>
        <w:jc w:val="both"/>
        <w:rPr>
          <w:b w:val="false"/>
          <w:bCs w:val="false"/>
          <w:color w:val="auto"/>
        </w:rPr>
      </w:pPr>
      <w:r>
        <w:rPr>
          <w:b w:val="false"/>
          <w:bCs w:val="false"/>
          <w:color w:val="auto"/>
        </w:rPr>
        <w:t>-  Projektová dokumentácia MK z RF</w:t>
        <w:tab/>
        <w:tab/>
        <w:tab/>
        <w:t xml:space="preserve"> 2.297,75 EUR</w:t>
      </w:r>
    </w:p>
    <w:p>
      <w:pPr>
        <w:pStyle w:val="Normal"/>
        <w:tabs>
          <w:tab w:val="clear" w:pos="708"/>
          <w:tab w:val="left" w:pos="630" w:leader="none"/>
          <w:tab w:val="left" w:pos="6240" w:leader="none"/>
        </w:tabs>
        <w:ind w:left="360" w:right="0"/>
        <w:jc w:val="both"/>
        <w:rPr>
          <w:b w:val="false"/>
          <w:bCs w:val="false"/>
          <w:color w:val="auto"/>
        </w:rPr>
      </w:pPr>
      <w:r>
        <w:rPr>
          <w:b w:val="false"/>
          <w:bCs w:val="false"/>
          <w:color w:val="auto"/>
        </w:rPr>
        <w:t>-  Projektová dokumentácia VO</w:t>
        <w:tab/>
        <w:tab/>
        <w:tab/>
        <w:t xml:space="preserve">    990,00 EUR</w:t>
      </w:r>
    </w:p>
    <w:p>
      <w:pPr>
        <w:pStyle w:val="Normal"/>
        <w:tabs>
          <w:tab w:val="clear" w:pos="708"/>
          <w:tab w:val="left" w:pos="630" w:leader="none"/>
          <w:tab w:val="left" w:pos="6240" w:leader="none"/>
        </w:tabs>
        <w:ind w:left="360" w:right="0"/>
        <w:jc w:val="both"/>
        <w:rPr>
          <w:color w:val="auto"/>
        </w:rPr>
      </w:pPr>
      <w:r>
        <w:rPr>
          <w:color w:val="auto"/>
        </w:rPr>
        <w:t>- WIFI pre teba RF</w:t>
        <w:tab/>
        <w:tab/>
        <w:t xml:space="preserve">           14.990,00 EUR</w:t>
      </w:r>
    </w:p>
    <w:p>
      <w:pPr>
        <w:pStyle w:val="Normal"/>
        <w:tabs>
          <w:tab w:val="clear" w:pos="708"/>
          <w:tab w:val="left" w:pos="630" w:leader="none"/>
          <w:tab w:val="left" w:pos="6240" w:leader="none"/>
        </w:tabs>
        <w:ind w:left="360" w:right="0"/>
        <w:jc w:val="both"/>
        <w:rPr>
          <w:color w:val="auto"/>
        </w:rPr>
      </w:pPr>
      <w:r>
        <w:rPr>
          <w:color w:val="auto"/>
        </w:rPr>
        <w:t>- Rekonštrukcia a modernizácia – OU z RF                                          17.335,18 EUR</w:t>
      </w:r>
    </w:p>
    <w:p>
      <w:pPr>
        <w:pStyle w:val="Normal"/>
        <w:tabs>
          <w:tab w:val="clear" w:pos="708"/>
          <w:tab w:val="left" w:pos="630" w:leader="none"/>
          <w:tab w:val="left" w:pos="6240" w:leader="none"/>
        </w:tabs>
        <w:ind w:left="360" w:right="0"/>
        <w:jc w:val="both"/>
        <w:rPr>
          <w:color w:val="auto"/>
        </w:rPr>
      </w:pPr>
      <w:r>
        <w:rPr>
          <w:color w:val="auto"/>
        </w:rPr>
        <w:t xml:space="preserve">- Rekonštrukcia a modernizácia – KD zateplenie z RF                </w:t>
        <w:tab/>
        <w:t xml:space="preserve"> 6.319,71 EUR</w:t>
      </w:r>
    </w:p>
    <w:p>
      <w:pPr>
        <w:pStyle w:val="Normal"/>
        <w:tabs>
          <w:tab w:val="clear" w:pos="708"/>
          <w:tab w:val="left" w:pos="630" w:leader="none"/>
          <w:tab w:val="left" w:pos="6240" w:leader="none"/>
        </w:tabs>
        <w:ind w:left="360" w:right="0"/>
        <w:jc w:val="both"/>
        <w:rPr>
          <w:color w:val="auto"/>
        </w:rPr>
      </w:pPr>
      <w:r>
        <w:rPr>
          <w:color w:val="auto"/>
        </w:rPr>
        <w:t xml:space="preserve">- Rekonštrukcia a modernizácia – KD vykurovanie z RF               </w:t>
        <w:tab/>
        <w:t xml:space="preserve">    900,00 EUR</w:t>
      </w:r>
    </w:p>
    <w:p>
      <w:pPr>
        <w:pStyle w:val="Normal"/>
        <w:tabs>
          <w:tab w:val="clear" w:pos="708"/>
          <w:tab w:val="left" w:pos="630" w:leader="none"/>
          <w:tab w:val="left" w:pos="6240" w:leader="none"/>
        </w:tabs>
        <w:ind w:left="360" w:right="0"/>
        <w:jc w:val="both"/>
        <w:rPr>
          <w:color w:val="auto"/>
        </w:rPr>
      </w:pPr>
      <w:r>
        <w:rPr>
          <w:color w:val="auto"/>
        </w:rPr>
      </w:r>
    </w:p>
    <w:p>
      <w:pPr>
        <w:pStyle w:val="Normal"/>
        <w:ind w:left="360" w:right="0"/>
        <w:jc w:val="both"/>
        <w:rPr>
          <w:color w:val="auto"/>
        </w:rPr>
      </w:pPr>
      <w:r>
        <w:rPr>
          <w:color w:val="auto"/>
        </w:rPr>
      </w:r>
    </w:p>
    <w:p>
      <w:pPr>
        <w:pStyle w:val="Normal"/>
        <w:ind w:left="360" w:right="0"/>
        <w:jc w:val="both"/>
        <w:rPr>
          <w:color w:val="auto"/>
        </w:rPr>
      </w:pPr>
      <w:r>
        <w:rPr>
          <w:color w:val="auto"/>
        </w:rPr>
      </w:r>
    </w:p>
    <w:p>
      <w:pPr>
        <w:pStyle w:val="Normal"/>
        <w:ind w:left="567" w:right="0"/>
        <w:rPr>
          <w:b/>
          <w:color w:val="auto"/>
          <w:sz w:val="32"/>
        </w:rPr>
      </w:pPr>
      <w:r>
        <w:rPr>
          <w:b/>
          <w:color w:val="auto"/>
          <w:sz w:val="32"/>
        </w:rPr>
        <w:t>3.3 Výdavkové  finančné operácie :</w:t>
      </w:r>
    </w:p>
    <w:p>
      <w:pPr>
        <w:pStyle w:val="Normal"/>
        <w:jc w:val="both"/>
        <w:rPr>
          <w:color w:val="auto"/>
        </w:rPr>
      </w:pPr>
      <w:r>
        <w:rPr>
          <w:color w:val="auto"/>
        </w:rPr>
        <w:t xml:space="preserve">     </w:t>
      </w:r>
    </w:p>
    <w:tbl>
      <w:tblPr>
        <w:tblW w:w="9750" w:type="dxa"/>
        <w:jc w:val="left"/>
        <w:tblInd w:w="22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68"/>
        <w:gridCol w:w="2877"/>
        <w:gridCol w:w="3205"/>
      </w:tblGrid>
      <w:tr>
        <w:trPr/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</w:tcPr>
          <w:p>
            <w:pPr>
              <w:pStyle w:val="Normal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Rozpočet upravený na rok 2023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</w:tcPr>
          <w:p>
            <w:pPr>
              <w:pStyle w:val="Normal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Skutočnosť k  31.12.2023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% plnenia</w:t>
            </w:r>
          </w:p>
        </w:tc>
      </w:tr>
      <w:tr>
        <w:trPr/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193.336,00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187.415,73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color w:val="auto"/>
              </w:rPr>
              <w:t>99,98</w:t>
            </w:r>
          </w:p>
        </w:tc>
      </w:tr>
    </w:tbl>
    <w:p>
      <w:pPr>
        <w:pStyle w:val="Normal"/>
        <w:jc w:val="both"/>
        <w:rPr>
          <w:color w:val="auto"/>
        </w:rPr>
      </w:pPr>
      <w:r>
        <w:rPr>
          <w:color w:val="auto"/>
        </w:rPr>
      </w:r>
    </w:p>
    <w:p>
      <w:pPr>
        <w:pStyle w:val="Normal"/>
        <w:tabs>
          <w:tab w:val="clear" w:pos="708"/>
          <w:tab w:val="left" w:pos="630" w:leader="none"/>
        </w:tabs>
        <w:jc w:val="both"/>
        <w:rPr/>
      </w:pPr>
      <w:r>
        <w:rPr>
          <w:color w:val="C9211E"/>
        </w:rPr>
        <w:tab/>
      </w:r>
      <w:r>
        <w:rPr>
          <w:color w:val="auto"/>
        </w:rPr>
        <w:t xml:space="preserve">Z rozpočtovaných výdavkových finančných operácií vo výške 193.336,00 EUR bolo skutočné </w:t>
        <w:tab/>
        <w:t>čerpanie k 31.12.2023 vo výške 187.415,73 EUR, čo predstavuje plnenie na 99,98%</w:t>
      </w:r>
    </w:p>
    <w:p>
      <w:pPr>
        <w:pStyle w:val="Normal"/>
        <w:tabs>
          <w:tab w:val="clear" w:pos="708"/>
          <w:tab w:val="left" w:pos="630" w:leader="none"/>
        </w:tabs>
        <w:jc w:val="both"/>
        <w:rPr>
          <w:color w:val="auto"/>
        </w:rPr>
      </w:pPr>
      <w:r>
        <w:rPr>
          <w:color w:val="auto"/>
        </w:rPr>
        <w:tab/>
        <w:t>Čerpanie výdavkových finančných operácii tvorili:</w:t>
      </w:r>
    </w:p>
    <w:p>
      <w:pPr>
        <w:pStyle w:val="Normal"/>
        <w:tabs>
          <w:tab w:val="clear" w:pos="708"/>
          <w:tab w:val="left" w:pos="630" w:leader="none"/>
        </w:tabs>
        <w:jc w:val="both"/>
        <w:rPr>
          <w:color w:val="auto"/>
        </w:rPr>
      </w:pPr>
      <w:r>
        <w:rPr>
          <w:b w:val="false"/>
          <w:bCs w:val="false"/>
          <w:i w:val="false"/>
          <w:iCs w:val="false"/>
          <w:color w:val="auto"/>
          <w:sz w:val="24"/>
          <w:szCs w:val="24"/>
          <w:lang w:val="sk-SK"/>
        </w:rPr>
        <w:t>- splátkenie preklenovacích úverov na zateplenie a vykurovanie KD z dotácií</w:t>
      </w:r>
    </w:p>
    <w:p>
      <w:pPr>
        <w:pStyle w:val="Normal"/>
        <w:tabs>
          <w:tab w:val="clear" w:pos="708"/>
          <w:tab w:val="left" w:pos="630" w:leader="none"/>
        </w:tabs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4"/>
          <w:szCs w:val="24"/>
          <w:lang w:val="sk-SK"/>
        </w:rPr>
      </w:pPr>
      <w:r>
        <w:rPr>
          <w:color w:val="auto"/>
        </w:rPr>
      </w:r>
    </w:p>
    <w:p>
      <w:pPr>
        <w:pStyle w:val="Bezmezer"/>
        <w:jc w:val="both"/>
        <w:rPr>
          <w:rFonts w:ascii="Times New Roman" w:hAnsi="Times New Roman"/>
          <w:color w:val="auto"/>
          <w:lang w:val="sk-SK"/>
        </w:rPr>
      </w:pPr>
      <w:r>
        <w:rPr>
          <w:rFonts w:ascii="Times New Roman" w:hAnsi="Times New Roman"/>
          <w:color w:val="auto"/>
          <w:lang w:val="sk-SK"/>
        </w:rPr>
      </w:r>
    </w:p>
    <w:p>
      <w:pPr>
        <w:pStyle w:val="Bezmezer"/>
        <w:jc w:val="both"/>
        <w:rPr>
          <w:rFonts w:ascii="Times New Roman" w:hAnsi="Times New Roman"/>
          <w:color w:val="auto"/>
          <w:lang w:val="sk-SK"/>
        </w:rPr>
      </w:pPr>
      <w:r>
        <w:rPr>
          <w:rFonts w:ascii="Times New Roman" w:hAnsi="Times New Roman"/>
          <w:color w:val="auto"/>
          <w:lang w:val="sk-SK"/>
        </w:rPr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b/>
          <w:i/>
          <w:color w:val="auto"/>
          <w:sz w:val="24"/>
          <w:szCs w:val="24"/>
          <w:lang w:val="sk-SK"/>
        </w:rPr>
        <w:t>7.2. Prebytok/schodok rozpočtového hospodárenia za rok 202</w:t>
      </w:r>
      <w:r>
        <w:rPr>
          <w:rFonts w:ascii="Times New Roman" w:hAnsi="Times New Roman"/>
          <w:b/>
          <w:i/>
          <w:color w:val="auto"/>
          <w:sz w:val="24"/>
          <w:szCs w:val="24"/>
          <w:lang w:val="sk-SK"/>
        </w:rPr>
        <w:t>3</w:t>
      </w:r>
    </w:p>
    <w:p>
      <w:pPr>
        <w:pStyle w:val="Normal"/>
        <w:tabs>
          <w:tab w:val="clear" w:pos="708"/>
          <w:tab w:val="left" w:pos="510" w:leader="none"/>
        </w:tabs>
        <w:jc w:val="both"/>
        <w:rPr>
          <w:color w:val="auto"/>
        </w:rPr>
      </w:pPr>
      <w:r>
        <w:rPr>
          <w:color w:val="C9211E"/>
        </w:rPr>
      </w:r>
    </w:p>
    <w:tbl>
      <w:tblPr>
        <w:tblW w:w="9600" w:type="dxa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85"/>
        <w:gridCol w:w="3915"/>
      </w:tblGrid>
      <w:tr>
        <w:trPr>
          <w:trHeight w:val="300" w:hRule="atLeast"/>
        </w:trPr>
        <w:tc>
          <w:tcPr>
            <w:tcW w:w="5685" w:type="dxa"/>
            <w:tcBorders>
              <w:top w:val="double" w:sz="6" w:space="0" w:color="000000"/>
              <w:left w:val="double" w:sz="6" w:space="0" w:color="000000"/>
            </w:tcBorders>
            <w:shd w:fill="D9D9D9" w:val="clear"/>
            <w:vAlign w:val="center"/>
          </w:tcPr>
          <w:p>
            <w:pPr>
              <w:pStyle w:val="Normal"/>
              <w:snapToGrid w:val="false"/>
              <w:jc w:val="center"/>
              <w:rPr>
                <w:color w:val="auto"/>
              </w:rPr>
            </w:pPr>
            <w:r>
              <w:rPr>
                <w:color w:val="auto"/>
              </w:rPr>
            </w:r>
          </w:p>
          <w:p>
            <w:pPr>
              <w:pStyle w:val="Normal"/>
              <w:snapToGrid w:val="false"/>
              <w:jc w:val="center"/>
              <w:rPr>
                <w:color w:val="auto"/>
              </w:rPr>
            </w:pPr>
            <w:r>
              <w:rPr>
                <w:color w:val="auto"/>
              </w:rPr>
            </w:r>
          </w:p>
          <w:p>
            <w:pPr>
              <w:pStyle w:val="Normal"/>
              <w:snapToGrid w:val="false"/>
              <w:jc w:val="center"/>
              <w:rPr>
                <w:color w:val="auto"/>
              </w:rPr>
            </w:pPr>
            <w:r>
              <w:rPr>
                <w:color w:val="auto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rStyle w:val="Strong"/>
                <w:color w:val="auto"/>
              </w:rPr>
              <w:t>Hospodárenie obce</w:t>
            </w:r>
          </w:p>
        </w:tc>
        <w:tc>
          <w:tcPr>
            <w:tcW w:w="3915" w:type="dxa"/>
            <w:vMerge w:val="restart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fill="D9D9D9" w:val="clear"/>
            <w:vAlign w:val="center"/>
          </w:tcPr>
          <w:p>
            <w:pPr>
              <w:pStyle w:val="Normal"/>
              <w:tabs>
                <w:tab w:val="clear" w:pos="708"/>
                <w:tab w:val="right" w:pos="8820" w:leader="none"/>
              </w:tabs>
              <w:snapToGrid w:val="false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</w:r>
          </w:p>
          <w:p>
            <w:pPr>
              <w:pStyle w:val="Normal"/>
              <w:tabs>
                <w:tab w:val="clear" w:pos="708"/>
                <w:tab w:val="right" w:pos="8820" w:leader="none"/>
              </w:tabs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</w:r>
          </w:p>
          <w:p>
            <w:pPr>
              <w:pStyle w:val="Normal"/>
              <w:tabs>
                <w:tab w:val="clear" w:pos="708"/>
                <w:tab w:val="right" w:pos="8820" w:leader="none"/>
              </w:tabs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</w:r>
          </w:p>
          <w:p>
            <w:pPr>
              <w:pStyle w:val="Normal"/>
              <w:tabs>
                <w:tab w:val="clear" w:pos="708"/>
                <w:tab w:val="right" w:pos="8820" w:leader="none"/>
              </w:tabs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Skutočnosť k  31.12.2023 EUR</w:t>
            </w:r>
          </w:p>
          <w:p>
            <w:pPr>
              <w:pStyle w:val="Normal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</w:r>
          </w:p>
        </w:tc>
      </w:tr>
      <w:tr>
        <w:trPr>
          <w:trHeight w:val="300" w:hRule="atLeast"/>
        </w:trPr>
        <w:tc>
          <w:tcPr>
            <w:tcW w:w="5685" w:type="dxa"/>
            <w:tcBorders>
              <w:left w:val="double" w:sz="6" w:space="0" w:color="000000"/>
              <w:bottom w:val="single" w:sz="8" w:space="0" w:color="000000"/>
            </w:tcBorders>
            <w:shd w:fill="D9D9D9" w:val="clear"/>
            <w:vAlign w:val="center"/>
          </w:tcPr>
          <w:p>
            <w:pPr>
              <w:pStyle w:val="Normal"/>
              <w:snapToGrid w:val="false"/>
              <w:rPr>
                <w:b/>
                <w:color w:val="auto"/>
              </w:rPr>
            </w:pPr>
            <w:r>
              <w:rPr>
                <w:b/>
                <w:color w:val="auto"/>
              </w:rPr>
            </w:r>
          </w:p>
        </w:tc>
        <w:tc>
          <w:tcPr>
            <w:tcW w:w="3915" w:type="dxa"/>
            <w:vMerge w:val="continue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fill="D9D9D9" w:val="clear"/>
            <w:vAlign w:val="center"/>
          </w:tcPr>
          <w:p>
            <w:pPr>
              <w:pStyle w:val="Normal"/>
              <w:snapToGrid w:val="false"/>
              <w:rPr>
                <w:b/>
                <w:color w:val="auto"/>
              </w:rPr>
            </w:pPr>
            <w:r>
              <w:rPr>
                <w:b/>
                <w:color w:val="auto"/>
              </w:rPr>
            </w:r>
          </w:p>
        </w:tc>
      </w:tr>
      <w:tr>
        <w:trPr>
          <w:trHeight w:val="300" w:hRule="atLeast"/>
        </w:trPr>
        <w:tc>
          <w:tcPr>
            <w:tcW w:w="5685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fill="DDD9C3" w:val="clear"/>
            <w:vAlign w:val="center"/>
          </w:tcPr>
          <w:p>
            <w:pPr>
              <w:pStyle w:val="Normal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Bežné  príjmy spol</w:t>
            </w:r>
          </w:p>
        </w:tc>
        <w:tc>
          <w:tcPr>
            <w:tcW w:w="3915" w:type="dxa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fill="FFFFFF" w:val="clear"/>
            <w:vAlign w:val="center"/>
          </w:tcPr>
          <w:p>
            <w:pPr>
              <w:pStyle w:val="Normal"/>
              <w:jc w:val="right"/>
              <w:rPr>
                <w:b/>
                <w:color w:val="auto"/>
              </w:rPr>
            </w:pPr>
            <w:r>
              <w:rPr>
                <w:b/>
                <w:color w:val="auto"/>
              </w:rPr>
              <w:t>144.639,29</w:t>
            </w:r>
          </w:p>
        </w:tc>
      </w:tr>
      <w:tr>
        <w:trPr>
          <w:trHeight w:val="300" w:hRule="atLeast"/>
        </w:trPr>
        <w:tc>
          <w:tcPr>
            <w:tcW w:w="5685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915" w:type="dxa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vAlign w:val="center"/>
          </w:tcPr>
          <w:p>
            <w:pPr>
              <w:pStyle w:val="Normal"/>
              <w:jc w:val="right"/>
              <w:rPr/>
            </w:pPr>
            <w:r>
              <w:rPr>
                <w:rStyle w:val="Emphasis"/>
                <w:i w:val="false"/>
                <w:color w:val="auto"/>
                <w:sz w:val="20"/>
                <w:szCs w:val="20"/>
              </w:rPr>
              <w:t>144.639,29</w:t>
            </w:r>
          </w:p>
        </w:tc>
      </w:tr>
      <w:tr>
        <w:trPr>
          <w:trHeight w:val="300" w:hRule="atLeast"/>
        </w:trPr>
        <w:tc>
          <w:tcPr>
            <w:tcW w:w="5685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fill="DDD9C3" w:val="clear"/>
            <w:vAlign w:val="center"/>
          </w:tcPr>
          <w:p>
            <w:pPr>
              <w:pStyle w:val="Normal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Bežné výdavky spolu</w:t>
            </w:r>
          </w:p>
        </w:tc>
        <w:tc>
          <w:tcPr>
            <w:tcW w:w="3915" w:type="dxa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fill="FFFFFF" w:val="clear"/>
            <w:vAlign w:val="center"/>
          </w:tcPr>
          <w:p>
            <w:pPr>
              <w:pStyle w:val="Normal"/>
              <w:jc w:val="right"/>
              <w:rPr>
                <w:b/>
                <w:color w:val="auto"/>
              </w:rPr>
            </w:pPr>
            <w:r>
              <w:rPr>
                <w:b/>
                <w:color w:val="auto"/>
              </w:rPr>
              <w:t>111.792,99</w:t>
            </w:r>
          </w:p>
        </w:tc>
      </w:tr>
      <w:tr>
        <w:trPr>
          <w:trHeight w:val="300" w:hRule="atLeast"/>
        </w:trPr>
        <w:tc>
          <w:tcPr>
            <w:tcW w:w="5685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915" w:type="dxa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vAlign w:val="center"/>
          </w:tcPr>
          <w:p>
            <w:pPr>
              <w:pStyle w:val="Normal"/>
              <w:jc w:val="right"/>
              <w:rPr/>
            </w:pPr>
            <w:r>
              <w:rPr>
                <w:rStyle w:val="Emphasis"/>
                <w:i w:val="false"/>
                <w:color w:val="auto"/>
                <w:sz w:val="20"/>
                <w:szCs w:val="20"/>
              </w:rPr>
              <w:t>111.792,99</w:t>
            </w:r>
          </w:p>
        </w:tc>
      </w:tr>
      <w:tr>
        <w:trPr>
          <w:trHeight w:val="285" w:hRule="atLeast"/>
        </w:trPr>
        <w:tc>
          <w:tcPr>
            <w:tcW w:w="5685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fill="D9D9D9" w:val="clear"/>
            <w:vAlign w:val="center"/>
          </w:tcPr>
          <w:p>
            <w:pPr>
              <w:pStyle w:val="Normal"/>
              <w:rPr/>
            </w:pPr>
            <w:r>
              <w:rPr>
                <w:rStyle w:val="Emphasis"/>
                <w:b/>
                <w:bCs/>
                <w:color w:val="auto"/>
                <w:sz w:val="20"/>
                <w:szCs w:val="20"/>
              </w:rPr>
              <w:t>Bežný rozpočet</w:t>
            </w:r>
          </w:p>
        </w:tc>
        <w:tc>
          <w:tcPr>
            <w:tcW w:w="3915" w:type="dxa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fill="D9D9D9" w:val="clear"/>
            <w:vAlign w:val="center"/>
          </w:tcPr>
          <w:p>
            <w:pPr>
              <w:pStyle w:val="Normal"/>
              <w:jc w:val="right"/>
              <w:rPr>
                <w:b/>
                <w:color w:val="auto"/>
              </w:rPr>
            </w:pPr>
            <w:r>
              <w:rPr>
                <w:b/>
                <w:color w:val="auto"/>
              </w:rPr>
              <w:t>32.846,30</w:t>
            </w:r>
          </w:p>
        </w:tc>
      </w:tr>
      <w:tr>
        <w:trPr>
          <w:trHeight w:val="300" w:hRule="atLeast"/>
        </w:trPr>
        <w:tc>
          <w:tcPr>
            <w:tcW w:w="5685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fill="DDD9C3" w:val="clear"/>
            <w:vAlign w:val="center"/>
          </w:tcPr>
          <w:p>
            <w:pPr>
              <w:pStyle w:val="Normal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Kapitálové  príjmy spolu</w:t>
            </w:r>
          </w:p>
        </w:tc>
        <w:tc>
          <w:tcPr>
            <w:tcW w:w="3915" w:type="dxa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fill="FFFFFF" w:val="clear"/>
            <w:vAlign w:val="center"/>
          </w:tcPr>
          <w:p>
            <w:pPr>
              <w:pStyle w:val="Normal"/>
              <w:jc w:val="right"/>
              <w:rPr>
                <w:b/>
                <w:color w:val="auto"/>
              </w:rPr>
            </w:pPr>
            <w:r>
              <w:rPr>
                <w:b/>
                <w:color w:val="auto"/>
              </w:rPr>
              <w:t>200.035,44</w:t>
            </w:r>
          </w:p>
        </w:tc>
      </w:tr>
      <w:tr>
        <w:trPr>
          <w:trHeight w:val="300" w:hRule="atLeast"/>
        </w:trPr>
        <w:tc>
          <w:tcPr>
            <w:tcW w:w="5685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915" w:type="dxa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vAlign w:val="center"/>
          </w:tcPr>
          <w:p>
            <w:pPr>
              <w:pStyle w:val="Normal"/>
              <w:jc w:val="right"/>
              <w:rPr/>
            </w:pPr>
            <w:r>
              <w:rPr>
                <w:rStyle w:val="Emphasis"/>
                <w:i w:val="false"/>
                <w:color w:val="auto"/>
                <w:sz w:val="20"/>
                <w:szCs w:val="20"/>
              </w:rPr>
              <w:t>200.035,44</w:t>
            </w:r>
          </w:p>
        </w:tc>
      </w:tr>
      <w:tr>
        <w:trPr>
          <w:trHeight w:val="300" w:hRule="atLeast"/>
        </w:trPr>
        <w:tc>
          <w:tcPr>
            <w:tcW w:w="5685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fill="DDD9C3" w:val="clear"/>
            <w:vAlign w:val="center"/>
          </w:tcPr>
          <w:p>
            <w:pPr>
              <w:pStyle w:val="Normal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Kapitálové  výdavky spolu</w:t>
            </w:r>
          </w:p>
        </w:tc>
        <w:tc>
          <w:tcPr>
            <w:tcW w:w="3915" w:type="dxa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fill="FFFFFF" w:val="clear"/>
            <w:vAlign w:val="center"/>
          </w:tcPr>
          <w:p>
            <w:pPr>
              <w:pStyle w:val="Normal"/>
              <w:jc w:val="right"/>
              <w:rPr>
                <w:b/>
                <w:color w:val="auto"/>
              </w:rPr>
            </w:pPr>
            <w:r>
              <w:rPr>
                <w:b/>
                <w:color w:val="auto"/>
              </w:rPr>
              <w:t>54.805,64</w:t>
            </w:r>
          </w:p>
        </w:tc>
      </w:tr>
      <w:tr>
        <w:trPr>
          <w:trHeight w:val="274" w:hRule="atLeast"/>
        </w:trPr>
        <w:tc>
          <w:tcPr>
            <w:tcW w:w="5685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915" w:type="dxa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vAlign w:val="center"/>
          </w:tcPr>
          <w:p>
            <w:pPr>
              <w:pStyle w:val="Normal"/>
              <w:jc w:val="right"/>
              <w:rPr/>
            </w:pPr>
            <w:r>
              <w:rPr>
                <w:rStyle w:val="Emphasis"/>
                <w:i w:val="false"/>
                <w:color w:val="auto"/>
                <w:sz w:val="20"/>
                <w:szCs w:val="20"/>
              </w:rPr>
              <w:t>54.805,64</w:t>
            </w:r>
          </w:p>
        </w:tc>
      </w:tr>
      <w:tr>
        <w:trPr>
          <w:trHeight w:val="285" w:hRule="atLeast"/>
        </w:trPr>
        <w:tc>
          <w:tcPr>
            <w:tcW w:w="5685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fill="D9D9D9" w:val="clear"/>
            <w:vAlign w:val="center"/>
          </w:tcPr>
          <w:p>
            <w:pPr>
              <w:pStyle w:val="Normal"/>
              <w:rPr>
                <w:b/>
                <w:i/>
                <w:i/>
                <w:color w:val="auto"/>
                <w:sz w:val="20"/>
                <w:szCs w:val="20"/>
              </w:rPr>
            </w:pPr>
            <w:r>
              <w:rPr>
                <w:b/>
                <w:i/>
                <w:color w:val="auto"/>
                <w:sz w:val="20"/>
                <w:szCs w:val="20"/>
              </w:rPr>
              <w:t xml:space="preserve">Kapitálový rozpočet </w:t>
            </w:r>
          </w:p>
        </w:tc>
        <w:tc>
          <w:tcPr>
            <w:tcW w:w="3915" w:type="dxa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fill="D9D9D9" w:val="clear"/>
            <w:vAlign w:val="center"/>
          </w:tcPr>
          <w:p>
            <w:pPr>
              <w:pStyle w:val="Normal"/>
              <w:jc w:val="right"/>
              <w:rPr>
                <w:b/>
                <w:color w:val="auto"/>
              </w:rPr>
            </w:pPr>
            <w:r>
              <w:rPr>
                <w:b/>
                <w:color w:val="auto"/>
              </w:rPr>
              <w:t>145.229,80</w:t>
            </w:r>
          </w:p>
        </w:tc>
      </w:tr>
      <w:tr>
        <w:trPr>
          <w:trHeight w:val="285" w:hRule="atLeast"/>
        </w:trPr>
        <w:tc>
          <w:tcPr>
            <w:tcW w:w="5685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fill="DDD9C3" w:val="clear"/>
            <w:vAlign w:val="center"/>
          </w:tcPr>
          <w:p>
            <w:pPr>
              <w:pStyle w:val="Normal"/>
              <w:rPr/>
            </w:pPr>
            <w:r>
              <w:rPr>
                <w:rStyle w:val="Emphasis"/>
                <w:b/>
                <w:bCs/>
                <w:color w:val="auto"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915" w:type="dxa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fill="DDD9C3" w:val="clear"/>
            <w:vAlign w:val="center"/>
          </w:tcPr>
          <w:p>
            <w:pPr>
              <w:pStyle w:val="Normal"/>
              <w:jc w:val="right"/>
              <w:rPr>
                <w:b/>
                <w:color w:val="auto"/>
              </w:rPr>
            </w:pPr>
            <w:r>
              <w:rPr>
                <w:b/>
                <w:color w:val="auto"/>
              </w:rPr>
              <w:t>178.076,10</w:t>
            </w:r>
          </w:p>
        </w:tc>
      </w:tr>
      <w:tr>
        <w:trPr>
          <w:trHeight w:val="342" w:hRule="atLeast"/>
        </w:trPr>
        <w:tc>
          <w:tcPr>
            <w:tcW w:w="5685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rPr/>
            </w:pPr>
            <w:r>
              <w:rPr>
                <w:rStyle w:val="Emphasis"/>
                <w:b/>
                <w:color w:val="auto"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915" w:type="dxa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fill="FFFFFF" w:val="clear"/>
            <w:vAlign w:val="center"/>
          </w:tcPr>
          <w:p>
            <w:pPr>
              <w:pStyle w:val="Normal"/>
              <w:jc w:val="righ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5.069,05</w:t>
            </w:r>
          </w:p>
        </w:tc>
      </w:tr>
      <w:tr>
        <w:trPr>
          <w:trHeight w:val="285" w:hRule="atLeast"/>
        </w:trPr>
        <w:tc>
          <w:tcPr>
            <w:tcW w:w="5685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fill="DDD9C3" w:val="clear"/>
            <w:vAlign w:val="center"/>
          </w:tcPr>
          <w:p>
            <w:pPr>
              <w:pStyle w:val="Normal"/>
              <w:rPr/>
            </w:pPr>
            <w:r>
              <w:rPr>
                <w:rStyle w:val="Emphasis"/>
                <w:b/>
                <w:color w:val="auto"/>
                <w:sz w:val="20"/>
                <w:szCs w:val="20"/>
              </w:rPr>
              <w:t xml:space="preserve">Upravený prebytok/schodok </w:t>
            </w:r>
            <w:r>
              <w:rPr>
                <w:rStyle w:val="Emphasis"/>
                <w:b/>
                <w:bCs/>
                <w:color w:val="auto"/>
                <w:sz w:val="20"/>
                <w:szCs w:val="20"/>
              </w:rPr>
              <w:t>bežného a kapitálového rozpočtu</w:t>
            </w:r>
          </w:p>
        </w:tc>
        <w:tc>
          <w:tcPr>
            <w:tcW w:w="3915" w:type="dxa"/>
            <w:tcBorders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fill="DDD9C3" w:val="clear"/>
            <w:vAlign w:val="center"/>
          </w:tcPr>
          <w:p>
            <w:pPr>
              <w:pStyle w:val="Normal"/>
              <w:jc w:val="right"/>
              <w:rPr>
                <w:b/>
                <w:color w:val="auto"/>
              </w:rPr>
            </w:pPr>
            <w:r>
              <w:rPr>
                <w:b/>
                <w:color w:val="auto"/>
              </w:rPr>
              <w:t>173.007,05</w:t>
            </w:r>
          </w:p>
        </w:tc>
      </w:tr>
      <w:tr>
        <w:trPr>
          <w:trHeight w:val="300" w:hRule="atLeast"/>
        </w:trPr>
        <w:tc>
          <w:tcPr>
            <w:tcW w:w="5685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Príjmy z finančných operácií</w:t>
            </w:r>
          </w:p>
        </w:tc>
        <w:tc>
          <w:tcPr>
            <w:tcW w:w="3915" w:type="dxa"/>
            <w:tcBorders>
              <w:left w:val="single" w:sz="8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auto"/>
              </w:rPr>
            </w:pPr>
            <w:r>
              <w:rPr>
                <w:color w:val="auto"/>
              </w:rPr>
              <w:t>57.760,26</w:t>
            </w:r>
          </w:p>
        </w:tc>
      </w:tr>
      <w:tr>
        <w:trPr>
          <w:trHeight w:val="300" w:hRule="atLeast"/>
        </w:trPr>
        <w:tc>
          <w:tcPr>
            <w:tcW w:w="5685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Výdavky z finančných operácií</w:t>
            </w:r>
          </w:p>
        </w:tc>
        <w:tc>
          <w:tcPr>
            <w:tcW w:w="3915" w:type="dxa"/>
            <w:tcBorders>
              <w:left w:val="single" w:sz="8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auto"/>
              </w:rPr>
            </w:pPr>
            <w:r>
              <w:rPr>
                <w:color w:val="auto"/>
              </w:rPr>
              <w:t>187.415,73</w:t>
            </w:r>
          </w:p>
        </w:tc>
      </w:tr>
      <w:tr>
        <w:trPr>
          <w:trHeight w:val="285" w:hRule="atLeast"/>
        </w:trPr>
        <w:tc>
          <w:tcPr>
            <w:tcW w:w="5685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</w:tcBorders>
            <w:shd w:fill="D9D9D9" w:val="clear"/>
            <w:vAlign w:val="center"/>
          </w:tcPr>
          <w:p>
            <w:pPr>
              <w:pStyle w:val="Normal"/>
              <w:rPr/>
            </w:pPr>
            <w:r>
              <w:rPr>
                <w:rStyle w:val="Emphasis"/>
                <w:b/>
                <w:bCs/>
                <w:color w:val="auto"/>
                <w:sz w:val="20"/>
                <w:szCs w:val="20"/>
              </w:rPr>
              <w:t>Rozdiel finančných operácií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fill="D9D9D9" w:val="clear"/>
            <w:vAlign w:val="center"/>
          </w:tcPr>
          <w:p>
            <w:pPr>
              <w:pStyle w:val="Normal"/>
              <w:jc w:val="right"/>
              <w:rPr/>
            </w:pPr>
            <w:r>
              <w:rPr>
                <w:b/>
                <w:color w:val="auto"/>
              </w:rPr>
              <w:t>-129.655,47</w:t>
            </w:r>
          </w:p>
        </w:tc>
      </w:tr>
      <w:tr>
        <w:trPr>
          <w:trHeight w:val="300" w:hRule="atLeast"/>
        </w:trPr>
        <w:tc>
          <w:tcPr>
            <w:tcW w:w="568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ind w:left="-85" w:right="0"/>
              <w:rPr>
                <w:caps/>
                <w:color w:val="auto"/>
                <w:sz w:val="20"/>
                <w:szCs w:val="20"/>
              </w:rPr>
            </w:pPr>
            <w:r>
              <w:rPr>
                <w:caps/>
                <w:color w:val="auto"/>
                <w:sz w:val="20"/>
                <w:szCs w:val="20"/>
              </w:rPr>
              <w:t xml:space="preserve">Príjmy spolu  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ind w:right="-108"/>
              <w:jc w:val="right"/>
              <w:rPr>
                <w:caps/>
                <w:color w:val="auto"/>
              </w:rPr>
            </w:pPr>
            <w:r>
              <w:rPr>
                <w:caps/>
                <w:color w:val="auto"/>
              </w:rPr>
              <w:t>402.434,99</w:t>
            </w:r>
          </w:p>
        </w:tc>
      </w:tr>
      <w:tr>
        <w:trPr>
          <w:trHeight w:val="300" w:hRule="atLeast"/>
        </w:trPr>
        <w:tc>
          <w:tcPr>
            <w:tcW w:w="568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ind w:left="-85" w:right="0"/>
              <w:rPr/>
            </w:pPr>
            <w:r>
              <w:rPr>
                <w:caps/>
                <w:color w:val="auto"/>
                <w:sz w:val="20"/>
                <w:szCs w:val="20"/>
              </w:rPr>
              <w:t>VÝDAVKY</w:t>
            </w:r>
            <w:r>
              <w:rPr>
                <w:color w:val="auto"/>
                <w:sz w:val="20"/>
                <w:szCs w:val="20"/>
              </w:rPr>
              <w:t xml:space="preserve"> SPOLU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ind w:right="-108"/>
              <w:jc w:val="right"/>
              <w:rPr>
                <w:color w:val="auto"/>
              </w:rPr>
            </w:pPr>
            <w:r>
              <w:rPr>
                <w:color w:val="auto"/>
              </w:rPr>
              <w:t>354.014,36</w:t>
            </w:r>
          </w:p>
        </w:tc>
      </w:tr>
      <w:tr>
        <w:trPr>
          <w:trHeight w:val="285" w:hRule="atLeast"/>
        </w:trPr>
        <w:tc>
          <w:tcPr>
            <w:tcW w:w="568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</w:tcBorders>
            <w:shd w:fill="DDD9C3" w:val="clear"/>
            <w:tcMar>
              <w:left w:w="108" w:type="dxa"/>
              <w:right w:w="108" w:type="dxa"/>
            </w:tcMar>
          </w:tcPr>
          <w:p>
            <w:pPr>
              <w:pStyle w:val="Normal"/>
              <w:ind w:left="-85" w:right="0"/>
              <w:rPr/>
            </w:pPr>
            <w:r>
              <w:rPr>
                <w:rStyle w:val="Emphasis"/>
                <w:b/>
                <w:bCs/>
                <w:color w:val="auto"/>
                <w:sz w:val="20"/>
                <w:szCs w:val="20"/>
              </w:rPr>
              <w:t xml:space="preserve">Hospodárenie obce 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fill="DDD9C3" w:val="clear"/>
            <w:tcMar>
              <w:left w:w="108" w:type="dxa"/>
              <w:right w:w="108" w:type="dxa"/>
            </w:tcMar>
          </w:tcPr>
          <w:p>
            <w:pPr>
              <w:pStyle w:val="Normal"/>
              <w:ind w:right="-108"/>
              <w:jc w:val="right"/>
              <w:rPr>
                <w:b/>
                <w:color w:val="auto"/>
              </w:rPr>
            </w:pPr>
            <w:r>
              <w:rPr>
                <w:b/>
                <w:color w:val="auto"/>
              </w:rPr>
              <w:t>48.420,63</w:t>
            </w:r>
          </w:p>
        </w:tc>
      </w:tr>
      <w:tr>
        <w:trPr>
          <w:trHeight w:val="300" w:hRule="atLeast"/>
        </w:trPr>
        <w:tc>
          <w:tcPr>
            <w:tcW w:w="568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ind w:left="-85" w:right="0"/>
              <w:rPr/>
            </w:pPr>
            <w:r>
              <w:rPr>
                <w:rStyle w:val="Emphasis"/>
                <w:b/>
                <w:color w:val="auto"/>
                <w:sz w:val="20"/>
                <w:szCs w:val="20"/>
              </w:rPr>
              <w:t>Vylúčenie z prebytku (fond oprav+zábezpeky BD + dotácie)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ind w:right="-108"/>
              <w:jc w:val="right"/>
              <w:rPr>
                <w:color w:val="auto"/>
              </w:rPr>
            </w:pPr>
            <w:r>
              <w:rPr>
                <w:color w:val="auto"/>
              </w:rPr>
              <w:t>5.069,05</w:t>
            </w:r>
          </w:p>
        </w:tc>
      </w:tr>
      <w:tr>
        <w:trPr>
          <w:trHeight w:val="330" w:hRule="atLeast"/>
        </w:trPr>
        <w:tc>
          <w:tcPr>
            <w:tcW w:w="568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</w:tcBorders>
            <w:shd w:fill="D9D9D9" w:val="clear"/>
            <w:tcMar>
              <w:left w:w="108" w:type="dxa"/>
              <w:right w:w="108" w:type="dxa"/>
            </w:tcMar>
          </w:tcPr>
          <w:p>
            <w:pPr>
              <w:pStyle w:val="Normal"/>
              <w:ind w:left="-85" w:right="0"/>
              <w:rPr/>
            </w:pPr>
            <w:r>
              <w:rPr>
                <w:rStyle w:val="Emphasis"/>
                <w:b/>
                <w:bCs/>
                <w:color w:val="auto"/>
                <w:sz w:val="20"/>
                <w:szCs w:val="20"/>
              </w:rPr>
              <w:t>Upravené hospodárenie obce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fill="D9D9D9" w:val="clear"/>
            <w:tcMar>
              <w:left w:w="108" w:type="dxa"/>
              <w:right w:w="108" w:type="dxa"/>
            </w:tcMar>
          </w:tcPr>
          <w:p>
            <w:pPr>
              <w:pStyle w:val="Normal"/>
              <w:ind w:right="-108"/>
              <w:jc w:val="right"/>
              <w:rPr>
                <w:b/>
                <w:color w:val="auto"/>
              </w:rPr>
            </w:pPr>
            <w:r>
              <w:rPr>
                <w:b/>
                <w:color w:val="auto"/>
              </w:rPr>
              <w:t>43.351,58</w:t>
            </w:r>
          </w:p>
        </w:tc>
      </w:tr>
    </w:tbl>
    <w:p>
      <w:pPr>
        <w:pStyle w:val="Normal"/>
        <w:tabs>
          <w:tab w:val="clear" w:pos="708"/>
          <w:tab w:val="right" w:pos="7740" w:leader="none"/>
        </w:tabs>
        <w:jc w:val="both"/>
        <w:rPr>
          <w:color w:val="C9211E"/>
        </w:rPr>
      </w:pPr>
      <w:r>
        <w:rPr>
          <w:color w:val="C9211E"/>
        </w:rPr>
      </w:r>
    </w:p>
    <w:p>
      <w:pPr>
        <w:pStyle w:val="Normal"/>
        <w:tabs>
          <w:tab w:val="clear" w:pos="708"/>
          <w:tab w:val="right" w:pos="7740" w:leader="none"/>
        </w:tabs>
        <w:jc w:val="both"/>
        <w:rPr/>
      </w:pPr>
      <w:r>
        <w:rPr>
          <w:b/>
          <w:color w:val="auto"/>
        </w:rPr>
        <w:t>Prebytok bežného a kapitálového rozpočtu v sume 178.076,10 EUR</w:t>
      </w:r>
      <w:r>
        <w:rPr>
          <w:color w:val="auto"/>
        </w:rPr>
        <w:t xml:space="preserve">  zistený podľa ustanovenia § 10 ods. 3 písm. a) a b) zákona č. 583/2004 Z. z. o rozpočtových pravidlách územnej samosprávy a o zmene a doplnení niektorých zákonov v znení neskorších predpisov, </w:t>
      </w:r>
      <w:r>
        <w:rPr>
          <w:b/>
          <w:color w:val="auto"/>
        </w:rPr>
        <w:t>upravený</w:t>
      </w:r>
      <w:r>
        <w:rPr>
          <w:color w:val="auto"/>
        </w:rPr>
        <w:t xml:space="preserve"> o: </w:t>
      </w:r>
    </w:p>
    <w:p>
      <w:pPr>
        <w:pStyle w:val="Normal"/>
        <w:tabs>
          <w:tab w:val="clear" w:pos="708"/>
          <w:tab w:val="right" w:pos="7740" w:leader="none"/>
        </w:tabs>
        <w:jc w:val="both"/>
        <w:rPr/>
      </w:pPr>
      <w:r>
        <w:rPr>
          <w:b w:val="false"/>
          <w:bCs w:val="false"/>
          <w:color w:val="auto"/>
        </w:rPr>
        <w:tab/>
        <w:t>- nevyčerpané granty na územný plán: 4.926,00 EUR</w:t>
      </w:r>
    </w:p>
    <w:p>
      <w:pPr>
        <w:pStyle w:val="Normal"/>
        <w:tabs>
          <w:tab w:val="clear" w:pos="708"/>
          <w:tab w:val="right" w:pos="7740" w:leader="none"/>
        </w:tabs>
        <w:jc w:val="both"/>
        <w:rPr/>
      </w:pPr>
      <w:r>
        <w:rPr>
          <w:b w:val="false"/>
          <w:bCs w:val="false"/>
          <w:color w:val="auto"/>
        </w:rPr>
        <w:tab/>
        <w:t xml:space="preserve">        - nevyčerpané granty zabudnutá minulosť: 143,05 EUR</w:t>
      </w:r>
    </w:p>
    <w:p>
      <w:pPr>
        <w:pStyle w:val="Normal"/>
        <w:tabs>
          <w:tab w:val="clear" w:pos="708"/>
          <w:tab w:val="right" w:pos="7740" w:leader="none"/>
        </w:tabs>
        <w:jc w:val="both"/>
        <w:rPr>
          <w:color w:val="auto"/>
        </w:rPr>
      </w:pPr>
      <w:r>
        <w:rPr>
          <w:color w:val="auto"/>
        </w:rPr>
      </w:r>
    </w:p>
    <w:p>
      <w:pPr>
        <w:pStyle w:val="Normal"/>
        <w:tabs>
          <w:tab w:val="clear" w:pos="708"/>
          <w:tab w:val="right" w:pos="7740" w:leader="none"/>
        </w:tabs>
        <w:jc w:val="both"/>
        <w:rPr>
          <w:color w:val="auto"/>
        </w:rPr>
      </w:pPr>
      <w:r>
        <w:rPr>
          <w:color w:val="auto"/>
        </w:rPr>
        <w:t>navrhujeme použiť na :</w:t>
      </w:r>
    </w:p>
    <w:p>
      <w:pPr>
        <w:pStyle w:val="Normal"/>
        <w:tabs>
          <w:tab w:val="clear" w:pos="708"/>
          <w:tab w:val="right" w:pos="7740" w:leader="none"/>
        </w:tabs>
        <w:jc w:val="both"/>
        <w:rPr/>
      </w:pPr>
      <w:r>
        <w:rPr>
          <w:color w:val="auto"/>
        </w:rPr>
        <w:t xml:space="preserve">     </w:t>
      </w:r>
      <w:r>
        <w:rPr>
          <w:b/>
          <w:bCs/>
          <w:color w:val="auto"/>
        </w:rPr>
        <w:t xml:space="preserve"> </w:t>
      </w:r>
      <w:r>
        <w:rPr>
          <w:b/>
          <w:bCs/>
          <w:color w:val="auto"/>
        </w:rPr>
        <w:t>-     krytie schodku finančných operácií vo výške 129.655,47 EUR</w:t>
      </w:r>
      <w:r>
        <w:rPr>
          <w:color w:val="auto"/>
        </w:rPr>
        <w:tab/>
        <w:tab/>
        <w:tab/>
        <w:tab/>
        <w:tab/>
      </w:r>
    </w:p>
    <w:p>
      <w:pPr>
        <w:pStyle w:val="Normal"/>
        <w:numPr>
          <w:ilvl w:val="0"/>
          <w:numId w:val="4"/>
        </w:numPr>
        <w:tabs>
          <w:tab w:val="clear" w:pos="708"/>
          <w:tab w:val="right" w:pos="5580" w:leader="none"/>
        </w:tabs>
        <w:jc w:val="both"/>
        <w:rPr>
          <w:b/>
          <w:bCs/>
          <w:color w:val="C9211E"/>
        </w:rPr>
      </w:pPr>
      <w:r>
        <w:rPr>
          <w:b/>
          <w:bCs/>
          <w:color w:val="auto"/>
        </w:rPr>
        <w:t>tvorbu rezervného fondu vo výške</w:t>
        <w:tab/>
        <w:t xml:space="preserve"> 43.351,58 EUR</w:t>
        <w:tab/>
      </w:r>
    </w:p>
    <w:p>
      <w:pPr>
        <w:pStyle w:val="Normal"/>
        <w:numPr>
          <w:ilvl w:val="0"/>
          <w:numId w:val="0"/>
        </w:numPr>
        <w:tabs>
          <w:tab w:val="clear" w:pos="708"/>
          <w:tab w:val="right" w:pos="5580" w:leader="none"/>
        </w:tabs>
        <w:ind w:hanging="0" w:left="720" w:right="0"/>
        <w:jc w:val="both"/>
        <w:rPr>
          <w:b/>
          <w:bCs/>
          <w:color w:val="C9211E"/>
        </w:rPr>
      </w:pPr>
      <w:r>
        <w:rPr>
          <w:b/>
          <w:bCs/>
          <w:color w:val="C9211E"/>
        </w:rPr>
      </w:r>
    </w:p>
    <w:p>
      <w:pPr>
        <w:pStyle w:val="Normal"/>
        <w:tabs>
          <w:tab w:val="clear" w:pos="708"/>
          <w:tab w:val="right" w:pos="7740" w:leader="none"/>
        </w:tabs>
        <w:jc w:val="both"/>
        <w:rPr>
          <w:b w:val="false"/>
          <w:bCs w:val="false"/>
          <w:iCs/>
          <w:color w:val="C9211E"/>
        </w:rPr>
      </w:pPr>
      <w:r>
        <w:rPr>
          <w:b w:val="false"/>
          <w:bCs w:val="false"/>
          <w:iCs/>
          <w:color w:val="C9211E"/>
        </w:rPr>
      </w:r>
    </w:p>
    <w:p>
      <w:pPr>
        <w:pStyle w:val="Normal"/>
        <w:tabs>
          <w:tab w:val="clear" w:pos="708"/>
          <w:tab w:val="right" w:pos="5580" w:leader="none"/>
        </w:tabs>
        <w:jc w:val="both"/>
        <w:rPr>
          <w:b w:val="false"/>
          <w:bCs w:val="false"/>
          <w:iCs/>
          <w:color w:val="C9211E"/>
        </w:rPr>
      </w:pPr>
      <w:r>
        <w:rPr>
          <w:b w:val="false"/>
          <w:bCs w:val="false"/>
          <w:iCs/>
          <w:color w:val="C9211E"/>
        </w:rPr>
      </w:r>
    </w:p>
    <w:p>
      <w:pPr>
        <w:pStyle w:val="Normal"/>
        <w:suppressAutoHyphens w:val="false"/>
        <w:autoSpaceDE w:val="false"/>
        <w:rPr>
          <w:color w:val="C9211E"/>
          <w:lang w:eastAsia="sk-SK"/>
        </w:rPr>
      </w:pPr>
      <w:r>
        <w:rPr>
          <w:color w:val="C9211E"/>
          <w:lang w:eastAsia="sk-SK"/>
        </w:rPr>
      </w:r>
    </w:p>
    <w:p>
      <w:pPr>
        <w:pStyle w:val="Normal"/>
        <w:tabs>
          <w:tab w:val="clear" w:pos="708"/>
          <w:tab w:val="left" w:pos="510" w:leader="none"/>
        </w:tabs>
        <w:jc w:val="both"/>
        <w:rPr/>
      </w:pPr>
      <w:r>
        <w:rPr>
          <w:b/>
          <w:bCs/>
          <w:color w:val="auto"/>
          <w:sz w:val="26"/>
          <w:szCs w:val="26"/>
          <w:lang w:eastAsia="sk-SK"/>
        </w:rPr>
        <w:t xml:space="preserve">Na základe uvedených skutočností </w:t>
      </w:r>
      <w:r>
        <w:rPr>
          <w:b/>
          <w:bCs/>
          <w:color w:val="auto"/>
          <w:sz w:val="26"/>
          <w:szCs w:val="26"/>
          <w:lang w:eastAsia="sk-SK"/>
        </w:rPr>
        <w:t>bola</w:t>
      </w:r>
      <w:r>
        <w:rPr>
          <w:b/>
          <w:bCs/>
          <w:color w:val="auto"/>
          <w:sz w:val="26"/>
          <w:szCs w:val="26"/>
          <w:lang w:eastAsia="sk-SK"/>
        </w:rPr>
        <w:t xml:space="preserve"> skutočn</w:t>
      </w:r>
      <w:r>
        <w:rPr>
          <w:b/>
          <w:bCs/>
          <w:color w:val="auto"/>
          <w:sz w:val="26"/>
          <w:szCs w:val="26"/>
          <w:lang w:eastAsia="sk-SK"/>
        </w:rPr>
        <w:t>á</w:t>
      </w:r>
      <w:r>
        <w:rPr>
          <w:b/>
          <w:bCs/>
          <w:color w:val="auto"/>
          <w:sz w:val="26"/>
          <w:szCs w:val="26"/>
          <w:lang w:eastAsia="sk-SK"/>
        </w:rPr>
        <w:t xml:space="preserve"> tvorb</w:t>
      </w:r>
      <w:r>
        <w:rPr>
          <w:b/>
          <w:bCs/>
          <w:color w:val="auto"/>
          <w:sz w:val="26"/>
          <w:szCs w:val="26"/>
          <w:lang w:eastAsia="sk-SK"/>
        </w:rPr>
        <w:t>a</w:t>
      </w:r>
      <w:r>
        <w:rPr>
          <w:b/>
          <w:bCs/>
          <w:color w:val="auto"/>
          <w:sz w:val="26"/>
          <w:szCs w:val="26"/>
          <w:lang w:eastAsia="sk-SK"/>
        </w:rPr>
        <w:t xml:space="preserve"> rezervného fondu za rok 202</w:t>
      </w:r>
      <w:r>
        <w:rPr>
          <w:b/>
          <w:bCs/>
          <w:color w:val="auto"/>
          <w:sz w:val="26"/>
          <w:szCs w:val="26"/>
          <w:lang w:eastAsia="sk-SK"/>
        </w:rPr>
        <w:t>3</w:t>
      </w:r>
      <w:r>
        <w:rPr>
          <w:b/>
          <w:bCs/>
          <w:color w:val="auto"/>
          <w:sz w:val="26"/>
          <w:szCs w:val="26"/>
          <w:lang w:eastAsia="sk-SK"/>
        </w:rPr>
        <w:t xml:space="preserve"> vo výške 43.351,58 EUR.</w:t>
      </w:r>
    </w:p>
    <w:p>
      <w:pPr>
        <w:pStyle w:val="Normal"/>
        <w:tabs>
          <w:tab w:val="clear" w:pos="708"/>
          <w:tab w:val="left" w:pos="510" w:leader="none"/>
        </w:tabs>
        <w:jc w:val="both"/>
        <w:rPr>
          <w:b/>
          <w:color w:val="CE181E"/>
        </w:rPr>
      </w:pPr>
      <w:r>
        <w:rPr>
          <w:b/>
          <w:bCs/>
          <w:color w:val="auto"/>
          <w:sz w:val="26"/>
          <w:szCs w:val="26"/>
          <w:lang w:eastAsia="sk-SK"/>
        </w:rPr>
      </w:r>
    </w:p>
    <w:p>
      <w:pPr>
        <w:pStyle w:val="NoSpacing"/>
        <w:ind w:firstLine="708" w:left="3540"/>
        <w:rPr>
          <w:b/>
          <w:color w:val="CE181E"/>
        </w:rPr>
      </w:pPr>
      <w:r>
        <w:rPr>
          <w:b/>
          <w:color w:val="CE181E"/>
        </w:rPr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b/>
          <w:i/>
          <w:color w:val="auto"/>
          <w:sz w:val="24"/>
          <w:szCs w:val="24"/>
          <w:lang w:val="sk-SK"/>
        </w:rPr>
        <w:t>7.3. Rozpočet na roky 202</w:t>
      </w:r>
      <w:r>
        <w:rPr>
          <w:rFonts w:ascii="Times New Roman" w:hAnsi="Times New Roman"/>
          <w:b/>
          <w:i/>
          <w:color w:val="auto"/>
          <w:sz w:val="24"/>
          <w:szCs w:val="24"/>
          <w:lang w:val="sk-SK"/>
        </w:rPr>
        <w:t>4</w:t>
      </w:r>
      <w:r>
        <w:rPr>
          <w:rFonts w:ascii="Times New Roman" w:hAnsi="Times New Roman"/>
          <w:b/>
          <w:i/>
          <w:color w:val="auto"/>
          <w:sz w:val="24"/>
          <w:szCs w:val="24"/>
          <w:lang w:val="sk-SK"/>
        </w:rPr>
        <w:t>-202</w:t>
      </w:r>
      <w:r>
        <w:rPr>
          <w:rFonts w:ascii="Times New Roman" w:hAnsi="Times New Roman"/>
          <w:b/>
          <w:i/>
          <w:color w:val="auto"/>
          <w:sz w:val="24"/>
          <w:szCs w:val="24"/>
          <w:lang w:val="sk-SK"/>
        </w:rPr>
        <w:t>6</w:t>
      </w:r>
    </w:p>
    <w:p>
      <w:pPr>
        <w:pStyle w:val="Bezmezer"/>
        <w:jc w:val="both"/>
        <w:rPr>
          <w:rFonts w:ascii="Times New Roman" w:hAnsi="Times New Roman"/>
          <w:color w:val="CE181E"/>
          <w:sz w:val="24"/>
          <w:szCs w:val="24"/>
          <w:lang w:val="sk-SK"/>
        </w:rPr>
      </w:pPr>
      <w:r>
        <w:rPr>
          <w:rFonts w:ascii="Times New Roman" w:hAnsi="Times New Roman"/>
          <w:color w:val="CE181E"/>
          <w:sz w:val="24"/>
          <w:szCs w:val="24"/>
          <w:lang w:val="sk-SK"/>
        </w:rPr>
      </w:r>
    </w:p>
    <w:tbl>
      <w:tblPr>
        <w:tblW w:w="895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097"/>
        <w:gridCol w:w="1625"/>
        <w:gridCol w:w="1602"/>
        <w:gridCol w:w="1678"/>
        <w:gridCol w:w="1952"/>
      </w:tblGrid>
      <w:tr>
        <w:trPr/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both"/>
              <w:rPr>
                <w:b/>
                <w:color w:val="auto"/>
              </w:rPr>
            </w:pPr>
            <w:r>
              <w:rPr>
                <w:b/>
                <w:color w:val="auto"/>
              </w:rPr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center"/>
              <w:rPr>
                <w:color w:val="auto"/>
              </w:rPr>
            </w:pPr>
            <w:r>
              <w:rPr>
                <w:b/>
                <w:color w:val="auto"/>
                <w:sz w:val="20"/>
                <w:szCs w:val="20"/>
              </w:rPr>
              <w:t>Skutočnosť k 31.12.202</w:t>
            </w:r>
            <w:r>
              <w:rPr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center"/>
              <w:rPr>
                <w:color w:val="auto"/>
              </w:rPr>
            </w:pPr>
            <w:r>
              <w:rPr>
                <w:b/>
                <w:color w:val="auto"/>
                <w:sz w:val="20"/>
                <w:szCs w:val="20"/>
              </w:rPr>
              <w:t xml:space="preserve">Rozpočet  </w:t>
            </w:r>
          </w:p>
          <w:p>
            <w:pPr>
              <w:pStyle w:val="Normal"/>
              <w:tabs>
                <w:tab w:val="clear" w:pos="708"/>
                <w:tab w:val="right" w:pos="8460" w:leader="none"/>
              </w:tabs>
              <w:jc w:val="center"/>
              <w:rPr>
                <w:color w:val="auto"/>
              </w:rPr>
            </w:pPr>
            <w:r>
              <w:rPr>
                <w:b/>
                <w:color w:val="auto"/>
                <w:sz w:val="20"/>
                <w:szCs w:val="20"/>
              </w:rPr>
              <w:t>na rok 202</w:t>
            </w:r>
            <w:r>
              <w:rPr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center"/>
              <w:rPr>
                <w:color w:val="auto"/>
              </w:rPr>
            </w:pPr>
            <w:r>
              <w:rPr>
                <w:b/>
                <w:color w:val="auto"/>
                <w:sz w:val="20"/>
                <w:szCs w:val="20"/>
              </w:rPr>
              <w:t>Rozpočet</w:t>
            </w:r>
          </w:p>
          <w:p>
            <w:pPr>
              <w:pStyle w:val="Normal"/>
              <w:tabs>
                <w:tab w:val="clear" w:pos="708"/>
                <w:tab w:val="right" w:pos="8460" w:leader="none"/>
              </w:tabs>
              <w:jc w:val="center"/>
              <w:rPr>
                <w:color w:val="auto"/>
              </w:rPr>
            </w:pPr>
            <w:r>
              <w:rPr>
                <w:b/>
                <w:color w:val="auto"/>
                <w:sz w:val="20"/>
                <w:szCs w:val="20"/>
              </w:rPr>
              <w:t xml:space="preserve"> </w:t>
            </w:r>
            <w:r>
              <w:rPr>
                <w:b/>
                <w:color w:val="auto"/>
                <w:sz w:val="20"/>
                <w:szCs w:val="20"/>
              </w:rPr>
              <w:t>na rok 202</w:t>
            </w:r>
            <w:r>
              <w:rPr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center"/>
              <w:rPr>
                <w:color w:val="auto"/>
              </w:rPr>
            </w:pPr>
            <w:r>
              <w:rPr>
                <w:b/>
                <w:color w:val="auto"/>
                <w:sz w:val="20"/>
                <w:szCs w:val="20"/>
              </w:rPr>
              <w:t>Rozpočet</w:t>
            </w:r>
          </w:p>
          <w:p>
            <w:pPr>
              <w:pStyle w:val="Normal"/>
              <w:tabs>
                <w:tab w:val="clear" w:pos="708"/>
                <w:tab w:val="right" w:pos="8460" w:leader="none"/>
              </w:tabs>
              <w:jc w:val="center"/>
              <w:rPr>
                <w:color w:val="auto"/>
              </w:rPr>
            </w:pPr>
            <w:r>
              <w:rPr>
                <w:b/>
                <w:color w:val="auto"/>
                <w:sz w:val="20"/>
                <w:szCs w:val="20"/>
              </w:rPr>
              <w:t xml:space="preserve"> </w:t>
            </w:r>
            <w:r>
              <w:rPr>
                <w:b/>
                <w:color w:val="auto"/>
                <w:sz w:val="20"/>
                <w:szCs w:val="20"/>
              </w:rPr>
              <w:t>na rok 202</w:t>
            </w:r>
            <w:r>
              <w:rPr>
                <w:b/>
                <w:color w:val="auto"/>
                <w:sz w:val="20"/>
                <w:szCs w:val="20"/>
              </w:rPr>
              <w:t>6</w:t>
            </w:r>
          </w:p>
        </w:tc>
      </w:tr>
      <w:tr>
        <w:trPr/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both"/>
              <w:rPr>
                <w:color w:val="auto"/>
              </w:rPr>
            </w:pPr>
            <w:r>
              <w:rPr>
                <w:b/>
                <w:color w:val="auto"/>
              </w:rPr>
              <w:t>Príjmy celkom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center"/>
              <w:rPr>
                <w:color w:val="auto"/>
              </w:rPr>
            </w:pPr>
            <w:r>
              <w:rPr>
                <w:b/>
                <w:color w:val="auto"/>
              </w:rPr>
              <w:t>402.434,99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right"/>
              <w:rPr>
                <w:color w:val="auto"/>
              </w:rPr>
            </w:pPr>
            <w:r>
              <w:rPr>
                <w:b/>
                <w:bCs/>
                <w:color w:val="auto"/>
              </w:rPr>
              <w:t>225.094,00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right"/>
              <w:rPr>
                <w:color w:val="auto"/>
              </w:rPr>
            </w:pPr>
            <w:r>
              <w:rPr>
                <w:b/>
                <w:bCs/>
                <w:color w:val="auto"/>
              </w:rPr>
              <w:t>129.894,00</w:t>
            </w:r>
            <w:r>
              <w:rPr>
                <w:b/>
                <w:bCs/>
                <w:color w:val="auto"/>
              </w:rPr>
              <w:t>0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right"/>
              <w:rPr>
                <w:color w:val="auto"/>
              </w:rPr>
            </w:pPr>
            <w:r>
              <w:rPr>
                <w:b/>
                <w:bCs/>
                <w:color w:val="auto"/>
              </w:rPr>
              <w:t>130.894,00</w:t>
            </w:r>
          </w:p>
        </w:tc>
      </w:tr>
      <w:tr>
        <w:trPr/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both"/>
              <w:rPr>
                <w:color w:val="auto"/>
              </w:rPr>
            </w:pPr>
            <w:r>
              <w:rPr>
                <w:color w:val="auto"/>
              </w:rPr>
              <w:t>z toho :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both"/>
              <w:rPr>
                <w:b/>
                <w:color w:val="auto"/>
              </w:rPr>
            </w:pPr>
            <w:r>
              <w:rPr>
                <w:b/>
                <w:color w:val="auto"/>
              </w:rPr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right"/>
              <w:rPr>
                <w:color w:val="auto"/>
              </w:rPr>
            </w:pPr>
            <w:r>
              <w:rPr>
                <w:color w:val="auto"/>
              </w:rPr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right"/>
              <w:rPr>
                <w:color w:val="auto"/>
              </w:rPr>
            </w:pPr>
            <w:r>
              <w:rPr>
                <w:color w:val="auto"/>
              </w:rPr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right"/>
              <w:rPr>
                <w:color w:val="auto"/>
              </w:rPr>
            </w:pPr>
            <w:r>
              <w:rPr>
                <w:color w:val="auto"/>
              </w:rPr>
            </w:r>
          </w:p>
        </w:tc>
      </w:tr>
      <w:tr>
        <w:trPr/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both"/>
              <w:rPr>
                <w:color w:val="auto"/>
              </w:rPr>
            </w:pPr>
            <w:r>
              <w:rPr>
                <w:color w:val="auto"/>
              </w:rPr>
              <w:t>Bežné príjmy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center"/>
              <w:rPr>
                <w:color w:val="auto"/>
              </w:rPr>
            </w:pPr>
            <w:r>
              <w:rPr>
                <w:color w:val="auto"/>
              </w:rPr>
              <w:t>144.639,29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right"/>
              <w:rPr>
                <w:color w:val="auto"/>
              </w:rPr>
            </w:pPr>
            <w:r>
              <w:rPr>
                <w:color w:val="auto"/>
              </w:rPr>
              <w:t>128.894,00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right"/>
              <w:rPr>
                <w:color w:val="auto"/>
              </w:rPr>
            </w:pPr>
            <w:r>
              <w:rPr>
                <w:color w:val="auto"/>
              </w:rPr>
              <w:t>129.894,00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right"/>
              <w:rPr>
                <w:color w:val="auto"/>
              </w:rPr>
            </w:pPr>
            <w:r>
              <w:rPr>
                <w:color w:val="auto"/>
              </w:rPr>
              <w:t>130.894,00</w:t>
            </w:r>
          </w:p>
        </w:tc>
      </w:tr>
      <w:tr>
        <w:trPr/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both"/>
              <w:rPr>
                <w:color w:val="auto"/>
              </w:rPr>
            </w:pPr>
            <w:r>
              <w:rPr>
                <w:color w:val="auto"/>
              </w:rPr>
              <w:t>Kapitálové príjmy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outlineLvl w:val="0"/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  <w:r>
              <w:rPr>
                <w:color w:val="auto"/>
              </w:rPr>
              <w:t>200.035,44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right"/>
              <w:rPr>
                <w:color w:val="auto"/>
              </w:rPr>
            </w:pPr>
            <w:r>
              <w:rPr>
                <w:color w:val="auto"/>
              </w:rPr>
              <w:t>0,00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right"/>
              <w:rPr>
                <w:color w:val="auto"/>
              </w:rPr>
            </w:pPr>
            <w:r>
              <w:rPr>
                <w:color w:val="auto"/>
              </w:rPr>
              <w:t>0,00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right"/>
              <w:rPr>
                <w:color w:val="auto"/>
              </w:rPr>
            </w:pPr>
            <w:r>
              <w:rPr>
                <w:color w:val="auto"/>
              </w:rPr>
              <w:t>0,00</w:t>
            </w:r>
          </w:p>
        </w:tc>
      </w:tr>
      <w:tr>
        <w:trPr/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both"/>
              <w:rPr>
                <w:color w:val="auto"/>
              </w:rPr>
            </w:pPr>
            <w:r>
              <w:rPr>
                <w:color w:val="auto"/>
              </w:rPr>
              <w:t>Finančné príjmy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center"/>
              <w:rPr>
                <w:color w:val="auto"/>
              </w:rPr>
            </w:pPr>
            <w:r>
              <w:rPr>
                <w:color w:val="auto"/>
              </w:rPr>
              <w:t>57.760,26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right"/>
              <w:rPr>
                <w:color w:val="auto"/>
              </w:rPr>
            </w:pPr>
            <w:r>
              <w:rPr>
                <w:color w:val="auto"/>
              </w:rPr>
              <w:t>0,00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right"/>
              <w:rPr>
                <w:color w:val="auto"/>
              </w:rPr>
            </w:pPr>
            <w:r>
              <w:rPr>
                <w:color w:val="auto"/>
              </w:rPr>
              <w:t>0,00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right"/>
              <w:rPr>
                <w:color w:val="auto"/>
              </w:rPr>
            </w:pPr>
            <w:r>
              <w:rPr>
                <w:color w:val="auto"/>
              </w:rPr>
              <w:t>0,00</w:t>
            </w:r>
          </w:p>
        </w:tc>
      </w:tr>
    </w:tbl>
    <w:p>
      <w:pPr>
        <w:pStyle w:val="Normal"/>
        <w:tabs>
          <w:tab w:val="clear" w:pos="708"/>
          <w:tab w:val="right" w:pos="8820" w:leader="none"/>
        </w:tabs>
        <w:jc w:val="both"/>
        <w:rPr>
          <w:b/>
          <w:color w:val="CE181E"/>
        </w:rPr>
      </w:pPr>
      <w:r>
        <w:rPr>
          <w:b/>
          <w:color w:val="CE181E"/>
        </w:rPr>
      </w:r>
    </w:p>
    <w:tbl>
      <w:tblPr>
        <w:tblW w:w="895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087"/>
        <w:gridCol w:w="1624"/>
        <w:gridCol w:w="1612"/>
        <w:gridCol w:w="1673"/>
        <w:gridCol w:w="1958"/>
      </w:tblGrid>
      <w:tr>
        <w:trPr/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both"/>
              <w:rPr>
                <w:b/>
                <w:color w:val="auto"/>
              </w:rPr>
            </w:pPr>
            <w:r>
              <w:rPr>
                <w:b/>
                <w:color w:val="auto"/>
              </w:rPr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center"/>
              <w:rPr>
                <w:color w:val="auto"/>
              </w:rPr>
            </w:pPr>
            <w:r>
              <w:rPr>
                <w:b/>
                <w:color w:val="auto"/>
                <w:sz w:val="20"/>
                <w:szCs w:val="20"/>
              </w:rPr>
              <w:t>Skutočnosť k 31.12.202</w:t>
            </w:r>
            <w:r>
              <w:rPr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center"/>
              <w:rPr>
                <w:color w:val="auto"/>
              </w:rPr>
            </w:pPr>
            <w:r>
              <w:rPr>
                <w:b/>
                <w:color w:val="auto"/>
                <w:sz w:val="20"/>
                <w:szCs w:val="20"/>
              </w:rPr>
              <w:t xml:space="preserve">Rozpočet  </w:t>
            </w:r>
          </w:p>
          <w:p>
            <w:pPr>
              <w:pStyle w:val="Normal"/>
              <w:tabs>
                <w:tab w:val="clear" w:pos="708"/>
                <w:tab w:val="right" w:pos="8460" w:leader="none"/>
              </w:tabs>
              <w:jc w:val="center"/>
              <w:rPr>
                <w:color w:val="auto"/>
              </w:rPr>
            </w:pPr>
            <w:r>
              <w:rPr>
                <w:b/>
                <w:color w:val="auto"/>
                <w:sz w:val="20"/>
                <w:szCs w:val="20"/>
              </w:rPr>
              <w:t>na rok 202</w:t>
            </w:r>
            <w:r>
              <w:rPr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center"/>
              <w:rPr>
                <w:color w:val="auto"/>
              </w:rPr>
            </w:pPr>
            <w:r>
              <w:rPr>
                <w:b/>
                <w:color w:val="auto"/>
                <w:sz w:val="20"/>
                <w:szCs w:val="20"/>
              </w:rPr>
              <w:t>Rozpočet</w:t>
            </w:r>
          </w:p>
          <w:p>
            <w:pPr>
              <w:pStyle w:val="Normal"/>
              <w:tabs>
                <w:tab w:val="clear" w:pos="708"/>
                <w:tab w:val="right" w:pos="8460" w:leader="none"/>
              </w:tabs>
              <w:jc w:val="center"/>
              <w:rPr>
                <w:color w:val="auto"/>
              </w:rPr>
            </w:pPr>
            <w:r>
              <w:rPr>
                <w:b/>
                <w:color w:val="auto"/>
                <w:sz w:val="20"/>
                <w:szCs w:val="20"/>
              </w:rPr>
              <w:t xml:space="preserve"> </w:t>
            </w:r>
            <w:r>
              <w:rPr>
                <w:b/>
                <w:color w:val="auto"/>
                <w:sz w:val="20"/>
                <w:szCs w:val="20"/>
              </w:rPr>
              <w:t>na rok 202</w:t>
            </w:r>
            <w:r>
              <w:rPr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center"/>
              <w:rPr>
                <w:color w:val="auto"/>
              </w:rPr>
            </w:pPr>
            <w:r>
              <w:rPr>
                <w:b/>
                <w:color w:val="auto"/>
                <w:sz w:val="20"/>
                <w:szCs w:val="20"/>
              </w:rPr>
              <w:t>Rozpočet</w:t>
            </w:r>
          </w:p>
          <w:p>
            <w:pPr>
              <w:pStyle w:val="Normal"/>
              <w:tabs>
                <w:tab w:val="clear" w:pos="708"/>
                <w:tab w:val="right" w:pos="8460" w:leader="none"/>
              </w:tabs>
              <w:jc w:val="center"/>
              <w:rPr>
                <w:color w:val="auto"/>
              </w:rPr>
            </w:pPr>
            <w:r>
              <w:rPr>
                <w:b/>
                <w:color w:val="auto"/>
                <w:sz w:val="20"/>
                <w:szCs w:val="20"/>
              </w:rPr>
              <w:t xml:space="preserve"> </w:t>
            </w:r>
            <w:r>
              <w:rPr>
                <w:b/>
                <w:color w:val="auto"/>
                <w:sz w:val="20"/>
                <w:szCs w:val="20"/>
              </w:rPr>
              <w:t>na rok 202</w:t>
            </w:r>
            <w:r>
              <w:rPr>
                <w:b/>
                <w:color w:val="auto"/>
                <w:sz w:val="20"/>
                <w:szCs w:val="20"/>
              </w:rPr>
              <w:t>6</w:t>
            </w:r>
          </w:p>
        </w:tc>
      </w:tr>
      <w:tr>
        <w:trPr/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both"/>
              <w:rPr>
                <w:color w:val="auto"/>
              </w:rPr>
            </w:pPr>
            <w:r>
              <w:rPr>
                <w:b/>
                <w:color w:val="auto"/>
              </w:rPr>
              <w:t>Výdavky celkom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center"/>
              <w:rPr>
                <w:color w:val="auto"/>
              </w:rPr>
            </w:pPr>
            <w:r>
              <w:rPr>
                <w:b/>
                <w:color w:val="auto"/>
              </w:rPr>
              <w:t>354.014,36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right"/>
              <w:rPr>
                <w:color w:val="auto"/>
              </w:rPr>
            </w:pPr>
            <w:r>
              <w:rPr>
                <w:b/>
                <w:bCs/>
                <w:color w:val="auto"/>
              </w:rPr>
              <w:t>225.094,00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right"/>
              <w:rPr>
                <w:color w:val="auto"/>
              </w:rPr>
            </w:pPr>
            <w:r>
              <w:rPr>
                <w:b/>
                <w:bCs/>
                <w:color w:val="auto"/>
              </w:rPr>
              <w:t>129.894,00</w:t>
            </w:r>
            <w:r>
              <w:rPr>
                <w:b/>
                <w:bCs/>
                <w:color w:val="auto"/>
              </w:rPr>
              <w:t>0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right"/>
              <w:rPr>
                <w:color w:val="auto"/>
              </w:rPr>
            </w:pPr>
            <w:r>
              <w:rPr>
                <w:b/>
                <w:bCs/>
                <w:color w:val="auto"/>
              </w:rPr>
              <w:t>130.894,00</w:t>
            </w:r>
          </w:p>
        </w:tc>
      </w:tr>
      <w:tr>
        <w:trPr/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both"/>
              <w:rPr>
                <w:color w:val="auto"/>
              </w:rPr>
            </w:pPr>
            <w:r>
              <w:rPr>
                <w:color w:val="auto"/>
              </w:rPr>
              <w:t>z toho 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right"/>
              <w:rPr>
                <w:color w:val="auto"/>
              </w:rPr>
            </w:pPr>
            <w:r>
              <w:rPr>
                <w:color w:val="auto"/>
              </w:rPr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right"/>
              <w:rPr>
                <w:color w:val="auto"/>
              </w:rPr>
            </w:pPr>
            <w:r>
              <w:rPr>
                <w:color w:val="auto"/>
              </w:rPr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right"/>
              <w:rPr>
                <w:color w:val="auto"/>
              </w:rPr>
            </w:pPr>
            <w:r>
              <w:rPr>
                <w:color w:val="auto"/>
              </w:rPr>
            </w:r>
          </w:p>
        </w:tc>
      </w:tr>
      <w:tr>
        <w:trPr/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both"/>
              <w:rPr>
                <w:color w:val="auto"/>
              </w:rPr>
            </w:pPr>
            <w:r>
              <w:rPr>
                <w:color w:val="auto"/>
              </w:rPr>
              <w:t>Bežné výdavky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center"/>
              <w:rPr>
                <w:color w:val="auto"/>
              </w:rPr>
            </w:pPr>
            <w:r>
              <w:rPr>
                <w:color w:val="auto"/>
              </w:rPr>
              <w:t>111.792,99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right"/>
              <w:rPr>
                <w:color w:val="auto"/>
              </w:rPr>
            </w:pPr>
            <w:r>
              <w:rPr>
                <w:color w:val="auto"/>
              </w:rPr>
              <w:t>128.894,00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right"/>
              <w:rPr>
                <w:color w:val="auto"/>
              </w:rPr>
            </w:pPr>
            <w:r>
              <w:rPr>
                <w:color w:val="auto"/>
              </w:rPr>
              <w:t>129.894,00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right"/>
              <w:rPr>
                <w:color w:val="auto"/>
              </w:rPr>
            </w:pPr>
            <w:r>
              <w:rPr>
                <w:color w:val="auto"/>
              </w:rPr>
              <w:t>130.894,00</w:t>
            </w:r>
          </w:p>
        </w:tc>
      </w:tr>
      <w:tr>
        <w:trPr/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both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Kapitálové výdavky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center"/>
              <w:rPr>
                <w:color w:val="auto"/>
              </w:rPr>
            </w:pPr>
            <w:r>
              <w:rPr>
                <w:color w:val="auto"/>
              </w:rPr>
              <w:t>54.805,64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right"/>
              <w:rPr>
                <w:color w:val="auto"/>
              </w:rPr>
            </w:pPr>
            <w:r>
              <w:rPr>
                <w:color w:val="auto"/>
              </w:rPr>
              <w:t>0,00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right"/>
              <w:rPr>
                <w:color w:val="auto"/>
              </w:rPr>
            </w:pPr>
            <w:r>
              <w:rPr>
                <w:color w:val="auto"/>
              </w:rPr>
              <w:t>0,00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right"/>
              <w:rPr>
                <w:color w:val="auto"/>
              </w:rPr>
            </w:pPr>
            <w:r>
              <w:rPr>
                <w:color w:val="auto"/>
              </w:rPr>
              <w:t>0,00</w:t>
            </w:r>
          </w:p>
        </w:tc>
      </w:tr>
      <w:tr>
        <w:trPr/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both"/>
              <w:rPr>
                <w:color w:val="auto"/>
              </w:rPr>
            </w:pPr>
            <w:r>
              <w:rPr>
                <w:color w:val="auto"/>
              </w:rPr>
              <w:t>Finančné výdavky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  <w:r>
              <w:rPr>
                <w:color w:val="auto"/>
              </w:rPr>
              <w:t>187.415,73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right"/>
              <w:rPr>
                <w:color w:val="auto"/>
              </w:rPr>
            </w:pPr>
            <w:r>
              <w:rPr>
                <w:color w:val="auto"/>
              </w:rPr>
              <w:t>0,00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right"/>
              <w:rPr>
                <w:color w:val="auto"/>
              </w:rPr>
            </w:pPr>
            <w:r>
              <w:rPr>
                <w:color w:val="auto"/>
              </w:rPr>
              <w:t>0,00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right"/>
              <w:rPr>
                <w:color w:val="auto"/>
              </w:rPr>
            </w:pPr>
            <w:r>
              <w:rPr>
                <w:color w:val="auto"/>
              </w:rPr>
              <w:t>0,00</w:t>
            </w:r>
          </w:p>
        </w:tc>
      </w:tr>
    </w:tbl>
    <w:p>
      <w:pPr>
        <w:pStyle w:val="Bezmezer"/>
        <w:jc w:val="both"/>
        <w:rPr>
          <w:rFonts w:ascii="Times New Roman" w:hAnsi="Times New Roman"/>
          <w:color w:val="CE181E"/>
          <w:sz w:val="24"/>
          <w:szCs w:val="24"/>
          <w:lang w:val="sk-SK"/>
        </w:rPr>
      </w:pPr>
      <w:r>
        <w:rPr>
          <w:rFonts w:ascii="Times New Roman" w:hAnsi="Times New Roman"/>
          <w:color w:val="CE181E"/>
          <w:sz w:val="24"/>
          <w:szCs w:val="24"/>
          <w:lang w:val="sk-SK"/>
        </w:rPr>
      </w:r>
    </w:p>
    <w:p>
      <w:pPr>
        <w:pStyle w:val="Bezmezer"/>
        <w:jc w:val="both"/>
        <w:rPr>
          <w:rFonts w:ascii="Times New Roman" w:hAnsi="Times New Roman"/>
          <w:b/>
          <w:color w:val="CE181E"/>
          <w:sz w:val="24"/>
          <w:szCs w:val="24"/>
          <w:lang w:val="sk-SK"/>
        </w:rPr>
      </w:pPr>
      <w:r>
        <w:rPr>
          <w:rFonts w:ascii="Times New Roman" w:hAnsi="Times New Roman"/>
          <w:b/>
          <w:color w:val="CE181E"/>
          <w:sz w:val="24"/>
          <w:szCs w:val="24"/>
          <w:lang w:val="sk-SK"/>
        </w:rPr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b/>
          <w:color w:val="auto"/>
          <w:sz w:val="24"/>
          <w:szCs w:val="24"/>
          <w:lang w:val="sk-SK"/>
        </w:rPr>
        <w:t>8. Informácia o vývoji obce z pohľadu účtovníctva</w:t>
      </w:r>
    </w:p>
    <w:p>
      <w:pPr>
        <w:pStyle w:val="Bezmezer"/>
        <w:jc w:val="both"/>
        <w:rPr>
          <w:rFonts w:ascii="Times New Roman" w:hAnsi="Times New Roman"/>
          <w:b/>
          <w:color w:val="CE181E"/>
          <w:sz w:val="24"/>
          <w:szCs w:val="24"/>
          <w:lang w:val="sk-SK"/>
        </w:rPr>
      </w:pPr>
      <w:r>
        <w:rPr>
          <w:rFonts w:ascii="Times New Roman" w:hAnsi="Times New Roman"/>
          <w:b/>
          <w:color w:val="CE181E"/>
          <w:sz w:val="24"/>
          <w:szCs w:val="24"/>
          <w:lang w:val="sk-SK"/>
        </w:rPr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b/>
          <w:i/>
          <w:color w:val="auto"/>
          <w:sz w:val="24"/>
          <w:szCs w:val="24"/>
          <w:lang w:val="sk-SK"/>
        </w:rPr>
        <w:t>8.1 Majetok</w:t>
      </w:r>
    </w:p>
    <w:p>
      <w:pPr>
        <w:pStyle w:val="Normal"/>
        <w:spacing w:lineRule="auto" w:line="360"/>
        <w:jc w:val="both"/>
        <w:rPr>
          <w:b/>
        </w:rPr>
      </w:pPr>
      <w:r>
        <w:rPr>
          <w:b/>
          <w:color w:val="auto"/>
        </w:rPr>
      </w:r>
    </w:p>
    <w:tbl>
      <w:tblPr>
        <w:tblW w:w="10016" w:type="dxa"/>
        <w:jc w:val="left"/>
        <w:tblInd w:w="15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735"/>
        <w:gridCol w:w="2880"/>
        <w:gridCol w:w="3401"/>
      </w:tblGrid>
      <w:tr>
        <w:trPr/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</w:tcPr>
          <w:p>
            <w:pPr>
              <w:pStyle w:val="Normal"/>
              <w:spacing w:lineRule="auto" w:line="360"/>
              <w:jc w:val="center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b/>
              </w:rPr>
              <w:t>ZS  k  1.1.2023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b/>
              </w:rPr>
              <w:t>KZ  k  31.12.2023</w:t>
            </w:r>
          </w:p>
        </w:tc>
      </w:tr>
      <w:tr>
        <w:trPr>
          <w:trHeight w:val="104" w:hRule="atLeast"/>
        </w:trPr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C4BC96" w:val="clear"/>
          </w:tcPr>
          <w:p>
            <w:pPr>
              <w:pStyle w:val="Normal"/>
              <w:spacing w:lineRule="auto" w:line="360"/>
              <w:jc w:val="both"/>
              <w:rPr>
                <w:b/>
              </w:rPr>
            </w:pPr>
            <w:r>
              <w:rPr>
                <w:b/>
              </w:rPr>
              <w:t>Majetok spolu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C4BC96" w:val="clear"/>
          </w:tcPr>
          <w:p>
            <w:pPr>
              <w:pStyle w:val="Normal"/>
              <w:spacing w:lineRule="auto" w:line="360"/>
              <w:jc w:val="center"/>
              <w:rPr/>
            </w:pPr>
            <w:r>
              <w:rPr/>
              <w:t>1 152 810,26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4BC96" w:val="clear"/>
          </w:tcPr>
          <w:p>
            <w:pPr>
              <w:pStyle w:val="Normal"/>
              <w:spacing w:lineRule="auto" w:line="360"/>
              <w:jc w:val="center"/>
              <w:rPr/>
            </w:pPr>
            <w:r>
              <w:rPr/>
              <w:t>1.151.935,66</w:t>
            </w:r>
          </w:p>
        </w:tc>
      </w:tr>
      <w:tr>
        <w:trPr/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b/>
              </w:rPr>
            </w:pPr>
            <w:r>
              <w:rPr>
                <w:b/>
              </w:rPr>
              <w:t>1 060 029,16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b/>
              </w:rPr>
            </w:pPr>
            <w:r>
              <w:rPr>
                <w:b/>
              </w:rPr>
              <w:t>1.071.117,10</w:t>
            </w:r>
          </w:p>
        </w:tc>
      </w:tr>
      <w:tr>
        <w:trPr/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/>
            </w:pPr>
            <w:r>
              <w:rPr/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/>
            </w:pPr>
            <w:r>
              <w:rPr/>
              <w:t>2 000,00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/>
            </w:pPr>
            <w:r>
              <w:rPr/>
              <w:t>9.074,00</w:t>
            </w:r>
          </w:p>
        </w:tc>
      </w:tr>
      <w:tr>
        <w:trPr/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/>
            </w:pPr>
            <w:r>
              <w:rPr/>
              <w:t>1 011 980,76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/>
            </w:pPr>
            <w:r>
              <w:rPr/>
              <w:t>1.015.994,70</w:t>
            </w:r>
          </w:p>
        </w:tc>
      </w:tr>
      <w:tr>
        <w:trPr/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/>
            </w:pPr>
            <w:r>
              <w:rPr/>
              <w:t>46 048,40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/>
            </w:pPr>
            <w:r>
              <w:rPr/>
              <w:t>46 048,40</w:t>
            </w:r>
          </w:p>
        </w:tc>
      </w:tr>
      <w:tr>
        <w:trPr/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b/>
              </w:rPr>
            </w:pPr>
            <w:r>
              <w:rPr>
                <w:b/>
              </w:rPr>
              <w:t>90 917,57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b/>
              </w:rPr>
            </w:pPr>
            <w:r>
              <w:rPr>
                <w:b/>
              </w:rPr>
              <w:t>77.940,66</w:t>
            </w:r>
          </w:p>
        </w:tc>
      </w:tr>
      <w:tr>
        <w:trPr/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/>
            </w:pPr>
            <w:r>
              <w:rPr/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/>
            </w:pPr>
            <w:r>
              <w:rPr/>
              <w:t>280,50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/>
            </w:pPr>
            <w:r>
              <w:rPr/>
              <w:t>280,50</w:t>
            </w:r>
          </w:p>
        </w:tc>
      </w:tr>
      <w:tr>
        <w:trPr/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/>
            </w:pPr>
            <w:r>
              <w:rPr/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/>
            </w:pPr>
            <w:r>
              <w:rPr/>
              <w:t xml:space="preserve"> </w:t>
            </w:r>
            <w:r>
              <w:rPr/>
              <w:t>4 468,99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/>
            </w:pPr>
            <w:r>
              <w:rPr/>
              <w:t>1.745,52</w:t>
            </w:r>
          </w:p>
        </w:tc>
      </w:tr>
      <w:tr>
        <w:trPr/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/>
            </w:pPr>
            <w:r>
              <w:rPr/>
              <w:t>86 168,08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/>
            </w:pPr>
            <w:r>
              <w:rPr/>
              <w:t>75.578,37</w:t>
            </w:r>
          </w:p>
        </w:tc>
      </w:tr>
      <w:tr>
        <w:trPr/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1 863,53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b/>
              </w:rPr>
            </w:pPr>
            <w:r>
              <w:rPr>
                <w:b/>
              </w:rPr>
              <w:t>2.877,90</w:t>
            </w:r>
          </w:p>
        </w:tc>
      </w:tr>
    </w:tbl>
    <w:p>
      <w:pPr>
        <w:pStyle w:val="Normal"/>
        <w:spacing w:lineRule="auto" w:line="360"/>
        <w:jc w:val="both"/>
        <w:rPr>
          <w:b/>
          <w:color w:val="auto"/>
        </w:rPr>
      </w:pPr>
      <w:r>
        <w:rPr>
          <w:b/>
          <w:color w:val="auto"/>
        </w:rPr>
      </w:r>
    </w:p>
    <w:p>
      <w:pPr>
        <w:pStyle w:val="Bezmezer"/>
        <w:jc w:val="both"/>
        <w:rPr>
          <w:color w:val="auto"/>
        </w:rPr>
      </w:pPr>
      <w:r>
        <w:rPr/>
      </w:r>
    </w:p>
    <w:p>
      <w:pPr>
        <w:pStyle w:val="Bezmezer"/>
        <w:jc w:val="both"/>
        <w:rPr>
          <w:color w:val="auto"/>
        </w:rPr>
      </w:pPr>
      <w:r>
        <w:rPr/>
      </w:r>
    </w:p>
    <w:p>
      <w:pPr>
        <w:pStyle w:val="Bezmezer"/>
        <w:jc w:val="both"/>
        <w:rPr>
          <w:color w:val="auto"/>
        </w:rPr>
      </w:pPr>
      <w:r>
        <w:rPr/>
      </w:r>
    </w:p>
    <w:p>
      <w:pPr>
        <w:pStyle w:val="Bezmezer"/>
        <w:jc w:val="both"/>
        <w:rPr>
          <w:color w:val="auto"/>
        </w:rPr>
      </w:pPr>
      <w:r>
        <w:rPr/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b/>
          <w:i/>
          <w:color w:val="auto"/>
          <w:sz w:val="24"/>
          <w:szCs w:val="24"/>
          <w:lang w:val="sk-SK"/>
        </w:rPr>
        <w:t>8.2 Zdroje krytia</w:t>
      </w:r>
    </w:p>
    <w:p>
      <w:pPr>
        <w:pStyle w:val="Normal"/>
        <w:spacing w:lineRule="auto" w:line="360"/>
        <w:jc w:val="both"/>
        <w:rPr>
          <w:b/>
        </w:rPr>
      </w:pPr>
      <w:r>
        <w:rPr>
          <w:b/>
          <w:color w:val="auto"/>
        </w:rPr>
      </w:r>
    </w:p>
    <w:tbl>
      <w:tblPr>
        <w:tblW w:w="10036" w:type="dxa"/>
        <w:jc w:val="left"/>
        <w:tblInd w:w="-5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756"/>
        <w:gridCol w:w="2870"/>
        <w:gridCol w:w="3410"/>
      </w:tblGrid>
      <w:tr>
        <w:trPr/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</w:tcPr>
          <w:p>
            <w:pPr>
              <w:pStyle w:val="Normal"/>
              <w:spacing w:lineRule="auto" w:line="360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b/>
              </w:rPr>
              <w:t>ZS  k  1.1.2023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b/>
              </w:rPr>
              <w:t>KZ  k  31.12.2023</w:t>
            </w:r>
          </w:p>
        </w:tc>
      </w:tr>
      <w:tr>
        <w:trPr/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C4BC96" w:val="clear"/>
          </w:tcPr>
          <w:p>
            <w:pPr>
              <w:pStyle w:val="Normal"/>
              <w:spacing w:lineRule="auto" w:line="360"/>
              <w:jc w:val="both"/>
              <w:rPr>
                <w:b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C4BC96" w:val="clear"/>
          </w:tcPr>
          <w:p>
            <w:pPr>
              <w:pStyle w:val="Normal"/>
              <w:spacing w:lineRule="auto" w:line="360"/>
              <w:jc w:val="center"/>
              <w:rPr/>
            </w:pPr>
            <w:r>
              <w:rPr/>
              <w:t>1 152 810,26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4BC96" w:val="clear"/>
          </w:tcPr>
          <w:p>
            <w:pPr>
              <w:pStyle w:val="Normal"/>
              <w:spacing w:lineRule="auto" w:line="360"/>
              <w:jc w:val="center"/>
              <w:rPr/>
            </w:pPr>
            <w:r>
              <w:rPr/>
              <w:t>1.151.935,66</w:t>
            </w:r>
          </w:p>
        </w:tc>
      </w:tr>
      <w:tr>
        <w:trPr/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b/>
              </w:rPr>
            </w:pPr>
            <w:r>
              <w:rPr>
                <w:b/>
              </w:rPr>
              <w:t>362 092,20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b/>
              </w:rPr>
            </w:pPr>
            <w:r>
              <w:rPr>
                <w:b/>
              </w:rPr>
              <w:t>400.877,82</w:t>
            </w:r>
          </w:p>
        </w:tc>
      </w:tr>
      <w:tr>
        <w:trPr/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/>
            </w:pPr>
            <w:r>
              <w:rPr/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/>
            </w:pPr>
            <w:r>
              <w:rPr/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Nevysporiadaný VH minulých rokov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/>
            </w:pPr>
            <w:r>
              <w:rPr/>
              <w:t>342 255,87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/>
            </w:pPr>
            <w:r>
              <w:rPr/>
              <w:t>362.092,20</w:t>
            </w:r>
          </w:p>
        </w:tc>
      </w:tr>
      <w:tr>
        <w:trPr/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/>
            </w:pPr>
            <w:r>
              <w:rPr/>
              <w:t xml:space="preserve"> </w:t>
            </w:r>
            <w:r>
              <w:rPr/>
              <w:t>19 836,33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/>
            </w:pPr>
            <w:r>
              <w:rPr/>
              <w:t>38.785,62</w:t>
            </w:r>
          </w:p>
        </w:tc>
      </w:tr>
      <w:tr>
        <w:trPr/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b/>
              </w:rPr>
            </w:pPr>
            <w:r>
              <w:rPr>
                <w:b/>
              </w:rPr>
              <w:t>216 400,25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b/>
              </w:rPr>
            </w:pPr>
            <w:r>
              <w:rPr>
                <w:b/>
              </w:rPr>
              <w:t>15.677,83</w:t>
            </w:r>
          </w:p>
        </w:tc>
      </w:tr>
      <w:tr>
        <w:trPr/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/>
            </w:pPr>
            <w:r>
              <w:rPr/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/>
            </w:pPr>
            <w:r>
              <w:rPr/>
            </w:r>
          </w:p>
        </w:tc>
      </w:tr>
      <w:tr>
        <w:trPr>
          <w:trHeight w:val="452" w:hRule="atLeast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/>
            </w:pPr>
            <w:r>
              <w:rPr/>
              <w:t xml:space="preserve">    </w:t>
            </w:r>
            <w:r>
              <w:rPr/>
              <w:t>2 340,00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/>
            </w:pPr>
            <w:r>
              <w:rPr/>
              <w:t>2 340,00</w:t>
            </w:r>
          </w:p>
        </w:tc>
      </w:tr>
      <w:tr>
        <w:trPr/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/>
            </w:pPr>
            <w:r>
              <w:rPr/>
              <w:t xml:space="preserve">       </w:t>
            </w:r>
            <w:r>
              <w:rPr/>
              <w:t>674,57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/>
            </w:pPr>
            <w:r>
              <w:rPr/>
              <w:t>0,00</w:t>
            </w:r>
          </w:p>
        </w:tc>
      </w:tr>
      <w:tr>
        <w:trPr/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/>
            </w:pPr>
            <w:r>
              <w:rPr/>
              <w:t xml:space="preserve">      </w:t>
            </w:r>
            <w:r>
              <w:rPr/>
              <w:t>341,70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/>
            </w:pPr>
            <w:r>
              <w:rPr/>
              <w:t>356,64</w:t>
            </w:r>
          </w:p>
        </w:tc>
      </w:tr>
      <w:tr>
        <w:trPr/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/>
            </w:pPr>
            <w:r>
              <w:rPr/>
              <w:t xml:space="preserve">  </w:t>
            </w:r>
            <w:r>
              <w:rPr/>
              <w:t>23 095,25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/>
            </w:pPr>
            <w:r>
              <w:rPr/>
              <w:t>12.981,19</w:t>
            </w:r>
          </w:p>
        </w:tc>
      </w:tr>
      <w:tr>
        <w:trPr/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/>
            </w:pPr>
            <w:r>
              <w:rPr/>
              <w:t>189 948,73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/>
            </w:pPr>
            <w:r>
              <w:rPr/>
              <w:t>0,00</w:t>
            </w:r>
          </w:p>
        </w:tc>
      </w:tr>
      <w:tr>
        <w:trPr/>
        <w:tc>
          <w:tcPr>
            <w:tcW w:w="37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b/>
              </w:rPr>
            </w:pPr>
            <w:r>
              <w:rPr>
                <w:b/>
              </w:rPr>
              <w:t>574 317,81</w:t>
            </w:r>
          </w:p>
        </w:tc>
        <w:tc>
          <w:tcPr>
            <w:tcW w:w="3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b/>
              </w:rPr>
            </w:pPr>
            <w:r>
              <w:rPr>
                <w:b/>
              </w:rPr>
              <w:t>735.380,01</w:t>
            </w:r>
          </w:p>
        </w:tc>
      </w:tr>
    </w:tbl>
    <w:p>
      <w:pPr>
        <w:pStyle w:val="Normal"/>
        <w:rPr>
          <w:b/>
          <w:color w:val="C9211E"/>
          <w:sz w:val="32"/>
          <w:szCs w:val="28"/>
        </w:rPr>
      </w:pPr>
      <w:r>
        <w:rPr>
          <w:b/>
          <w:color w:val="C9211E"/>
          <w:sz w:val="32"/>
          <w:szCs w:val="28"/>
        </w:rPr>
      </w:r>
    </w:p>
    <w:p>
      <w:pPr>
        <w:pStyle w:val="Normal"/>
        <w:jc w:val="both"/>
        <w:rPr>
          <w:color w:val="CE181E"/>
        </w:rPr>
      </w:pPr>
      <w:r>
        <w:rPr>
          <w:color w:val="CE181E"/>
          <w:lang w:val="sk-SK"/>
        </w:rPr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b/>
          <w:i/>
          <w:color w:val="auto"/>
          <w:sz w:val="24"/>
          <w:szCs w:val="24"/>
          <w:lang w:val="sk-SK"/>
        </w:rPr>
        <w:t>8.3. Pohľadávky</w:t>
      </w:r>
    </w:p>
    <w:p>
      <w:pPr>
        <w:pStyle w:val="Normal"/>
        <w:ind w:left="360" w:right="0"/>
        <w:jc w:val="both"/>
        <w:rPr/>
      </w:pPr>
      <w:r>
        <w:rPr>
          <w:color w:val="auto"/>
        </w:rPr>
        <w:t xml:space="preserve">Obec k 31.12.2023 evidovala pohľadávky vo výške 1.745,52 EUR  z toho: </w:t>
      </w:r>
    </w:p>
    <w:p>
      <w:pPr>
        <w:pStyle w:val="Normal"/>
        <w:tabs>
          <w:tab w:val="clear" w:pos="708"/>
          <w:tab w:val="left" w:pos="426" w:leader="none"/>
          <w:tab w:val="left" w:pos="5670" w:leader="none"/>
        </w:tabs>
        <w:jc w:val="both"/>
        <w:rPr/>
      </w:pPr>
      <w:r>
        <w:rPr>
          <w:color w:val="auto"/>
        </w:rPr>
        <w:tab/>
        <w:t xml:space="preserve">Nedaňové pohľadávky TKO                                                   </w:t>
        <w:tab/>
        <w:tab/>
        <w:t xml:space="preserve">          102,48 EUR</w:t>
      </w:r>
    </w:p>
    <w:p>
      <w:pPr>
        <w:pStyle w:val="Normal"/>
        <w:tabs>
          <w:tab w:val="clear" w:pos="708"/>
          <w:tab w:val="left" w:pos="426" w:leader="none"/>
        </w:tabs>
        <w:jc w:val="both"/>
        <w:rPr/>
      </w:pPr>
      <w:r>
        <w:rPr>
          <w:color w:val="auto"/>
        </w:rPr>
        <w:tab/>
        <w:t xml:space="preserve">Daňové pohľadávky DzN a psa                                                </w:t>
        <w:tab/>
        <w:tab/>
        <w:t xml:space="preserve">       1.358,47 EUR</w:t>
      </w:r>
    </w:p>
    <w:p>
      <w:pPr>
        <w:pStyle w:val="Normal"/>
        <w:tabs>
          <w:tab w:val="clear" w:pos="708"/>
          <w:tab w:val="left" w:pos="426" w:leader="none"/>
        </w:tabs>
        <w:jc w:val="both"/>
        <w:rPr/>
      </w:pPr>
      <w:r>
        <w:rPr>
          <w:color w:val="auto"/>
          <w:sz w:val="24"/>
          <w:szCs w:val="24"/>
          <w:lang w:val="sk-SK"/>
        </w:rPr>
        <w:tab/>
        <w:t>Ostatné pohľadávky</w:t>
        <w:tab/>
        <w:tab/>
        <w:tab/>
        <w:tab/>
        <w:t xml:space="preserve">            </w:t>
        <w:tab/>
        <w:tab/>
        <w:t xml:space="preserve">          284,57 EUR</w:t>
      </w:r>
    </w:p>
    <w:p>
      <w:pPr>
        <w:pStyle w:val="Bezmezer"/>
        <w:jc w:val="both"/>
        <w:rPr>
          <w:rFonts w:ascii="Times New Roman" w:hAnsi="Times New Roman"/>
          <w:color w:val="CE181E"/>
          <w:sz w:val="24"/>
          <w:szCs w:val="24"/>
          <w:lang w:val="sk-SK"/>
        </w:rPr>
      </w:pPr>
      <w:r>
        <w:rPr>
          <w:rFonts w:ascii="Times New Roman" w:hAnsi="Times New Roman"/>
          <w:color w:val="CE181E"/>
          <w:sz w:val="24"/>
          <w:szCs w:val="24"/>
          <w:lang w:val="sk-SK"/>
        </w:rPr>
      </w:r>
    </w:p>
    <w:p>
      <w:pPr>
        <w:pStyle w:val="Bezmezer"/>
        <w:jc w:val="both"/>
        <w:rPr/>
      </w:pPr>
      <w:r>
        <w:rPr>
          <w:rFonts w:ascii="Times New Roman" w:hAnsi="Times New Roman"/>
          <w:b/>
          <w:i/>
          <w:color w:val="auto"/>
          <w:sz w:val="24"/>
          <w:szCs w:val="24"/>
          <w:lang w:val="sk-SK"/>
        </w:rPr>
        <w:t>8.4.  Záväzky</w:t>
      </w:r>
    </w:p>
    <w:p>
      <w:pPr>
        <w:pStyle w:val="Bezmezer"/>
        <w:jc w:val="both"/>
        <w:rPr>
          <w:color w:val="CE181E"/>
        </w:rPr>
      </w:pPr>
      <w:r>
        <w:rPr/>
      </w:r>
    </w:p>
    <w:p>
      <w:pPr>
        <w:pStyle w:val="Normal"/>
        <w:jc w:val="both"/>
        <w:rPr/>
      </w:pPr>
      <w:r>
        <w:rPr>
          <w:color w:val="C9211E"/>
        </w:rPr>
        <w:t xml:space="preserve"> </w:t>
      </w:r>
      <w:r>
        <w:rPr>
          <w:color w:val="auto"/>
        </w:rPr>
        <w:t>Obec k 31.12.2023 eviduje záväzky vo výške 15.677,83 EUR z toho:</w:t>
      </w:r>
    </w:p>
    <w:p>
      <w:pPr>
        <w:pStyle w:val="Normal"/>
        <w:tabs>
          <w:tab w:val="clear" w:pos="708"/>
          <w:tab w:val="left" w:pos="851" w:leader="none"/>
        </w:tabs>
        <w:ind w:hanging="360" w:left="851" w:right="0"/>
        <w:jc w:val="both"/>
        <w:rPr/>
      </w:pPr>
      <w:r>
        <w:rPr>
          <w:color w:val="auto"/>
        </w:rPr>
        <w:t>Neuhradené faktúry v lehote splatnosti</w:t>
        <w:tab/>
        <w:tab/>
        <w:tab/>
        <w:tab/>
        <w:tab/>
        <w:t xml:space="preserve">          2.335,31 EUR</w:t>
      </w:r>
    </w:p>
    <w:p>
      <w:pPr>
        <w:pStyle w:val="Normal"/>
        <w:tabs>
          <w:tab w:val="clear" w:pos="708"/>
          <w:tab w:val="left" w:pos="851" w:leader="none"/>
        </w:tabs>
        <w:ind w:hanging="360" w:left="851" w:right="0"/>
        <w:jc w:val="both"/>
        <w:rPr/>
      </w:pPr>
      <w:r>
        <w:rPr>
          <w:color w:val="auto"/>
        </w:rPr>
        <w:t>Ostatné záväzky/splátky Slovak telekom</w:t>
        <w:tab/>
        <w:tab/>
        <w:tab/>
        <w:t xml:space="preserve">                           51,50 EUR</w:t>
      </w:r>
    </w:p>
    <w:p>
      <w:pPr>
        <w:pStyle w:val="Normal"/>
        <w:tabs>
          <w:tab w:val="clear" w:pos="708"/>
          <w:tab w:val="left" w:pos="851" w:leader="none"/>
        </w:tabs>
        <w:ind w:hanging="360" w:left="851" w:right="0"/>
        <w:jc w:val="both"/>
        <w:rPr/>
      </w:pPr>
      <w:r>
        <w:rPr>
          <w:color w:val="auto"/>
        </w:rPr>
        <w:t>Ostatné záväzky/nezúčtovaný stavebný úrad</w:t>
        <w:tab/>
        <w:tab/>
        <w:tab/>
        <w:tab/>
        <w:t xml:space="preserve">             232,02 EUR</w:t>
      </w:r>
    </w:p>
    <w:p>
      <w:pPr>
        <w:pStyle w:val="Normal"/>
        <w:tabs>
          <w:tab w:val="clear" w:pos="708"/>
          <w:tab w:val="left" w:pos="851" w:leader="none"/>
        </w:tabs>
        <w:ind w:hanging="360" w:left="851" w:right="0"/>
        <w:jc w:val="both"/>
        <w:rPr/>
      </w:pPr>
      <w:r>
        <w:rPr>
          <w:color w:val="auto"/>
        </w:rPr>
        <w:t xml:space="preserve">Ostatné záväzky    </w:t>
        <w:tab/>
        <w:tab/>
        <w:tab/>
        <w:tab/>
        <w:t xml:space="preserve">                                                 22,80 EUR</w:t>
      </w:r>
    </w:p>
    <w:p>
      <w:pPr>
        <w:pStyle w:val="Normal"/>
        <w:tabs>
          <w:tab w:val="clear" w:pos="708"/>
          <w:tab w:val="left" w:pos="851" w:leader="none"/>
        </w:tabs>
        <w:ind w:hanging="360" w:left="851" w:right="0"/>
        <w:jc w:val="both"/>
        <w:rPr/>
      </w:pPr>
      <w:r>
        <w:rPr>
          <w:color w:val="auto"/>
        </w:rPr>
        <w:t>Nevyplatené mzdy 12/23 v lehote splatnosti</w:t>
        <w:tab/>
        <w:tab/>
        <w:tab/>
        <w:tab/>
        <w:t xml:space="preserve">          3.217,56 EUR</w:t>
      </w:r>
    </w:p>
    <w:p>
      <w:pPr>
        <w:pStyle w:val="Normal"/>
        <w:tabs>
          <w:tab w:val="clear" w:pos="708"/>
          <w:tab w:val="left" w:pos="851" w:leader="none"/>
        </w:tabs>
        <w:ind w:hanging="360" w:left="851" w:right="0"/>
        <w:jc w:val="both"/>
        <w:rPr/>
      </w:pPr>
      <w:r>
        <w:rPr>
          <w:color w:val="auto"/>
        </w:rPr>
        <w:t>Záväzky do poisťovní (mzdy 12/23)</w:t>
        <w:tab/>
        <w:tab/>
        <w:tab/>
        <w:tab/>
        <w:tab/>
        <w:t xml:space="preserve">         1.812,62  EUR</w:t>
      </w:r>
    </w:p>
    <w:p>
      <w:pPr>
        <w:pStyle w:val="Normal"/>
        <w:tabs>
          <w:tab w:val="clear" w:pos="708"/>
          <w:tab w:val="left" w:pos="426" w:leader="none"/>
        </w:tabs>
        <w:ind w:hanging="360" w:left="851" w:right="0"/>
        <w:jc w:val="both"/>
        <w:rPr/>
      </w:pPr>
      <w:r>
        <w:rPr>
          <w:color w:val="auto"/>
        </w:rPr>
        <w:t>Daň zo mzdy (12/23)</w:t>
        <w:tab/>
        <w:tab/>
        <w:tab/>
        <w:tab/>
        <w:tab/>
        <w:tab/>
        <w:tab/>
        <w:t xml:space="preserve">             291,83 EUR</w:t>
      </w:r>
    </w:p>
    <w:p>
      <w:pPr>
        <w:pStyle w:val="Normal"/>
        <w:tabs>
          <w:tab w:val="clear" w:pos="708"/>
          <w:tab w:val="left" w:pos="851" w:leader="none"/>
        </w:tabs>
        <w:ind w:hanging="360" w:left="851" w:right="0"/>
        <w:jc w:val="both"/>
        <w:rPr/>
      </w:pPr>
      <w:r>
        <w:rPr>
          <w:color w:val="auto"/>
        </w:rPr>
        <w:t>Ostatné (Soc. fond)</w:t>
        <w:tab/>
        <w:tab/>
        <w:tab/>
        <w:tab/>
        <w:tab/>
        <w:tab/>
        <w:tab/>
        <w:t xml:space="preserve">             305,14 EUR</w:t>
      </w:r>
    </w:p>
    <w:p>
      <w:pPr>
        <w:pStyle w:val="Normal"/>
        <w:tabs>
          <w:tab w:val="clear" w:pos="708"/>
          <w:tab w:val="left" w:pos="851" w:leader="none"/>
        </w:tabs>
        <w:ind w:hanging="360" w:left="851" w:right="0"/>
        <w:jc w:val="both"/>
        <w:rPr/>
      </w:pPr>
      <w:r>
        <w:rPr>
          <w:color w:val="auto"/>
        </w:rPr>
        <w:t>Nezúčtované transfery</w:t>
        <w:tab/>
        <w:tab/>
        <w:tab/>
        <w:tab/>
        <w:tab/>
        <w:tab/>
        <w:tab/>
        <w:t xml:space="preserve">          5.069,05 EUR</w:t>
      </w:r>
    </w:p>
    <w:p>
      <w:pPr>
        <w:pStyle w:val="Normal"/>
        <w:tabs>
          <w:tab w:val="clear" w:pos="708"/>
          <w:tab w:val="left" w:pos="851" w:leader="none"/>
        </w:tabs>
        <w:ind w:hanging="360" w:left="851" w:right="0"/>
        <w:jc w:val="both"/>
        <w:rPr/>
      </w:pPr>
      <w:r>
        <w:rPr>
          <w:color w:val="auto"/>
        </w:rPr>
        <w:t>Rezerva na audit 2022</w:t>
        <w:tab/>
        <w:tab/>
        <w:tab/>
        <w:tab/>
        <w:tab/>
        <w:t xml:space="preserve">   </w:t>
        <w:tab/>
        <w:t xml:space="preserve">                      2.340,00 EUR</w:t>
      </w:r>
    </w:p>
    <w:p>
      <w:pPr>
        <w:pStyle w:val="Normal"/>
        <w:tabs>
          <w:tab w:val="clear" w:pos="708"/>
          <w:tab w:val="left" w:pos="851" w:leader="none"/>
        </w:tabs>
        <w:ind w:hanging="360" w:left="851" w:right="0"/>
        <w:jc w:val="both"/>
        <w:rPr>
          <w:color w:val="auto"/>
        </w:rPr>
      </w:pPr>
      <w:r>
        <w:rPr/>
      </w:r>
    </w:p>
    <w:p>
      <w:pPr>
        <w:pStyle w:val="Normal"/>
        <w:ind w:firstLine="426" w:right="0"/>
        <w:rPr/>
      </w:pPr>
      <w:r>
        <w:rPr>
          <w:b/>
          <w:i/>
          <w:color w:val="auto"/>
          <w:sz w:val="24"/>
          <w:szCs w:val="24"/>
          <w:lang w:val="sk-SK"/>
        </w:rPr>
        <w:t>Obec Nižná Boca nemá k 31.12.2023 žiadny úver. Všetky úvery evidované k 31.12.2022 boli v priebehu roku 2023 vyplatené.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b/>
          <w:color w:val="auto"/>
          <w:sz w:val="24"/>
          <w:szCs w:val="24"/>
          <w:lang w:val="sk-SK"/>
        </w:rPr>
        <w:t>9. Hospodársky výsledok za rok 2023 – vývoj nákladov a výnosov eurách</w:t>
      </w:r>
    </w:p>
    <w:p>
      <w:pPr>
        <w:pStyle w:val="Bezmezer"/>
        <w:jc w:val="both"/>
        <w:rPr>
          <w:rFonts w:ascii="Times New Roman" w:hAnsi="Times New Roman"/>
          <w:b/>
          <w:color w:val="auto"/>
          <w:sz w:val="24"/>
          <w:szCs w:val="24"/>
          <w:lang w:val="sk-SK"/>
        </w:rPr>
      </w:pPr>
      <w:r>
        <w:rPr>
          <w:rFonts w:ascii="Times New Roman" w:hAnsi="Times New Roman"/>
          <w:b/>
          <w:color w:val="auto"/>
          <w:sz w:val="24"/>
          <w:szCs w:val="24"/>
          <w:lang w:val="sk-SK"/>
        </w:rPr>
      </w:r>
    </w:p>
    <w:tbl>
      <w:tblPr>
        <w:tblW w:w="918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4926"/>
        <w:gridCol w:w="1985"/>
        <w:gridCol w:w="2269"/>
      </w:tblGrid>
      <w:tr>
        <w:trPr/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ezmezer"/>
              <w:jc w:val="both"/>
              <w:rPr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  <w:lang w:val="sk-SK"/>
              </w:rPr>
              <w:t>Názov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ezmezer"/>
              <w:jc w:val="right"/>
              <w:rPr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  <w:lang w:val="sk-SK"/>
              </w:rPr>
              <w:t>Skutočnosť k 31.12.2022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ezmezer"/>
              <w:jc w:val="right"/>
              <w:rPr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  <w:lang w:val="sk-SK"/>
              </w:rPr>
              <w:t>Skutočnosť k 31.12.2023</w:t>
            </w:r>
          </w:p>
        </w:tc>
      </w:tr>
      <w:tr>
        <w:trPr/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ezmezer"/>
              <w:jc w:val="both"/>
              <w:rPr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  <w:lang w:val="sk-SK"/>
              </w:rPr>
              <w:t>Náklady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ezmezer"/>
              <w:jc w:val="right"/>
              <w:rPr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  <w:lang w:val="sk-SK"/>
              </w:rPr>
              <w:t>139.976,18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ezmezer"/>
              <w:jc w:val="right"/>
              <w:rPr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  <w:lang w:val="sk-SK"/>
              </w:rPr>
              <w:t>156.324,70</w:t>
            </w:r>
          </w:p>
        </w:tc>
      </w:tr>
      <w:tr>
        <w:trPr/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ezmezer"/>
              <w:jc w:val="both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lang w:val="sk-SK"/>
              </w:rPr>
              <w:t>50 – Spotrebované nákupy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ezmezer"/>
              <w:jc w:val="right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lang w:val="sk-SK"/>
              </w:rPr>
              <w:t>11.787,05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ezmezer"/>
              <w:jc w:val="right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lang w:val="sk-SK"/>
              </w:rPr>
              <w:t>17.020,03</w:t>
            </w:r>
          </w:p>
        </w:tc>
      </w:tr>
      <w:tr>
        <w:trPr/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ezmezer"/>
              <w:jc w:val="both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lang w:val="sk-SK"/>
              </w:rPr>
              <w:t>51 – Služby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ezmezer"/>
              <w:jc w:val="right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lang w:val="sk-SK"/>
              </w:rPr>
              <w:t>23.604,20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ezmezer"/>
              <w:jc w:val="right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lang w:val="sk-SK"/>
              </w:rPr>
              <w:t>23.939,91</w:t>
            </w:r>
          </w:p>
        </w:tc>
      </w:tr>
      <w:tr>
        <w:trPr/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ezmezer"/>
              <w:jc w:val="both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lang w:val="sk-SK"/>
              </w:rPr>
              <w:t>52 – Osobné náklady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ezmezer"/>
              <w:jc w:val="right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lang w:val="sk-SK"/>
              </w:rPr>
              <w:t>58.990,90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ezmezer"/>
              <w:jc w:val="right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lang w:val="sk-SK"/>
              </w:rPr>
              <w:t>58.158,08</w:t>
            </w:r>
          </w:p>
        </w:tc>
      </w:tr>
      <w:tr>
        <w:trPr/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ezmezer"/>
              <w:jc w:val="both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lang w:val="sk-SK"/>
              </w:rPr>
              <w:t>53 – Dane a poplatky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ezmezer"/>
              <w:jc w:val="right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lang w:val="sk-SK"/>
              </w:rPr>
              <w:t>178,81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ezmezer"/>
              <w:jc w:val="right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lang w:val="sk-SK"/>
              </w:rPr>
              <w:t>1.474,10</w:t>
            </w:r>
          </w:p>
        </w:tc>
      </w:tr>
      <w:tr>
        <w:trPr/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ezmezer"/>
              <w:jc w:val="both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lang w:val="sk-SK"/>
              </w:rPr>
              <w:t>54 – Ostatné náklady na prevádzkovú činnosť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ezmezer"/>
              <w:jc w:val="right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lang w:val="sk-SK"/>
              </w:rPr>
              <w:t>3.709,09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ezmezer"/>
              <w:jc w:val="right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lang w:val="sk-SK"/>
              </w:rPr>
              <w:t>4.748,25</w:t>
            </w:r>
          </w:p>
        </w:tc>
      </w:tr>
      <w:tr>
        <w:trPr/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ezmezer"/>
              <w:jc w:val="both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lang w:val="sk-SK"/>
              </w:rPr>
              <w:t>55 – Odpisy, rezervy a OP z prevádzkovej a finančnej činnosti a zúčtovanie časového rozl.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ezmezer"/>
              <w:jc w:val="right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lang w:val="sk-SK"/>
              </w:rPr>
              <w:t>36.262,73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ezmezer"/>
              <w:jc w:val="right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lang w:val="sk-SK"/>
              </w:rPr>
              <w:t>41.171,85</w:t>
            </w:r>
          </w:p>
        </w:tc>
      </w:tr>
      <w:tr>
        <w:trPr/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ezmezer"/>
              <w:jc w:val="both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lang w:val="sk-SK"/>
              </w:rPr>
              <w:t>56 – Finančné náklady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ezmezer"/>
              <w:jc w:val="right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lang w:val="sk-SK"/>
              </w:rPr>
              <w:t>3.051,56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ezmezer"/>
              <w:jc w:val="right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lang w:val="sk-SK"/>
              </w:rPr>
              <w:t>7.142,05</w:t>
            </w:r>
          </w:p>
        </w:tc>
      </w:tr>
      <w:tr>
        <w:trPr/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ezmezer"/>
              <w:jc w:val="both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lang w:val="sk-SK"/>
              </w:rPr>
              <w:t>57 – Mimoriadne náklady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ezmezer"/>
              <w:jc w:val="right"/>
              <w:rPr>
                <w:rFonts w:ascii="Times New Roman" w:hAnsi="Times New Roman"/>
                <w:color w:val="auto"/>
                <w:lang w:val="sk-SK"/>
              </w:rPr>
            </w:pPr>
            <w:r>
              <w:rPr>
                <w:rFonts w:ascii="Times New Roman" w:hAnsi="Times New Roman"/>
                <w:color w:val="auto"/>
                <w:lang w:val="sk-SK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ezmezer"/>
              <w:jc w:val="right"/>
              <w:rPr>
                <w:rFonts w:ascii="Times New Roman" w:hAnsi="Times New Roman"/>
                <w:color w:val="auto"/>
                <w:lang w:val="sk-SK"/>
              </w:rPr>
            </w:pPr>
            <w:r>
              <w:rPr>
                <w:rFonts w:ascii="Times New Roman" w:hAnsi="Times New Roman"/>
                <w:color w:val="auto"/>
                <w:lang w:val="sk-SK"/>
              </w:rPr>
            </w:r>
          </w:p>
        </w:tc>
      </w:tr>
      <w:tr>
        <w:trPr/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ezmezer"/>
              <w:jc w:val="both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lang w:val="sk-SK"/>
              </w:rPr>
              <w:t>58 – Náklady na transfery a náklady z odvodov príjmov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ezmezer"/>
              <w:jc w:val="right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lang w:val="sk-SK"/>
              </w:rPr>
              <w:t>2.391,84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ezmezer"/>
              <w:jc w:val="right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lang w:val="sk-SK"/>
              </w:rPr>
              <w:t>2.670,43</w:t>
            </w:r>
          </w:p>
        </w:tc>
      </w:tr>
      <w:tr>
        <w:trPr/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ezmezer"/>
              <w:jc w:val="both"/>
              <w:rPr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  <w:lang w:val="sk-SK"/>
              </w:rPr>
              <w:t>Výnosy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ezmezer"/>
              <w:jc w:val="right"/>
              <w:rPr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  <w:lang w:val="sk-SK"/>
              </w:rPr>
              <w:t>159.812,51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ezmezer"/>
              <w:jc w:val="right"/>
              <w:rPr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  <w:lang w:val="sk-SK"/>
              </w:rPr>
              <w:t>195.110,32</w:t>
            </w:r>
          </w:p>
        </w:tc>
      </w:tr>
      <w:tr>
        <w:trPr/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ezmezer"/>
              <w:jc w:val="both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lang w:val="sk-SK"/>
              </w:rPr>
              <w:t>60 – Tržby za vlastné výkony a tovar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ezmezer"/>
              <w:jc w:val="right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lang w:val="sk-SK"/>
              </w:rPr>
              <w:t>53,15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ezmezer"/>
              <w:jc w:val="right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lang w:val="sk-SK"/>
              </w:rPr>
              <w:t>35,00</w:t>
            </w:r>
          </w:p>
        </w:tc>
      </w:tr>
      <w:tr>
        <w:trPr/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ezmezer"/>
              <w:jc w:val="both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lang w:val="sk-SK"/>
              </w:rPr>
              <w:t>61 – Zmena stavu vnútroorganizačných služieb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ezmezer"/>
              <w:jc w:val="right"/>
              <w:rPr>
                <w:rFonts w:ascii="Times New Roman" w:hAnsi="Times New Roman"/>
                <w:color w:val="auto"/>
                <w:lang w:val="sk-SK"/>
              </w:rPr>
            </w:pPr>
            <w:r>
              <w:rPr>
                <w:rFonts w:ascii="Times New Roman" w:hAnsi="Times New Roman"/>
                <w:color w:val="auto"/>
                <w:lang w:val="sk-SK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ezmezer"/>
              <w:jc w:val="right"/>
              <w:rPr>
                <w:rFonts w:ascii="Times New Roman" w:hAnsi="Times New Roman"/>
                <w:color w:val="auto"/>
                <w:lang w:val="sk-SK"/>
              </w:rPr>
            </w:pPr>
            <w:r>
              <w:rPr>
                <w:rFonts w:ascii="Times New Roman" w:hAnsi="Times New Roman"/>
                <w:color w:val="auto"/>
                <w:lang w:val="sk-SK"/>
              </w:rPr>
            </w:r>
          </w:p>
        </w:tc>
      </w:tr>
      <w:tr>
        <w:trPr/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ezmezer"/>
              <w:jc w:val="both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lang w:val="sk-SK"/>
              </w:rPr>
              <w:t>63 – Daňové a colné výnosy a výnosy z poplatkov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ezmezer"/>
              <w:jc w:val="right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lang w:val="sk-SK"/>
              </w:rPr>
              <w:t>123.938,97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ezmezer"/>
              <w:jc w:val="right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lang w:val="sk-SK"/>
              </w:rPr>
              <w:t>135.646,93</w:t>
            </w:r>
          </w:p>
        </w:tc>
      </w:tr>
      <w:tr>
        <w:trPr/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ezmezer"/>
              <w:jc w:val="both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lang w:val="sk-SK"/>
              </w:rPr>
              <w:t>64 – Ostatné výnosy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ezmezer"/>
              <w:jc w:val="right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lang w:val="sk-SK"/>
              </w:rPr>
              <w:t>3.501,46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ezmezer"/>
              <w:jc w:val="right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lang w:val="sk-SK"/>
              </w:rPr>
              <w:t>16.607,70</w:t>
            </w:r>
          </w:p>
        </w:tc>
      </w:tr>
      <w:tr>
        <w:trPr/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ezmezer"/>
              <w:jc w:val="both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lang w:val="sk-SK"/>
              </w:rPr>
              <w:t>65 – Zúčtovanie rezerv a OP z prevádzkovej a finančnej činnosti a zúčtovanie časového rozlíšenia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ezmezer"/>
              <w:jc w:val="right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lang w:val="sk-SK"/>
              </w:rPr>
              <w:t>510,00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ezmezer"/>
              <w:jc w:val="right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lang w:val="sk-SK"/>
              </w:rPr>
              <w:t>0,00</w:t>
            </w:r>
          </w:p>
        </w:tc>
      </w:tr>
      <w:tr>
        <w:trPr/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ezmezer"/>
              <w:jc w:val="both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lang w:val="sk-SK"/>
              </w:rPr>
              <w:t>66 – Finančné výnosy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ezmezer"/>
              <w:jc w:val="right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lang w:val="sk-SK"/>
              </w:rPr>
              <w:t>12,30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ezmezer"/>
              <w:jc w:val="right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lang w:val="sk-SK"/>
              </w:rPr>
              <w:t>0,00</w:t>
            </w:r>
          </w:p>
        </w:tc>
      </w:tr>
      <w:tr>
        <w:trPr/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ezmezer"/>
              <w:jc w:val="both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lang w:val="sk-SK"/>
              </w:rPr>
              <w:t>67 – Mimoriadne výnosy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ezmezer"/>
              <w:jc w:val="right"/>
              <w:rPr>
                <w:rFonts w:ascii="Times New Roman" w:hAnsi="Times New Roman"/>
                <w:color w:val="auto"/>
                <w:lang w:val="sk-SK"/>
              </w:rPr>
            </w:pPr>
            <w:r>
              <w:rPr>
                <w:rFonts w:ascii="Times New Roman" w:hAnsi="Times New Roman"/>
                <w:color w:val="auto"/>
                <w:lang w:val="sk-SK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ezmezer"/>
              <w:jc w:val="right"/>
              <w:rPr>
                <w:rFonts w:ascii="Times New Roman" w:hAnsi="Times New Roman"/>
                <w:color w:val="auto"/>
                <w:lang w:val="sk-SK"/>
              </w:rPr>
            </w:pPr>
            <w:r>
              <w:rPr>
                <w:rFonts w:ascii="Times New Roman" w:hAnsi="Times New Roman"/>
                <w:color w:val="auto"/>
                <w:lang w:val="sk-SK"/>
              </w:rPr>
            </w:r>
          </w:p>
        </w:tc>
      </w:tr>
      <w:tr>
        <w:trPr/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ezmezer"/>
              <w:jc w:val="both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lang w:val="sk-SK"/>
              </w:rPr>
              <w:t>69 – Výnosy z transferov a rozpočtových príjmov v obciach, VÚC a v RO a PO zriadených obcou alebo VÚC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ezmezer"/>
              <w:jc w:val="right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lang w:val="sk-SK"/>
              </w:rPr>
              <w:t>31.796,63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ezmezer"/>
              <w:jc w:val="right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lang w:val="sk-SK"/>
              </w:rPr>
              <w:t>42.820,69</w:t>
            </w:r>
          </w:p>
        </w:tc>
      </w:tr>
      <w:tr>
        <w:trPr/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ezmezer"/>
              <w:jc w:val="both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lang w:val="sk-SK"/>
              </w:rPr>
              <w:t>59 – splatná daň z príjmov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ezmezer"/>
              <w:jc w:val="right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lang w:val="sk-SK"/>
              </w:rPr>
              <w:t>0,00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ezmezer"/>
              <w:jc w:val="right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lang w:val="sk-SK"/>
              </w:rPr>
              <w:t>0,00</w:t>
            </w:r>
          </w:p>
        </w:tc>
      </w:tr>
      <w:tr>
        <w:trPr/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ezmezer"/>
              <w:jc w:val="both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lang w:val="sk-SK"/>
              </w:rPr>
              <w:t>Výsledok hospodárenia po zdanení</w:t>
            </w:r>
          </w:p>
          <w:p>
            <w:pPr>
              <w:pStyle w:val="Bezmezer"/>
              <w:jc w:val="both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lang w:val="sk-SK"/>
              </w:rPr>
              <w:t>/ + kladný VH, - záporný VH /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ezmezer"/>
              <w:jc w:val="right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lang w:val="sk-SK"/>
              </w:rPr>
              <w:t>19.836,33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ezmezer"/>
              <w:jc w:val="right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lang w:val="sk-SK"/>
              </w:rPr>
              <w:t>38.785,62</w:t>
            </w:r>
          </w:p>
        </w:tc>
      </w:tr>
    </w:tbl>
    <w:p>
      <w:pPr>
        <w:pStyle w:val="Bezmezer"/>
        <w:jc w:val="both"/>
        <w:rPr>
          <w:rFonts w:ascii="Times New Roman" w:hAnsi="Times New Roman"/>
          <w:color w:val="CE181E"/>
          <w:sz w:val="24"/>
          <w:szCs w:val="24"/>
          <w:lang w:val="sk-SK"/>
        </w:rPr>
      </w:pPr>
      <w:r>
        <w:rPr>
          <w:rFonts w:ascii="Times New Roman" w:hAnsi="Times New Roman"/>
          <w:color w:val="CE181E"/>
          <w:sz w:val="24"/>
          <w:szCs w:val="24"/>
          <w:lang w:val="sk-SK"/>
        </w:rPr>
      </w:r>
    </w:p>
    <w:p>
      <w:pPr>
        <w:pStyle w:val="Bezmezer"/>
        <w:jc w:val="both"/>
        <w:rPr>
          <w:color w:val="CE181E"/>
        </w:rPr>
      </w:pPr>
      <w:r>
        <w:rPr/>
      </w:r>
    </w:p>
    <w:p>
      <w:pPr>
        <w:pStyle w:val="Bezmezer"/>
        <w:jc w:val="both"/>
        <w:rPr>
          <w:rFonts w:ascii="Times New Roman" w:hAnsi="Times New Roman"/>
          <w:color w:val="CE181E"/>
          <w:sz w:val="24"/>
          <w:szCs w:val="24"/>
          <w:lang w:val="sk-SK"/>
        </w:rPr>
      </w:pPr>
      <w:r>
        <w:rPr>
          <w:rFonts w:ascii="Times New Roman" w:hAnsi="Times New Roman"/>
          <w:color w:val="CE181E"/>
          <w:sz w:val="24"/>
          <w:szCs w:val="24"/>
          <w:lang w:val="sk-SK"/>
        </w:rPr>
      </w:r>
    </w:p>
    <w:p>
      <w:pPr>
        <w:pStyle w:val="Bezmezer"/>
        <w:jc w:val="both"/>
        <w:rPr>
          <w:color w:val="CE181E"/>
        </w:rPr>
      </w:pPr>
      <w:r>
        <w:rPr>
          <w:rFonts w:ascii="Times New Roman" w:hAnsi="Times New Roman"/>
          <w:color w:val="CE181E"/>
          <w:sz w:val="24"/>
          <w:szCs w:val="24"/>
          <w:lang w:val="sk-SK"/>
        </w:rPr>
      </w:r>
    </w:p>
    <w:p>
      <w:pPr>
        <w:pStyle w:val="Bezmezer"/>
        <w:jc w:val="both"/>
        <w:rPr>
          <w:color w:val="CE181E"/>
        </w:rPr>
      </w:pPr>
      <w:r>
        <w:rPr>
          <w:rFonts w:ascii="Times New Roman" w:hAnsi="Times New Roman"/>
          <w:color w:val="CE181E"/>
          <w:sz w:val="24"/>
          <w:szCs w:val="24"/>
          <w:lang w:val="sk-SK"/>
        </w:rPr>
      </w:r>
    </w:p>
    <w:p>
      <w:pPr>
        <w:pStyle w:val="Bezmezer"/>
        <w:jc w:val="both"/>
        <w:rPr>
          <w:color w:val="CE181E"/>
        </w:rPr>
      </w:pPr>
      <w:r>
        <w:rPr>
          <w:rFonts w:ascii="Times New Roman" w:hAnsi="Times New Roman"/>
          <w:color w:val="CE181E"/>
          <w:sz w:val="24"/>
          <w:szCs w:val="24"/>
          <w:lang w:val="sk-SK"/>
        </w:rPr>
      </w:r>
    </w:p>
    <w:p>
      <w:pPr>
        <w:pStyle w:val="Bezmezer"/>
        <w:jc w:val="both"/>
        <w:rPr>
          <w:color w:val="CE181E"/>
        </w:rPr>
      </w:pPr>
      <w:r>
        <w:rPr>
          <w:rFonts w:ascii="Times New Roman" w:hAnsi="Times New Roman"/>
          <w:color w:val="CE181E"/>
          <w:sz w:val="24"/>
          <w:szCs w:val="24"/>
          <w:lang w:val="sk-SK"/>
        </w:rPr>
      </w:r>
    </w:p>
    <w:p>
      <w:pPr>
        <w:pStyle w:val="Bezmezer"/>
        <w:jc w:val="both"/>
        <w:rPr>
          <w:color w:val="CE181E"/>
        </w:rPr>
      </w:pPr>
      <w:r>
        <w:rPr>
          <w:rFonts w:ascii="Times New Roman" w:hAnsi="Times New Roman"/>
          <w:color w:val="CE181E"/>
          <w:sz w:val="24"/>
          <w:szCs w:val="24"/>
          <w:lang w:val="sk-SK"/>
        </w:rPr>
      </w:r>
    </w:p>
    <w:p>
      <w:pPr>
        <w:pStyle w:val="Bezmezer"/>
        <w:jc w:val="both"/>
        <w:rPr>
          <w:color w:val="CE181E"/>
        </w:rPr>
      </w:pPr>
      <w:r>
        <w:rPr>
          <w:rFonts w:ascii="Times New Roman" w:hAnsi="Times New Roman"/>
          <w:color w:val="CE181E"/>
          <w:sz w:val="24"/>
          <w:szCs w:val="24"/>
          <w:lang w:val="sk-SK"/>
        </w:rPr>
      </w:r>
    </w:p>
    <w:p>
      <w:pPr>
        <w:pStyle w:val="Bezmezer"/>
        <w:jc w:val="both"/>
        <w:rPr>
          <w:color w:val="CE181E"/>
        </w:rPr>
      </w:pPr>
      <w:r>
        <w:rPr>
          <w:rFonts w:ascii="Times New Roman" w:hAnsi="Times New Roman"/>
          <w:color w:val="CE181E"/>
          <w:sz w:val="24"/>
          <w:szCs w:val="24"/>
          <w:lang w:val="sk-SK"/>
        </w:rPr>
      </w:r>
    </w:p>
    <w:p>
      <w:pPr>
        <w:pStyle w:val="Bezmezer"/>
        <w:jc w:val="both"/>
        <w:rPr>
          <w:color w:val="CE181E"/>
        </w:rPr>
      </w:pPr>
      <w:r>
        <w:rPr>
          <w:rFonts w:ascii="Times New Roman" w:hAnsi="Times New Roman"/>
          <w:color w:val="CE181E"/>
          <w:sz w:val="24"/>
          <w:szCs w:val="24"/>
          <w:lang w:val="sk-SK"/>
        </w:rPr>
      </w:r>
    </w:p>
    <w:p>
      <w:pPr>
        <w:pStyle w:val="Bezmezer"/>
        <w:jc w:val="both"/>
        <w:rPr>
          <w:color w:val="CE181E"/>
        </w:rPr>
      </w:pPr>
      <w:r>
        <w:rPr>
          <w:rFonts w:ascii="Times New Roman" w:hAnsi="Times New Roman"/>
          <w:color w:val="CE181E"/>
          <w:sz w:val="24"/>
          <w:szCs w:val="24"/>
          <w:lang w:val="sk-SK"/>
        </w:rPr>
      </w:r>
    </w:p>
    <w:p>
      <w:pPr>
        <w:pStyle w:val="Bezmezer"/>
        <w:jc w:val="both"/>
        <w:rPr>
          <w:color w:val="CE181E"/>
        </w:rPr>
      </w:pPr>
      <w:r>
        <w:rPr>
          <w:rFonts w:ascii="Times New Roman" w:hAnsi="Times New Roman"/>
          <w:color w:val="CE181E"/>
          <w:sz w:val="24"/>
          <w:szCs w:val="24"/>
          <w:lang w:val="sk-SK"/>
        </w:rPr>
      </w:r>
    </w:p>
    <w:p>
      <w:pPr>
        <w:pStyle w:val="Bezmezer"/>
        <w:jc w:val="both"/>
        <w:rPr>
          <w:color w:val="CE181E"/>
        </w:rPr>
      </w:pPr>
      <w:r>
        <w:rPr>
          <w:rFonts w:ascii="Times New Roman" w:hAnsi="Times New Roman"/>
          <w:color w:val="CE181E"/>
          <w:sz w:val="24"/>
          <w:szCs w:val="24"/>
          <w:lang w:val="sk-SK"/>
        </w:rPr>
      </w:r>
    </w:p>
    <w:p>
      <w:pPr>
        <w:pStyle w:val="Bezmezer"/>
        <w:jc w:val="both"/>
        <w:rPr>
          <w:color w:val="CE181E"/>
        </w:rPr>
      </w:pPr>
      <w:r>
        <w:rPr>
          <w:rFonts w:ascii="Times New Roman" w:hAnsi="Times New Roman"/>
          <w:color w:val="CE181E"/>
          <w:sz w:val="24"/>
          <w:szCs w:val="24"/>
          <w:lang w:val="sk-SK"/>
        </w:rPr>
      </w:r>
    </w:p>
    <w:p>
      <w:pPr>
        <w:pStyle w:val="Bezmezer"/>
        <w:jc w:val="both"/>
        <w:rPr>
          <w:color w:val="CE181E"/>
        </w:rPr>
      </w:pPr>
      <w:r>
        <w:rPr>
          <w:rFonts w:ascii="Times New Roman" w:hAnsi="Times New Roman"/>
          <w:color w:val="CE181E"/>
          <w:sz w:val="24"/>
          <w:szCs w:val="24"/>
          <w:lang w:val="sk-SK"/>
        </w:rPr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b/>
          <w:color w:val="auto"/>
          <w:sz w:val="24"/>
          <w:szCs w:val="24"/>
          <w:lang w:val="sk-SK"/>
        </w:rPr>
        <w:t xml:space="preserve">10. Ostatné  dôležité informácie </w:t>
      </w:r>
    </w:p>
    <w:p>
      <w:pPr>
        <w:pStyle w:val="Bezmezer"/>
        <w:jc w:val="both"/>
        <w:rPr>
          <w:rFonts w:ascii="Times New Roman" w:hAnsi="Times New Roman"/>
          <w:color w:val="auto"/>
          <w:sz w:val="24"/>
          <w:szCs w:val="24"/>
          <w:lang w:val="sk-SK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b/>
          <w:i/>
          <w:color w:val="auto"/>
          <w:sz w:val="24"/>
          <w:szCs w:val="24"/>
          <w:lang w:val="sk-SK"/>
        </w:rPr>
        <w:t xml:space="preserve">10.1 Prijaté granty a transfery </w:t>
      </w:r>
    </w:p>
    <w:p>
      <w:pPr>
        <w:pStyle w:val="Bezmezer"/>
        <w:jc w:val="both"/>
        <w:rPr>
          <w:rFonts w:ascii="Times New Roman" w:hAnsi="Times New Roman"/>
          <w:b/>
          <w:i/>
          <w:i/>
          <w:color w:val="auto"/>
          <w:sz w:val="24"/>
          <w:szCs w:val="24"/>
          <w:lang w:val="sk-SK"/>
        </w:rPr>
      </w:pPr>
      <w:r>
        <w:rPr>
          <w:rFonts w:ascii="Times New Roman" w:hAnsi="Times New Roman"/>
          <w:b/>
          <w:i/>
          <w:color w:val="auto"/>
          <w:sz w:val="24"/>
          <w:szCs w:val="24"/>
          <w:lang w:val="sk-SK"/>
        </w:rPr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V roku 202</w:t>
      </w:r>
      <w:r>
        <w:rPr>
          <w:rFonts w:ascii="Times New Roman" w:hAnsi="Times New Roman"/>
          <w:color w:val="auto"/>
          <w:sz w:val="24"/>
          <w:szCs w:val="24"/>
          <w:lang w:val="sk-SK"/>
        </w:rPr>
        <w:t>3</w:t>
      </w:r>
      <w:r>
        <w:rPr>
          <w:rFonts w:ascii="Times New Roman" w:hAnsi="Times New Roman"/>
          <w:color w:val="auto"/>
          <w:sz w:val="24"/>
          <w:szCs w:val="24"/>
          <w:lang w:val="sk-SK"/>
        </w:rPr>
        <w:t xml:space="preserve"> obec prijala nasledovné granty a transfery:</w:t>
      </w:r>
    </w:p>
    <w:p>
      <w:pPr>
        <w:pStyle w:val="Normal"/>
        <w:jc w:val="both"/>
        <w:rPr>
          <w:color w:val="auto"/>
        </w:rPr>
      </w:pPr>
      <w:r>
        <w:rPr>
          <w:color w:val="auto"/>
        </w:rPr>
      </w:r>
    </w:p>
    <w:tbl>
      <w:tblPr>
        <w:tblW w:w="9630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5"/>
        <w:gridCol w:w="2732"/>
        <w:gridCol w:w="1494"/>
        <w:gridCol w:w="1504"/>
        <w:gridCol w:w="1245"/>
      </w:tblGrid>
      <w:tr>
        <w:trPr>
          <w:trHeight w:val="1470" w:hRule="atLeast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</w:tcPr>
          <w:p>
            <w:pPr>
              <w:pStyle w:val="Normal"/>
              <w:jc w:val="center"/>
              <w:rPr>
                <w:b/>
                <w:color w:val="auto"/>
                <w:sz w:val="20"/>
                <w:szCs w:val="20"/>
              </w:rPr>
            </w:pPr>
            <w:bookmarkStart w:id="8" w:name="OLE_LINK10"/>
            <w:bookmarkStart w:id="9" w:name="OLE_LINK11"/>
            <w:bookmarkStart w:id="10" w:name="_Hlk515302209"/>
            <w:bookmarkEnd w:id="8"/>
            <w:bookmarkEnd w:id="9"/>
            <w:bookmarkEnd w:id="10"/>
            <w:r>
              <w:rPr>
                <w:b/>
                <w:color w:val="auto"/>
                <w:sz w:val="20"/>
                <w:szCs w:val="20"/>
              </w:rPr>
              <w:t>Poskytovateľ</w:t>
            </w:r>
          </w:p>
          <w:p>
            <w:pPr>
              <w:pStyle w:val="Normal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- 1 -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</w:tcPr>
          <w:p>
            <w:pPr>
              <w:pStyle w:val="Normal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Účelové určenie grantu, transferu uviesť : školstvo, matrika, ....</w:t>
            </w:r>
          </w:p>
          <w:p>
            <w:pPr>
              <w:pStyle w:val="Normal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- bežné výdavky</w:t>
            </w:r>
          </w:p>
          <w:p>
            <w:pPr>
              <w:pStyle w:val="Normal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- kapitálové výdavky</w:t>
            </w:r>
          </w:p>
          <w:p>
            <w:pPr>
              <w:pStyle w:val="Normal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- 2 -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</w:tcPr>
          <w:p>
            <w:pPr>
              <w:pStyle w:val="Normal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Suma  poskytnutých</w:t>
            </w:r>
          </w:p>
          <w:p>
            <w:pPr>
              <w:pStyle w:val="Normal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finančných prostriedkov</w:t>
            </w:r>
          </w:p>
          <w:p>
            <w:pPr>
              <w:pStyle w:val="Normal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- 3 -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</w:tcPr>
          <w:p>
            <w:pPr>
              <w:pStyle w:val="Normal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Suma skutočne použitých finančných prostriedkov</w:t>
            </w:r>
          </w:p>
          <w:p>
            <w:pPr>
              <w:pStyle w:val="Normal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- 4 -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Rozdiel</w:t>
            </w:r>
          </w:p>
          <w:p>
            <w:pPr>
              <w:pStyle w:val="Normal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(stĺ.3 - stĺ.4 )</w:t>
            </w:r>
          </w:p>
          <w:p>
            <w:pPr>
              <w:pStyle w:val="Normal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</w:r>
          </w:p>
          <w:p>
            <w:pPr>
              <w:pStyle w:val="Normal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- 5 -</w:t>
            </w:r>
          </w:p>
        </w:tc>
      </w:tr>
      <w:tr>
        <w:trPr>
          <w:trHeight w:val="278" w:hRule="atLeast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color w:val="auto"/>
              </w:rPr>
            </w:pPr>
            <w:r>
              <w:rPr>
                <w:color w:val="auto"/>
              </w:rPr>
              <w:t>Ministerstvo vnútra SR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color w:val="auto"/>
              </w:rPr>
              <w:t>Register obyv. a adries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right"/>
              <w:rPr>
                <w:color w:val="auto"/>
              </w:rPr>
            </w:pPr>
            <w:r>
              <w:rPr>
                <w:color w:val="auto"/>
              </w:rPr>
              <w:t>76,49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right"/>
              <w:rPr>
                <w:color w:val="auto"/>
              </w:rPr>
            </w:pPr>
            <w:r>
              <w:rPr>
                <w:color w:val="auto"/>
              </w:rPr>
              <w:t>76,49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right"/>
              <w:rPr>
                <w:color w:val="auto"/>
              </w:rPr>
            </w:pPr>
            <w:r>
              <w:rPr>
                <w:color w:val="auto"/>
              </w:rPr>
              <w:t>0,00</w:t>
            </w:r>
          </w:p>
        </w:tc>
      </w:tr>
      <w:tr>
        <w:trPr/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color w:val="auto"/>
              </w:rPr>
            </w:pPr>
            <w:r>
              <w:rPr>
                <w:color w:val="auto"/>
              </w:rPr>
              <w:t>Ministerstvo vnútra SR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left"/>
              <w:rPr>
                <w:color w:val="auto"/>
              </w:rPr>
            </w:pPr>
            <w:r>
              <w:rPr>
                <w:color w:val="auto"/>
              </w:rPr>
              <w:t>Voľby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1.210,81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1.210,81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right"/>
              <w:rPr>
                <w:color w:val="auto"/>
              </w:rPr>
            </w:pPr>
            <w:r>
              <w:rPr>
                <w:color w:val="auto"/>
              </w:rPr>
              <w:t>0,00</w:t>
            </w:r>
          </w:p>
        </w:tc>
      </w:tr>
      <w:tr>
        <w:trPr/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color w:val="auto"/>
              </w:rPr>
              <w:t>OÚ Žilina odbor ŽP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color w:val="auto"/>
              </w:rPr>
            </w:pPr>
            <w:r>
              <w:rPr>
                <w:color w:val="auto"/>
              </w:rPr>
              <w:t>Životné prostredie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right"/>
              <w:rPr>
                <w:color w:val="auto"/>
              </w:rPr>
            </w:pPr>
            <w:r>
              <w:rPr>
                <w:color w:val="auto"/>
              </w:rPr>
              <w:t>16,93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right"/>
              <w:rPr>
                <w:color w:val="auto"/>
              </w:rPr>
            </w:pPr>
            <w:r>
              <w:rPr>
                <w:color w:val="auto"/>
              </w:rPr>
              <w:t>16,93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right"/>
              <w:rPr>
                <w:color w:val="auto"/>
              </w:rPr>
            </w:pPr>
            <w:r>
              <w:rPr>
                <w:color w:val="auto"/>
              </w:rPr>
              <w:t>0,00</w:t>
            </w:r>
          </w:p>
        </w:tc>
      </w:tr>
      <w:tr>
        <w:trPr>
          <w:trHeight w:val="222" w:hRule="atLeast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color w:val="auto"/>
              </w:rPr>
            </w:pPr>
            <w:r>
              <w:rPr>
                <w:color w:val="auto"/>
              </w:rPr>
              <w:t>Ostatné granty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knižnica       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color w:val="auto"/>
              </w:rPr>
            </w:pPr>
            <w:r>
              <w:rPr>
                <w:color w:val="auto"/>
              </w:rPr>
              <w:t>500,00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color w:val="auto"/>
              </w:rPr>
            </w:pPr>
            <w:r>
              <w:rPr>
                <w:color w:val="auto"/>
              </w:rPr>
              <w:t>500,00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right"/>
              <w:rPr>
                <w:color w:val="auto"/>
              </w:rPr>
            </w:pPr>
            <w:r>
              <w:rPr>
                <w:color w:val="auto"/>
              </w:rPr>
              <w:t>0,00</w:t>
            </w:r>
          </w:p>
        </w:tc>
      </w:tr>
      <w:tr>
        <w:trPr>
          <w:trHeight w:val="222" w:hRule="atLeast"/>
        </w:trPr>
        <w:tc>
          <w:tcPr>
            <w:tcW w:w="26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color w:val="auto"/>
              </w:rPr>
              <w:t>OÚ Žilina odbor CD</w:t>
            </w:r>
          </w:p>
        </w:tc>
        <w:tc>
          <w:tcPr>
            <w:tcW w:w="273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color w:val="auto"/>
              </w:rPr>
            </w:pPr>
            <w:r>
              <w:rPr>
                <w:color w:val="auto"/>
              </w:rPr>
              <w:t>Cestná doprava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color w:val="auto"/>
              </w:rPr>
            </w:pPr>
            <w:r>
              <w:rPr>
                <w:color w:val="auto"/>
              </w:rPr>
              <w:t>6,61</w:t>
            </w:r>
          </w:p>
        </w:tc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color w:val="auto"/>
              </w:rPr>
            </w:pPr>
            <w:r>
              <w:rPr>
                <w:color w:val="auto"/>
              </w:rPr>
              <w:t>6,61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right"/>
              <w:rPr>
                <w:color w:val="auto"/>
              </w:rPr>
            </w:pPr>
            <w:r>
              <w:rPr>
                <w:color w:val="auto"/>
              </w:rPr>
              <w:t>0,00</w:t>
            </w:r>
          </w:p>
        </w:tc>
      </w:tr>
      <w:tr>
        <w:trPr>
          <w:trHeight w:val="222" w:hRule="atLeast"/>
        </w:trPr>
        <w:tc>
          <w:tcPr>
            <w:tcW w:w="26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color w:val="auto"/>
              </w:rPr>
            </w:pPr>
            <w:r>
              <w:rPr>
                <w:color w:val="auto"/>
              </w:rPr>
              <w:t>MF SR</w:t>
            </w:r>
          </w:p>
        </w:tc>
        <w:tc>
          <w:tcPr>
            <w:tcW w:w="273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color w:val="auto"/>
              </w:rPr>
            </w:pPr>
            <w:r>
              <w:rPr>
                <w:color w:val="auto"/>
              </w:rPr>
              <w:t>inflácia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color w:val="auto"/>
              </w:rPr>
            </w:pPr>
            <w:r>
              <w:rPr>
                <w:color w:val="auto"/>
              </w:rPr>
              <w:t>2.948,06</w:t>
            </w:r>
          </w:p>
        </w:tc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color w:val="auto"/>
              </w:rPr>
            </w:pPr>
            <w:r>
              <w:rPr>
                <w:color w:val="auto"/>
              </w:rPr>
              <w:t>2.948,06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right"/>
              <w:rPr>
                <w:color w:val="auto"/>
              </w:rPr>
            </w:pPr>
            <w:r>
              <w:rPr>
                <w:color w:val="auto"/>
              </w:rPr>
              <w:t>0,00</w:t>
            </w:r>
          </w:p>
        </w:tc>
      </w:tr>
      <w:tr>
        <w:trPr>
          <w:trHeight w:val="222" w:hRule="atLeast"/>
        </w:trPr>
        <w:tc>
          <w:tcPr>
            <w:tcW w:w="26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color w:val="auto"/>
              </w:rPr>
              <w:t>OÚ Žilina odb. stavebný</w:t>
            </w:r>
          </w:p>
        </w:tc>
        <w:tc>
          <w:tcPr>
            <w:tcW w:w="273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color w:val="auto"/>
              </w:rPr>
            </w:pPr>
            <w:r>
              <w:rPr>
                <w:color w:val="auto"/>
              </w:rPr>
              <w:t>Stavebný úrad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color w:val="auto"/>
              </w:rPr>
            </w:pPr>
            <w:r>
              <w:rPr>
                <w:color w:val="auto"/>
              </w:rPr>
              <w:t>232,06</w:t>
            </w:r>
          </w:p>
        </w:tc>
        <w:tc>
          <w:tcPr>
            <w:tcW w:w="15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color w:val="auto"/>
              </w:rPr>
            </w:pPr>
            <w:r>
              <w:rPr>
                <w:color w:val="auto"/>
              </w:rPr>
              <w:t>232,06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right"/>
              <w:rPr>
                <w:color w:val="auto"/>
              </w:rPr>
            </w:pPr>
            <w:r>
              <w:rPr>
                <w:color w:val="auto"/>
              </w:rPr>
              <w:t>0,00</w:t>
            </w:r>
          </w:p>
        </w:tc>
      </w:tr>
    </w:tbl>
    <w:p>
      <w:pPr>
        <w:pStyle w:val="Normal"/>
        <w:tabs>
          <w:tab w:val="clear" w:pos="708"/>
          <w:tab w:val="left" w:pos="426" w:leader="none"/>
        </w:tabs>
        <w:jc w:val="both"/>
        <w:rPr>
          <w:color w:val="C9211E"/>
        </w:rPr>
      </w:pPr>
      <w:r>
        <w:rPr>
          <w:color w:val="C9211E"/>
        </w:rPr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Dotácie boli poskytnuté zo ŠR na prenesený výkon štátnej správy, na voľby do samosprávy obcí a VÚC..</w:t>
      </w:r>
    </w:p>
    <w:p>
      <w:pPr>
        <w:pStyle w:val="Bezmezer"/>
        <w:jc w:val="both"/>
        <w:rPr>
          <w:rFonts w:ascii="Times New Roman" w:hAnsi="Times New Roman"/>
          <w:color w:val="auto"/>
          <w:sz w:val="24"/>
          <w:szCs w:val="24"/>
          <w:lang w:val="sk-SK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b/>
          <w:i/>
          <w:color w:val="auto"/>
          <w:sz w:val="24"/>
          <w:szCs w:val="24"/>
          <w:lang w:val="sk-SK"/>
        </w:rPr>
        <w:t xml:space="preserve">10.2 Poskytnuté dotácie </w:t>
      </w:r>
    </w:p>
    <w:p>
      <w:pPr>
        <w:pStyle w:val="Normal"/>
        <w:tabs>
          <w:tab w:val="clear" w:pos="708"/>
          <w:tab w:val="left" w:pos="426" w:leader="none"/>
        </w:tabs>
        <w:jc w:val="both"/>
        <w:rPr>
          <w:color w:val="auto"/>
        </w:rPr>
      </w:pPr>
      <w:r>
        <w:rPr>
          <w:color w:val="auto"/>
        </w:rPr>
      </w:r>
    </w:p>
    <w:tbl>
      <w:tblPr>
        <w:tblW w:w="1000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20"/>
        <w:gridCol w:w="2126"/>
        <w:gridCol w:w="1576"/>
        <w:gridCol w:w="1783"/>
      </w:tblGrid>
      <w:tr>
        <w:trPr/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</w:tcPr>
          <w:p>
            <w:pPr>
              <w:pStyle w:val="Normal"/>
              <w:snapToGrid w:val="false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</w:r>
            <w:bookmarkStart w:id="11" w:name="OLE_LINK18"/>
            <w:bookmarkStart w:id="12" w:name="OLE_LINK19"/>
            <w:bookmarkStart w:id="13" w:name="_Hlk515303860"/>
            <w:bookmarkStart w:id="14" w:name="OLE_LINK18"/>
            <w:bookmarkStart w:id="15" w:name="OLE_LINK19"/>
            <w:bookmarkStart w:id="16" w:name="_Hlk515303860"/>
            <w:bookmarkEnd w:id="14"/>
            <w:bookmarkEnd w:id="15"/>
            <w:bookmarkEnd w:id="16"/>
          </w:p>
          <w:p>
            <w:pPr>
              <w:pStyle w:val="Normal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Obec</w:t>
            </w:r>
          </w:p>
          <w:p>
            <w:pPr>
              <w:pStyle w:val="Normal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- 1 -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</w:tcPr>
          <w:p>
            <w:pPr>
              <w:pStyle w:val="Normal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Suma  poskytnutých</w:t>
            </w:r>
          </w:p>
          <w:p>
            <w:pPr>
              <w:pStyle w:val="Normal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finančných prostriedkov</w:t>
            </w:r>
          </w:p>
          <w:p>
            <w:pPr>
              <w:pStyle w:val="Normal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- 2 -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</w:tcPr>
          <w:p>
            <w:pPr>
              <w:pStyle w:val="Normal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Suma skutočne použitých finančných prostriedkov</w:t>
            </w:r>
          </w:p>
          <w:p>
            <w:pPr>
              <w:pStyle w:val="Normal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- 3-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Rozdiel</w:t>
            </w:r>
          </w:p>
          <w:p>
            <w:pPr>
              <w:pStyle w:val="Normal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(stĺ.3 - stĺ.4 )</w:t>
            </w:r>
          </w:p>
          <w:p>
            <w:pPr>
              <w:pStyle w:val="Normal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- 4 -</w:t>
            </w:r>
          </w:p>
        </w:tc>
      </w:tr>
      <w:tr>
        <w:trPr/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Obec Kráľova Lehota MŠ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360"/>
              <w:jc w:val="right"/>
              <w:rPr>
                <w:color w:val="auto"/>
              </w:rPr>
            </w:pPr>
            <w:r>
              <w:rPr>
                <w:color w:val="auto"/>
              </w:rPr>
              <w:t>414,56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360"/>
              <w:jc w:val="right"/>
              <w:rPr>
                <w:color w:val="auto"/>
              </w:rPr>
            </w:pPr>
            <w:r>
              <w:rPr>
                <w:color w:val="auto"/>
              </w:rPr>
              <w:t>414,56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right"/>
              <w:rPr>
                <w:color w:val="auto"/>
              </w:rPr>
            </w:pPr>
            <w:r>
              <w:rPr>
                <w:color w:val="auto"/>
              </w:rPr>
              <w:t>0,00</w:t>
            </w:r>
          </w:p>
        </w:tc>
      </w:tr>
      <w:tr>
        <w:trPr/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/>
            </w:pPr>
            <w:r>
              <w:rPr>
                <w:color w:val="auto"/>
                <w:sz w:val="22"/>
                <w:szCs w:val="22"/>
              </w:rPr>
              <w:t>Obec Liptovský Hrádok  na stavebný úrad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360"/>
              <w:jc w:val="right"/>
              <w:rPr>
                <w:color w:val="auto"/>
              </w:rPr>
            </w:pPr>
            <w:r>
              <w:rPr>
                <w:color w:val="auto"/>
              </w:rPr>
              <w:t>1.581,08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360"/>
              <w:jc w:val="right"/>
              <w:rPr>
                <w:color w:val="auto"/>
              </w:rPr>
            </w:pPr>
            <w:r>
              <w:rPr>
                <w:color w:val="auto"/>
              </w:rPr>
              <w:t>1.349,06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right"/>
              <w:rPr>
                <w:color w:val="auto"/>
              </w:rPr>
            </w:pPr>
            <w:r>
              <w:rPr>
                <w:color w:val="auto"/>
              </w:rPr>
              <w:t>232,02</w:t>
            </w:r>
          </w:p>
        </w:tc>
      </w:tr>
      <w:tr>
        <w:trPr/>
        <w:tc>
          <w:tcPr>
            <w:tcW w:w="45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Mesto Liptovský Mikuláš BT na CVČ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360"/>
              <w:jc w:val="right"/>
              <w:rPr/>
            </w:pPr>
            <w:r>
              <w:rPr>
                <w:color w:val="auto"/>
              </w:rPr>
              <w:t>197,00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360"/>
              <w:jc w:val="right"/>
              <w:rPr/>
            </w:pPr>
            <w:r>
              <w:rPr>
                <w:color w:val="auto"/>
              </w:rPr>
              <w:t>197,00</w:t>
            </w:r>
          </w:p>
        </w:tc>
        <w:tc>
          <w:tcPr>
            <w:tcW w:w="1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right"/>
              <w:rPr>
                <w:color w:val="auto"/>
              </w:rPr>
            </w:pPr>
            <w:r>
              <w:rPr>
                <w:color w:val="auto"/>
              </w:rPr>
              <w:t>0,00</w:t>
            </w:r>
          </w:p>
        </w:tc>
      </w:tr>
    </w:tbl>
    <w:p>
      <w:pPr>
        <w:pStyle w:val="Normal"/>
        <w:tabs>
          <w:tab w:val="clear" w:pos="708"/>
          <w:tab w:val="left" w:pos="426" w:leader="none"/>
        </w:tabs>
        <w:jc w:val="both"/>
        <w:rPr>
          <w:color w:val="auto"/>
        </w:rPr>
      </w:pPr>
      <w:r>
        <w:rPr>
          <w:color w:val="auto"/>
        </w:rPr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V roku 202</w:t>
      </w:r>
      <w:r>
        <w:rPr>
          <w:rFonts w:ascii="Times New Roman" w:hAnsi="Times New Roman"/>
          <w:color w:val="auto"/>
          <w:sz w:val="24"/>
          <w:szCs w:val="24"/>
          <w:lang w:val="sk-SK"/>
        </w:rPr>
        <w:t>3</w:t>
      </w:r>
      <w:r>
        <w:rPr>
          <w:rFonts w:ascii="Times New Roman" w:hAnsi="Times New Roman"/>
          <w:color w:val="auto"/>
          <w:sz w:val="24"/>
          <w:szCs w:val="24"/>
          <w:lang w:val="sk-SK"/>
        </w:rPr>
        <w:t xml:space="preserve"> obec neposkytla zo svojho rozpočtu dotáciu fyzickej osobe - podnikateľovi  v zmysle VZN č. 2/2013 o poskytovaní dotácií z rozpočtu obce v platnom znení.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 xml:space="preserve">Obec poskytla  CVČ Liptovský Hrádok, ktoré navštevujú aj deti z našej obce, dotáciu na záujmovú činnosť v súlade  s VZN. </w:t>
      </w:r>
    </w:p>
    <w:p>
      <w:pPr>
        <w:pStyle w:val="Bezmezer"/>
        <w:jc w:val="both"/>
        <w:rPr>
          <w:rFonts w:ascii="Times New Roman" w:hAnsi="Times New Roman"/>
          <w:color w:val="CE181E"/>
          <w:sz w:val="24"/>
          <w:szCs w:val="24"/>
          <w:lang w:val="sk-SK"/>
        </w:rPr>
      </w:pPr>
      <w:r>
        <w:rPr>
          <w:rFonts w:ascii="Times New Roman" w:hAnsi="Times New Roman"/>
          <w:color w:val="CE181E"/>
          <w:sz w:val="24"/>
          <w:szCs w:val="24"/>
          <w:lang w:val="sk-SK"/>
        </w:rPr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b/>
          <w:i/>
          <w:color w:val="auto"/>
          <w:sz w:val="24"/>
          <w:szCs w:val="24"/>
          <w:lang w:val="sk-SK"/>
        </w:rPr>
        <w:t>10.3 Významné investičné akcie v roku 202</w:t>
      </w:r>
      <w:r>
        <w:rPr>
          <w:rFonts w:ascii="Times New Roman" w:hAnsi="Times New Roman"/>
          <w:b/>
          <w:i/>
          <w:color w:val="auto"/>
          <w:sz w:val="24"/>
          <w:szCs w:val="24"/>
          <w:lang w:val="sk-SK"/>
        </w:rPr>
        <w:t>3</w:t>
      </w:r>
    </w:p>
    <w:p>
      <w:pPr>
        <w:pStyle w:val="Bezmezer"/>
        <w:jc w:val="both"/>
        <w:rPr>
          <w:rFonts w:ascii="Times New Roman" w:hAnsi="Times New Roman"/>
          <w:b/>
          <w:i/>
          <w:i/>
          <w:color w:val="CE181E"/>
          <w:sz w:val="24"/>
          <w:szCs w:val="24"/>
          <w:lang w:val="sk-SK"/>
        </w:rPr>
      </w:pPr>
      <w:r>
        <w:rPr>
          <w:rFonts w:ascii="Times New Roman" w:hAnsi="Times New Roman"/>
          <w:b/>
          <w:i/>
          <w:color w:val="CE181E"/>
          <w:sz w:val="24"/>
          <w:szCs w:val="24"/>
          <w:lang w:val="sk-SK"/>
        </w:rPr>
      </w:r>
    </w:p>
    <w:p>
      <w:pPr>
        <w:pStyle w:val="Normal"/>
        <w:tabs>
          <w:tab w:val="clear" w:pos="708"/>
          <w:tab w:val="left" w:pos="630" w:leader="none"/>
          <w:tab w:val="left" w:pos="6240" w:leader="none"/>
        </w:tabs>
        <w:ind w:left="360" w:right="0"/>
        <w:jc w:val="both"/>
        <w:rPr>
          <w:b w:val="false"/>
          <w:bCs w:val="false"/>
          <w:color w:val="auto"/>
        </w:rPr>
      </w:pPr>
      <w:r>
        <w:rPr>
          <w:b w:val="false"/>
          <w:bCs w:val="false"/>
          <w:color w:val="auto"/>
        </w:rPr>
        <w:t>-  Nákup pozemkov</w:t>
        <w:tab/>
        <w:tab/>
        <w:tab/>
        <w:t xml:space="preserve">    500,00 EUR</w:t>
      </w:r>
    </w:p>
    <w:p>
      <w:pPr>
        <w:pStyle w:val="Normal"/>
        <w:tabs>
          <w:tab w:val="clear" w:pos="708"/>
          <w:tab w:val="left" w:pos="630" w:leader="none"/>
          <w:tab w:val="left" w:pos="6240" w:leader="none"/>
        </w:tabs>
        <w:ind w:left="360" w:right="0"/>
        <w:jc w:val="both"/>
        <w:rPr>
          <w:b w:val="false"/>
          <w:bCs w:val="false"/>
          <w:color w:val="auto"/>
        </w:rPr>
      </w:pPr>
      <w:r>
        <w:rPr>
          <w:b w:val="false"/>
          <w:bCs w:val="false"/>
          <w:color w:val="auto"/>
        </w:rPr>
        <w:t>-  Projektová dokumentácia MK</w:t>
        <w:tab/>
        <w:tab/>
        <w:t xml:space="preserve">             1.299,00 EUR</w:t>
      </w:r>
    </w:p>
    <w:p>
      <w:pPr>
        <w:pStyle w:val="Normal"/>
        <w:tabs>
          <w:tab w:val="clear" w:pos="708"/>
          <w:tab w:val="left" w:pos="630" w:leader="none"/>
          <w:tab w:val="left" w:pos="6240" w:leader="none"/>
        </w:tabs>
        <w:ind w:left="360" w:right="0"/>
        <w:jc w:val="both"/>
        <w:rPr>
          <w:b w:val="false"/>
          <w:bCs w:val="false"/>
          <w:color w:val="auto"/>
        </w:rPr>
      </w:pPr>
      <w:r>
        <w:rPr>
          <w:b w:val="false"/>
          <w:bCs w:val="false"/>
          <w:color w:val="auto"/>
        </w:rPr>
        <w:t>-  Projektová dokumentácia KD z RF                                                      3.100,00 EUR</w:t>
      </w:r>
    </w:p>
    <w:p>
      <w:pPr>
        <w:pStyle w:val="Normal"/>
        <w:tabs>
          <w:tab w:val="clear" w:pos="708"/>
          <w:tab w:val="left" w:pos="630" w:leader="none"/>
          <w:tab w:val="left" w:pos="6240" w:leader="none"/>
        </w:tabs>
        <w:ind w:left="360" w:right="0"/>
        <w:jc w:val="both"/>
        <w:rPr>
          <w:b w:val="false"/>
          <w:bCs w:val="false"/>
          <w:color w:val="auto"/>
        </w:rPr>
      </w:pPr>
      <w:r>
        <w:rPr>
          <w:b w:val="false"/>
          <w:bCs w:val="false"/>
          <w:color w:val="auto"/>
        </w:rPr>
        <w:t xml:space="preserve">-  Projektová dokumentácia MK z RF                         </w:t>
        <w:tab/>
        <w:t xml:space="preserve">    </w:t>
        <w:tab/>
        <w:t xml:space="preserve"> 2.297,75 EUR</w:t>
      </w:r>
    </w:p>
    <w:p>
      <w:pPr>
        <w:pStyle w:val="Normal"/>
        <w:tabs>
          <w:tab w:val="clear" w:pos="708"/>
          <w:tab w:val="left" w:pos="630" w:leader="none"/>
          <w:tab w:val="left" w:pos="6240" w:leader="none"/>
        </w:tabs>
        <w:ind w:left="360" w:right="0"/>
        <w:jc w:val="both"/>
        <w:rPr>
          <w:b w:val="false"/>
          <w:bCs w:val="false"/>
          <w:color w:val="auto"/>
        </w:rPr>
      </w:pPr>
      <w:r>
        <w:rPr>
          <w:b w:val="false"/>
          <w:bCs w:val="false"/>
          <w:color w:val="auto"/>
        </w:rPr>
        <w:t>-  Projektová dokumentácia VO</w:t>
        <w:tab/>
        <w:tab/>
        <w:tab/>
        <w:t xml:space="preserve">    990,00 EUR</w:t>
      </w:r>
    </w:p>
    <w:p>
      <w:pPr>
        <w:pStyle w:val="Normal"/>
        <w:tabs>
          <w:tab w:val="clear" w:pos="708"/>
          <w:tab w:val="left" w:pos="630" w:leader="none"/>
          <w:tab w:val="left" w:pos="6240" w:leader="none"/>
        </w:tabs>
        <w:ind w:left="360" w:right="0"/>
        <w:jc w:val="both"/>
        <w:rPr>
          <w:color w:val="auto"/>
        </w:rPr>
      </w:pPr>
      <w:r>
        <w:rPr>
          <w:color w:val="auto"/>
        </w:rPr>
        <w:t>- WIFI pre teba RF</w:t>
        <w:tab/>
        <w:tab/>
        <w:t xml:space="preserve">           14.990,00 EUR</w:t>
      </w:r>
    </w:p>
    <w:p>
      <w:pPr>
        <w:pStyle w:val="Normal"/>
        <w:tabs>
          <w:tab w:val="clear" w:pos="708"/>
          <w:tab w:val="left" w:pos="630" w:leader="none"/>
          <w:tab w:val="left" w:pos="6240" w:leader="none"/>
        </w:tabs>
        <w:ind w:left="360" w:right="0"/>
        <w:jc w:val="both"/>
        <w:rPr>
          <w:color w:val="auto"/>
        </w:rPr>
      </w:pPr>
      <w:r>
        <w:rPr>
          <w:color w:val="auto"/>
        </w:rPr>
        <w:t>- Rekonštrukcia a modernizácia – OU z RF</w:t>
        <w:tab/>
        <w:t xml:space="preserve">             17.335,18 EUR</w:t>
      </w:r>
    </w:p>
    <w:p>
      <w:pPr>
        <w:pStyle w:val="Normal"/>
        <w:tabs>
          <w:tab w:val="clear" w:pos="708"/>
          <w:tab w:val="left" w:pos="630" w:leader="none"/>
          <w:tab w:val="left" w:pos="6240" w:leader="none"/>
        </w:tabs>
        <w:ind w:left="360" w:right="0"/>
        <w:jc w:val="both"/>
        <w:rPr>
          <w:color w:val="auto"/>
        </w:rPr>
      </w:pPr>
      <w:r>
        <w:rPr>
          <w:color w:val="auto"/>
        </w:rPr>
        <w:t xml:space="preserve">- Rekonštrukcia a modernizácia – KD zateplenie z RF               </w:t>
        <w:tab/>
        <w:t xml:space="preserve"> 6.319,71 EUR</w:t>
      </w:r>
    </w:p>
    <w:p>
      <w:pPr>
        <w:pStyle w:val="Normal"/>
        <w:tabs>
          <w:tab w:val="clear" w:pos="708"/>
          <w:tab w:val="left" w:pos="630" w:leader="none"/>
          <w:tab w:val="left" w:pos="6240" w:leader="none"/>
        </w:tabs>
        <w:ind w:left="360" w:right="0"/>
        <w:jc w:val="both"/>
        <w:rPr>
          <w:color w:val="auto"/>
        </w:rPr>
      </w:pPr>
      <w:r>
        <w:rPr>
          <w:color w:val="auto"/>
        </w:rPr>
        <w:t xml:space="preserve">- Rekonštrukcia a modernizácia – KD vykurovanie z RF              </w:t>
        <w:tab/>
        <w:t xml:space="preserve">    900,00 EUR</w:t>
      </w:r>
    </w:p>
    <w:p>
      <w:pPr>
        <w:pStyle w:val="Bezmezer"/>
        <w:jc w:val="both"/>
        <w:rPr>
          <w:rFonts w:ascii="Times New Roman" w:hAnsi="Times New Roman"/>
          <w:color w:val="CE181E"/>
          <w:sz w:val="24"/>
          <w:szCs w:val="24"/>
          <w:lang w:val="sk-SK"/>
        </w:rPr>
      </w:pPr>
      <w:r>
        <w:rPr>
          <w:rFonts w:ascii="Times New Roman" w:hAnsi="Times New Roman"/>
          <w:color w:val="CE181E"/>
          <w:sz w:val="24"/>
          <w:szCs w:val="24"/>
          <w:lang w:val="sk-SK"/>
        </w:rPr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b/>
          <w:i/>
          <w:color w:val="auto"/>
          <w:sz w:val="24"/>
          <w:szCs w:val="24"/>
          <w:lang w:val="sk-SK"/>
        </w:rPr>
        <w:t>10.4 Predpokladaný budúci vývoj činností</w:t>
      </w:r>
    </w:p>
    <w:p>
      <w:pPr>
        <w:pStyle w:val="Bezmezer"/>
        <w:jc w:val="both"/>
        <w:rPr>
          <w:rFonts w:ascii="Times New Roman" w:hAnsi="Times New Roman"/>
          <w:b/>
          <w:i/>
          <w:i/>
          <w:color w:val="auto"/>
          <w:sz w:val="24"/>
          <w:szCs w:val="24"/>
          <w:lang w:val="sk-SK"/>
        </w:rPr>
      </w:pPr>
      <w:r>
        <w:rPr>
          <w:rFonts w:ascii="Times New Roman" w:hAnsi="Times New Roman"/>
          <w:b/>
          <w:i/>
          <w:color w:val="auto"/>
          <w:sz w:val="24"/>
          <w:szCs w:val="24"/>
          <w:lang w:val="sk-SK"/>
        </w:rPr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Predpokladané investičné akcie realizované v budúcich rokoch: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Dokončenie rekonštrukcie miestnej komunikácie.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Výstavba vodovodu – ďalšie vetvy.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 xml:space="preserve">Výstavba ČOV a kanalizácie – dokončenie.  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Rekonštrukcia domu smútku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Rekonštrukcia kultúrneho domu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 xml:space="preserve">Modernizácia multifunkčného ihriska 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Kompostéry do domácností</w:t>
      </w:r>
    </w:p>
    <w:p>
      <w:pPr>
        <w:pStyle w:val="Bezmezer"/>
        <w:jc w:val="both"/>
        <w:rPr>
          <w:rFonts w:ascii="Times New Roman" w:hAnsi="Times New Roman"/>
          <w:color w:val="auto"/>
          <w:sz w:val="24"/>
          <w:szCs w:val="24"/>
          <w:lang w:val="sk-SK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Obec bude žiadať  o dotácie na dostavbu ČOV a kanalizácie, vodovodu. Zapojí sa do výziev – získanie finančných prostriedkov na ďalšie investičné akcie.</w:t>
      </w:r>
    </w:p>
    <w:p>
      <w:pPr>
        <w:pStyle w:val="Bezmezer"/>
        <w:jc w:val="both"/>
        <w:rPr>
          <w:rFonts w:ascii="Times New Roman" w:hAnsi="Times New Roman"/>
          <w:color w:val="CE181E"/>
          <w:sz w:val="24"/>
          <w:szCs w:val="24"/>
          <w:lang w:val="sk-SK"/>
        </w:rPr>
      </w:pPr>
      <w:r>
        <w:rPr>
          <w:rFonts w:ascii="Times New Roman" w:hAnsi="Times New Roman"/>
          <w:color w:val="CE181E"/>
          <w:sz w:val="24"/>
          <w:szCs w:val="24"/>
          <w:lang w:val="sk-SK"/>
        </w:rPr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b/>
          <w:i/>
          <w:color w:val="auto"/>
          <w:sz w:val="24"/>
          <w:szCs w:val="24"/>
          <w:lang w:val="sk-SK"/>
        </w:rPr>
        <w:t>10.5. Udalosti osobitného významu po skončení účtovného obdobia</w:t>
      </w:r>
    </w:p>
    <w:p>
      <w:pPr>
        <w:pStyle w:val="Normal"/>
        <w:jc w:val="both"/>
        <w:rPr>
          <w:color w:val="auto"/>
        </w:rPr>
      </w:pPr>
      <w:r>
        <w:rPr>
          <w:color w:val="auto"/>
        </w:rPr>
        <w:t>Obec nezaznamenala žiadnu udalosť osobitného významu po skončení účtovného obdobia, za ktoré sa vyhotovuje výročná správa.</w:t>
      </w:r>
    </w:p>
    <w:p>
      <w:pPr>
        <w:pStyle w:val="Bezmezer"/>
        <w:jc w:val="both"/>
        <w:rPr>
          <w:rFonts w:ascii="Times New Roman" w:hAnsi="Times New Roman"/>
          <w:color w:val="auto"/>
          <w:sz w:val="24"/>
          <w:szCs w:val="24"/>
          <w:lang w:val="sk-SK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b/>
          <w:i/>
          <w:color w:val="auto"/>
          <w:sz w:val="24"/>
          <w:szCs w:val="24"/>
          <w:lang w:val="sk-SK"/>
        </w:rPr>
        <w:t>10.6. Významné riziká a neistoty, ktorým je účtovná jednotka vystavená</w:t>
      </w:r>
    </w:p>
    <w:p>
      <w:pPr>
        <w:pStyle w:val="Normal"/>
        <w:jc w:val="both"/>
        <w:rPr>
          <w:color w:val="auto"/>
        </w:rPr>
      </w:pPr>
      <w:r>
        <w:rPr>
          <w:color w:val="auto"/>
        </w:rPr>
        <w:t xml:space="preserve">Vyvlastňovacie konanie pre stavbu „Miestna komunikácia Nižná Boca“, kde bolo vydané rozhodnutie Okresným úradom v Žiline v prospech obce, ale proti rozhodnutiu bolo prehratou stranou podané odvolanie. Ministerstvom dopravy a výstavby SR bolo vydané rozhodnutie v prospech obce, bol podaný protest prokurátora, ktorému  minister Dopravy a výstavby vyhovel a zrušil rozhodnutie Ministerstva DaV SR, čím sa rozhodnutie o vyvlastnení zrušuje a bude nové konanie od úrovne Okresného úradu v Žiline, odbor výstavby a bytovej politiky, čím však nie je dotknutá vykonateľnosť rozhodnutia OÚ Žilina. </w:t>
      </w:r>
    </w:p>
    <w:p>
      <w:pPr>
        <w:pStyle w:val="Bezmezer"/>
        <w:jc w:val="both"/>
        <w:rPr>
          <w:rFonts w:ascii="Times New Roman" w:hAnsi="Times New Roman"/>
          <w:color w:val="auto"/>
          <w:sz w:val="24"/>
          <w:szCs w:val="24"/>
          <w:lang w:val="sk-SK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</w:r>
    </w:p>
    <w:p>
      <w:pPr>
        <w:pStyle w:val="Bezmezer"/>
        <w:jc w:val="both"/>
        <w:rPr>
          <w:rFonts w:ascii="Times New Roman" w:hAnsi="Times New Roman"/>
          <w:color w:val="auto"/>
          <w:sz w:val="24"/>
          <w:szCs w:val="24"/>
          <w:lang w:val="sk-SK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 xml:space="preserve">Vypracovala:  </w:t>
      </w:r>
      <w:r>
        <w:rPr>
          <w:rFonts w:ascii="Times New Roman" w:hAnsi="Times New Roman"/>
          <w:color w:val="auto"/>
          <w:sz w:val="24"/>
          <w:szCs w:val="24"/>
          <w:lang w:val="sk-SK"/>
        </w:rPr>
        <w:t>Ing. Juraj Brziak</w:t>
      </w:r>
      <w:r>
        <w:rPr>
          <w:rFonts w:ascii="Times New Roman" w:hAnsi="Times New Roman"/>
          <w:color w:val="auto"/>
          <w:sz w:val="24"/>
          <w:szCs w:val="24"/>
          <w:lang w:val="sk-SK"/>
        </w:rPr>
        <w:t xml:space="preserve">   </w:t>
        <w:tab/>
        <w:tab/>
        <w:t>Schválil: Mgr. Silvia Skusilová</w:t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ab/>
        <w:tab/>
        <w:tab/>
        <w:tab/>
        <w:tab/>
        <w:tab/>
        <w:tab/>
        <w:tab/>
        <w:tab/>
        <w:t xml:space="preserve">starostka                                                                    </w:t>
      </w:r>
    </w:p>
    <w:p>
      <w:pPr>
        <w:pStyle w:val="Bezmezer"/>
        <w:jc w:val="both"/>
        <w:rPr>
          <w:rFonts w:ascii="Times New Roman" w:hAnsi="Times New Roman"/>
          <w:color w:val="auto"/>
          <w:sz w:val="24"/>
          <w:szCs w:val="24"/>
          <w:lang w:val="sk-SK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</w:r>
    </w:p>
    <w:p>
      <w:pPr>
        <w:pStyle w:val="Bezmezer"/>
        <w:jc w:val="both"/>
        <w:rPr>
          <w:rFonts w:ascii="Times New Roman" w:hAnsi="Times New Roman"/>
          <w:color w:val="auto"/>
          <w:sz w:val="24"/>
          <w:szCs w:val="24"/>
          <w:lang w:val="sk-SK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V Nižnej Boci  dňa   15. 06. 202</w:t>
      </w:r>
      <w:r>
        <w:rPr>
          <w:rFonts w:ascii="Times New Roman" w:hAnsi="Times New Roman"/>
          <w:color w:val="auto"/>
          <w:sz w:val="24"/>
          <w:szCs w:val="24"/>
          <w:lang w:val="sk-SK"/>
        </w:rPr>
        <w:t>4</w:t>
      </w:r>
    </w:p>
    <w:p>
      <w:pPr>
        <w:pStyle w:val="Bezmezer"/>
        <w:jc w:val="both"/>
        <w:rPr>
          <w:rFonts w:ascii="Times New Roman" w:hAnsi="Times New Roman"/>
          <w:color w:val="auto"/>
          <w:sz w:val="24"/>
          <w:szCs w:val="24"/>
          <w:lang w:val="sk-SK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</w:r>
    </w:p>
    <w:p>
      <w:pPr>
        <w:pStyle w:val="Bezmezer"/>
        <w:jc w:val="both"/>
        <w:rPr>
          <w:rFonts w:ascii="Times New Roman" w:hAnsi="Times New Roman"/>
          <w:color w:val="auto"/>
          <w:sz w:val="24"/>
          <w:szCs w:val="24"/>
          <w:lang w:val="sk-SK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</w:r>
    </w:p>
    <w:p>
      <w:pPr>
        <w:pStyle w:val="Bezmezer"/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Prílohy:</w:t>
      </w:r>
    </w:p>
    <w:p>
      <w:pPr>
        <w:pStyle w:val="Bezmezer"/>
        <w:numPr>
          <w:ilvl w:val="0"/>
          <w:numId w:val="3"/>
        </w:numPr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>Individuálna účtovná závierka: Súvaha, Výkaz ziskov a strát, Poznámky</w:t>
      </w:r>
    </w:p>
    <w:p>
      <w:pPr>
        <w:pStyle w:val="Bezmezer"/>
        <w:numPr>
          <w:ilvl w:val="0"/>
          <w:numId w:val="3"/>
        </w:numPr>
        <w:jc w:val="both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  <w:lang w:val="sk-SK"/>
        </w:rPr>
        <w:t xml:space="preserve">Výrok audítora k individuálnej účtovnej závierke </w:t>
      </w:r>
    </w:p>
    <w:p>
      <w:pPr>
        <w:pStyle w:val="Bezmezer"/>
        <w:jc w:val="both"/>
        <w:rPr>
          <w:color w:val="auto"/>
          <w:lang w:val="sk-SK"/>
        </w:rPr>
      </w:pPr>
      <w:r>
        <w:rPr>
          <w:color w:val="auto"/>
          <w:lang w:val="sk-SK"/>
        </w:rPr>
      </w:r>
    </w:p>
    <w:p>
      <w:pPr>
        <w:pStyle w:val="Bezmezer"/>
        <w:jc w:val="both"/>
        <w:rPr>
          <w:rFonts w:ascii="Times New Roman" w:hAnsi="Times New Roman"/>
          <w:color w:val="CE181E"/>
          <w:sz w:val="24"/>
          <w:szCs w:val="24"/>
          <w:lang w:val="sk-SK"/>
        </w:rPr>
      </w:pPr>
      <w:r>
        <w:rPr>
          <w:rFonts w:ascii="Times New Roman" w:hAnsi="Times New Roman"/>
          <w:color w:val="CE181E"/>
          <w:sz w:val="24"/>
          <w:szCs w:val="24"/>
          <w:lang w:val="sk-SK"/>
        </w:rPr>
      </w:r>
    </w:p>
    <w:p>
      <w:pPr>
        <w:pStyle w:val="Bezmezer"/>
        <w:jc w:val="both"/>
        <w:rPr>
          <w:rFonts w:ascii="Times New Roman" w:hAnsi="Times New Roman"/>
          <w:color w:val="CE181E"/>
          <w:sz w:val="24"/>
          <w:szCs w:val="24"/>
          <w:lang w:val="sk-SK"/>
        </w:rPr>
      </w:pPr>
      <w:r>
        <w:rPr>
          <w:rFonts w:ascii="Times New Roman" w:hAnsi="Times New Roman"/>
          <w:color w:val="CE181E"/>
          <w:sz w:val="24"/>
          <w:szCs w:val="24"/>
          <w:lang w:val="sk-SK"/>
        </w:rPr>
      </w:r>
    </w:p>
    <w:p>
      <w:pPr>
        <w:pStyle w:val="Bezmezer"/>
        <w:jc w:val="both"/>
        <w:rPr>
          <w:rFonts w:ascii="Times New Roman" w:hAnsi="Times New Roman"/>
          <w:color w:val="CE181E"/>
          <w:sz w:val="24"/>
          <w:szCs w:val="24"/>
          <w:lang w:val="sk-SK"/>
        </w:rPr>
      </w:pPr>
      <w:r>
        <w:rPr>
          <w:rFonts w:ascii="Times New Roman" w:hAnsi="Times New Roman"/>
          <w:color w:val="CE181E"/>
          <w:sz w:val="24"/>
          <w:szCs w:val="24"/>
          <w:lang w:val="sk-SK"/>
        </w:rPr>
      </w:r>
    </w:p>
    <w:p>
      <w:pPr>
        <w:pStyle w:val="Normal"/>
        <w:rPr>
          <w:color w:val="CE181E"/>
        </w:rPr>
      </w:pPr>
      <w:r>
        <w:rPr>
          <w:color w:val="CE181E"/>
        </w:rPr>
      </w:r>
    </w:p>
    <w:p>
      <w:pPr>
        <w:pStyle w:val="Normal"/>
        <w:rPr>
          <w:color w:val="CE181E"/>
        </w:rPr>
      </w:pPr>
      <w:r>
        <w:rPr>
          <w:color w:val="CE181E"/>
        </w:rPr>
      </w:r>
    </w:p>
    <w:p>
      <w:pPr>
        <w:pStyle w:val="Normal"/>
        <w:rPr>
          <w:color w:val="CE181E"/>
        </w:rPr>
      </w:pPr>
      <w:r>
        <w:rPr>
          <w:color w:val="CE181E"/>
        </w:rPr>
      </w:r>
    </w:p>
    <w:sectPr>
      <w:footerReference w:type="default" r:id="rId5"/>
      <w:type w:val="nextPage"/>
      <w:pgSz w:w="11906" w:h="16838"/>
      <w:pgMar w:left="1417" w:right="1417" w:gutter="0" w:header="0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imes New          Roman">
    <w:altName w:val="Times New Roman"/>
    <w:charset w:val="ee"/>
    <w:family w:val="auto"/>
    <w:pitch w:val="default"/>
  </w:font>
  <w:font w:name="Liberation Sans">
    <w:altName w:val="Arial"/>
    <w:charset w:val="ee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17</w:t>
    </w:r>
    <w:r>
      <w:rPr/>
      <w:fldChar w:fldCharType="end"/>
    </w:r>
  </w:p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5">
    <w:lvl w:ilvl="0">
      <w:start w:val="2"/>
      <w:numFmt w:val="decimal"/>
      <w:lvlText w:val="%1"/>
      <w:lvlJc w:val="left"/>
      <w:pPr>
        <w:tabs>
          <w:tab w:val="num" w:pos="0"/>
        </w:tabs>
        <w:ind w:left="405" w:hanging="405"/>
      </w:pPr>
      <w:rPr>
        <w:smallCaps w:val="false"/>
        <w:caps w:val="false"/>
        <w:sz w:val="24"/>
        <w:rFonts w:ascii="Times New          Roman;Times New Roman" w:hAnsi="Times New          Roman;Times New Roman" w:cs="Times New          Roman;Times New Roman"/>
        <w:color w:val="auto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1365" w:hanging="720"/>
      </w:pPr>
      <w:rPr>
        <w:sz w:val="28"/>
        <w:b/>
        <w:szCs w:val="2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010" w:hanging="720"/>
      </w:pPr>
      <w:rPr>
        <w:smallCaps w:val="false"/>
        <w:caps w:val="false"/>
        <w:sz w:val="24"/>
        <w:rFonts w:ascii="Times New          Roman;Times New Roman" w:hAnsi="Times New          Roman;Times New Roman" w:cs="Times New          Roman;Times New Roman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015" w:hanging="1080"/>
      </w:pPr>
      <w:rPr>
        <w:smallCaps w:val="false"/>
        <w:caps w:val="false"/>
        <w:sz w:val="24"/>
        <w:rFonts w:ascii="Times New          Roman;Times New Roman" w:hAnsi="Times New          Roman;Times New Roman" w:cs="Times New          Roman;Times New Roman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020" w:hanging="1440"/>
      </w:pPr>
      <w:rPr>
        <w:smallCaps w:val="false"/>
        <w:caps w:val="false"/>
        <w:sz w:val="24"/>
        <w:rFonts w:ascii="Times New          Roman;Times New Roman" w:hAnsi="Times New          Roman;Times New Roman" w:cs="Times New          Roman;Times New Roman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65" w:hanging="1440"/>
      </w:pPr>
      <w:rPr>
        <w:smallCaps w:val="false"/>
        <w:caps w:val="false"/>
        <w:sz w:val="24"/>
        <w:rFonts w:ascii="Times New          Roman;Times New Roman" w:hAnsi="Times New          Roman;Times New Roman" w:cs="Times New          Roman;Times New Roman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670" w:hanging="1800"/>
      </w:pPr>
      <w:rPr>
        <w:smallCaps w:val="false"/>
        <w:caps w:val="false"/>
        <w:sz w:val="24"/>
        <w:rFonts w:ascii="Times New          Roman;Times New Roman" w:hAnsi="Times New          Roman;Times New Roman" w:cs="Times New          Roman;Times New Roman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675" w:hanging="2160"/>
      </w:pPr>
      <w:rPr>
        <w:smallCaps w:val="false"/>
        <w:caps w:val="false"/>
        <w:sz w:val="24"/>
        <w:rFonts w:ascii="Times New          Roman;Times New Roman" w:hAnsi="Times New          Roman;Times New Roman" w:cs="Times New          Roman;Times New Roman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320" w:hanging="2160"/>
      </w:pPr>
      <w:rPr>
        <w:smallCaps w:val="false"/>
        <w:caps w:val="false"/>
        <w:sz w:val="24"/>
        <w:rFonts w:ascii="Times New          Roman;Times New Roman" w:hAnsi="Times New          Roman;Times New Roman" w:cs="Times New          Roman;Times New Roman"/>
        <w:color w:val="auto"/>
      </w:rPr>
    </w:lvl>
  </w:abstractNum>
  <w:abstractNum w:abstractNumId="6">
    <w:lvl w:ilvl="0">
      <w:start w:val="2"/>
      <w:numFmt w:val="decimal"/>
      <w:lvlText w:val="%1"/>
      <w:lvlJc w:val="left"/>
      <w:pPr>
        <w:tabs>
          <w:tab w:val="num" w:pos="0"/>
        </w:tabs>
        <w:ind w:left="405" w:hanging="405"/>
      </w:pPr>
      <w:rPr>
        <w:sz w:val="32"/>
        <w:b/>
        <w:rFonts w:ascii="Times New Roman" w:hAnsi="Times New Roman" w:eastAsia="Times New Roman" w:cs="Times New Roman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1125" w:hanging="405"/>
      </w:pPr>
      <w:rPr>
        <w:sz w:val="32"/>
        <w:b/>
        <w:rFonts w:ascii="Times New Roman" w:hAnsi="Times New Roman" w:eastAsia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  <w:rPr>
        <w:sz w:val="32"/>
        <w:b/>
        <w:rFonts w:ascii="Times New Roman" w:hAnsi="Times New Roman" w:eastAsia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240" w:hanging="1080"/>
      </w:pPr>
      <w:rPr>
        <w:sz w:val="32"/>
        <w:b/>
        <w:rFonts w:ascii="Times New Roman" w:hAnsi="Times New Roman" w:eastAsia="Times New Roman"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60" w:hanging="1080"/>
      </w:pPr>
      <w:rPr>
        <w:sz w:val="32"/>
        <w:b/>
        <w:rFonts w:ascii="Times New Roman" w:hAnsi="Times New Roman" w:eastAsia="Times New Roman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040" w:hanging="1440"/>
      </w:pPr>
      <w:rPr>
        <w:sz w:val="32"/>
        <w:b/>
        <w:rFonts w:ascii="Times New Roman" w:hAnsi="Times New Roman" w:eastAsia="Times New Roman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440"/>
      </w:pPr>
      <w:rPr>
        <w:sz w:val="32"/>
        <w:b/>
        <w:rFonts w:ascii="Times New Roman" w:hAnsi="Times New Roman" w:eastAsia="Times New Roman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840" w:hanging="1800"/>
      </w:pPr>
      <w:rPr>
        <w:sz w:val="32"/>
        <w:b/>
        <w:rFonts w:ascii="Times New Roman" w:hAnsi="Times New Roman" w:eastAsia="Times New Roman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920" w:hanging="2160"/>
      </w:pPr>
      <w:rPr>
        <w:sz w:val="32"/>
        <w:b/>
        <w:rFonts w:ascii="Times New Roman" w:hAnsi="Times New Roman" w:eastAsia="Times New Roman" w:cs="Times New Roman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84edf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sk-SK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taChar" w:customStyle="1">
    <w:name w:val="Päta Char"/>
    <w:basedOn w:val="DefaultParagraphFont"/>
    <w:uiPriority w:val="99"/>
    <w:qFormat/>
    <w:rsid w:val="00784edf"/>
    <w:rPr>
      <w:rFonts w:ascii="Times New Roman" w:hAnsi="Times New Roman" w:eastAsia="Times New Roman" w:cs="Times New Roman"/>
      <w:sz w:val="24"/>
      <w:szCs w:val="24"/>
      <w:lang w:eastAsia="sk-SK"/>
    </w:rPr>
  </w:style>
  <w:style w:type="character" w:styleId="Pagenumber">
    <w:name w:val="page number"/>
    <w:basedOn w:val="DefaultParagraphFont"/>
    <w:qFormat/>
    <w:rsid w:val="00784edf"/>
    <w:rPr/>
  </w:style>
  <w:style w:type="character" w:styleId="HlavikaChar" w:customStyle="1">
    <w:name w:val="Hlavička Char"/>
    <w:basedOn w:val="DefaultParagraphFont"/>
    <w:qFormat/>
    <w:rsid w:val="00784edf"/>
    <w:rPr>
      <w:rFonts w:ascii="Times New Roman" w:hAnsi="Times New Roman" w:eastAsia="Times New Roman" w:cs="Times New Roman"/>
      <w:sz w:val="24"/>
      <w:szCs w:val="24"/>
      <w:lang w:eastAsia="sk-SK"/>
    </w:rPr>
  </w:style>
  <w:style w:type="character" w:styleId="Hyperlink">
    <w:name w:val="Hyperlink"/>
    <w:basedOn w:val="DefaultParagraphFont"/>
    <w:rsid w:val="00784ed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784edf"/>
    <w:rPr>
      <w:i/>
      <w:iCs/>
    </w:rPr>
  </w:style>
  <w:style w:type="character" w:styleId="Strong">
    <w:name w:val="Strong"/>
    <w:basedOn w:val="DefaultParagraphFont"/>
    <w:uiPriority w:val="22"/>
    <w:qFormat/>
    <w:rsid w:val="00784edf"/>
    <w:rPr>
      <w:b/>
      <w:bCs/>
    </w:rPr>
  </w:style>
  <w:style w:type="character" w:styleId="WW8Num6z0">
    <w:name w:val="WW8Num6z0"/>
    <w:qFormat/>
    <w:rPr>
      <w:rFonts w:ascii="Times New Roman" w:hAnsi="Times New Roman" w:cs="Times New Roman"/>
    </w:rPr>
  </w:style>
  <w:style w:type="character" w:styleId="WW8Num4z0">
    <w:name w:val="WW8Num4z0"/>
    <w:qFormat/>
    <w:rPr>
      <w:rFonts w:ascii="Times New          Roman;Times New Roman" w:hAnsi="Times New          Roman;Times New Roman" w:cs="Times New          Roman;Times New Roman"/>
      <w:caps w:val="false"/>
      <w:smallCaps w:val="false"/>
      <w:color w:val="auto"/>
      <w:sz w:val="24"/>
    </w:rPr>
  </w:style>
  <w:style w:type="character" w:styleId="WW8Num4z1">
    <w:name w:val="WW8Num4z1"/>
    <w:qFormat/>
    <w:rPr>
      <w:b/>
      <w:sz w:val="28"/>
      <w:szCs w:val="28"/>
    </w:rPr>
  </w:style>
  <w:style w:type="character" w:styleId="WW8Num5z0">
    <w:name w:val="WW8Num5z0"/>
    <w:qFormat/>
    <w:rPr>
      <w:rFonts w:ascii="Times New Roman" w:hAnsi="Times New Roman" w:eastAsia="Times New Roman" w:cs="Times New Roman"/>
      <w:b/>
      <w:sz w:val="32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Footer">
    <w:name w:val="Footer"/>
    <w:basedOn w:val="Normal"/>
    <w:link w:val="PtaChar"/>
    <w:uiPriority w:val="99"/>
    <w:rsid w:val="00784edf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Header">
    <w:name w:val="Header"/>
    <w:basedOn w:val="Normal"/>
    <w:link w:val="HlavikaChar"/>
    <w:rsid w:val="00784edf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ezmezer" w:customStyle="1">
    <w:name w:val="Bez mezer"/>
    <w:qFormat/>
    <w:rsid w:val="00784edf"/>
    <w:pPr>
      <w:widowControl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4"/>
      <w:szCs w:val="22"/>
      <w:lang w:val="cs-CZ" w:eastAsia="en-US" w:bidi="ar-SA"/>
    </w:rPr>
  </w:style>
  <w:style w:type="paragraph" w:styleId="ListParagraph">
    <w:name w:val="List Paragraph"/>
    <w:basedOn w:val="Normal"/>
    <w:uiPriority w:val="34"/>
    <w:qFormat/>
    <w:rsid w:val="00784edf"/>
    <w:pPr>
      <w:spacing w:before="0" w:after="0"/>
      <w:ind w:hanging="0" w:left="720"/>
      <w:contextualSpacing/>
    </w:pPr>
    <w:rPr/>
  </w:style>
  <w:style w:type="paragraph" w:styleId="NoSpacing">
    <w:name w:val="No Spacing"/>
    <w:uiPriority w:val="1"/>
    <w:qFormat/>
    <w:rsid w:val="00784edf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sk-SK" w:bidi="ar-SA"/>
    </w:rPr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Zhlavietabuky">
    <w:name w:val="Záhlavie tabuľky"/>
    <w:basedOn w:val="Obsahtabuky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WW8Num6">
    <w:name w:val="WW8Num6"/>
    <w:qFormat/>
  </w:style>
  <w:style w:type="numbering" w:styleId="WW8Num4">
    <w:name w:val="WW8Num4"/>
    <w:qFormat/>
  </w:style>
  <w:style w:type="numbering" w:styleId="WW8Num5">
    <w:name w:val="WW8Num5"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obec@niznaboca.sk" TargetMode="External"/><Relationship Id="rId4" Type="http://schemas.openxmlformats.org/officeDocument/2006/relationships/hyperlink" Target="mailto:starosta@niznaboca.sk" TargetMode="Externa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Application>LibreOffice/7.6.3.2$Windows_X86_64 LibreOffice_project/29d686fea9f6705b262d369fede658f824154cc0</Application>
  <AppVersion>15.0000</AppVersion>
  <DocSecurity>0</DocSecurity>
  <Pages>17</Pages>
  <Words>4052</Words>
  <Characters>23415</Characters>
  <CharactersWithSpaces>28718</CharactersWithSpaces>
  <Paragraphs>863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2023-05-24T05:46:00Z</dcterms:created>
  <dc:creator>Lenovo</dc:creator>
  <dc:description/>
  <dc:language>sk-SK</dc:language>
  <cp:lastModifiedBy/>
  <cp:lastPrinted>2023-06-29T20:30:00Z</cp:lastPrinted>
  <dcterms:modified xsi:type="dcterms:W3CDTF">2024-09-14T11:06:19Z</dcterms:modified>
  <cp:revision>35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